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6" w:lineRule="exact"/>
        <w:rPr>
          <w:sz w:val="24"/>
          <w:szCs w:val="24"/>
          <w:color w:val="auto"/>
        </w:rPr>
      </w:pPr>
    </w:p>
    <w:p>
      <w:pPr>
        <w:spacing w:after="0" w:line="207" w:lineRule="exact"/>
        <w:tabs>
          <w:tab w:leader="none" w:pos="49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78"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3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8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11" w:lineRule="exact"/>
        <w:rPr>
          <w:rFonts w:ascii="Times New Roman" w:cs="Times New Roman" w:eastAsia="Times New Roman" w:hAnsi="Times New Roman"/>
          <w:sz w:val="18"/>
          <w:szCs w:val="18"/>
          <w:color w:val="auto"/>
        </w:rPr>
      </w:pPr>
    </w:p>
    <w:p>
      <w:pPr>
        <w:ind w:left="1200" w:right="80" w:hanging="598"/>
        <w:spacing w:after="0" w:line="282" w:lineRule="auto"/>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48"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65"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92"/>
        <w:spacing w:after="0" w:line="281" w:lineRule="auto"/>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-2717800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-2451735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-2048510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-1783080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-1517015</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-702310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-436245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-170815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94615</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579120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214" w:right="5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2058035"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471805"/>
                    </a:xfrm>
                    <a:prstGeom prst="rect">
                      <a:avLst/>
                    </a:prstGeom>
                    <a:noFill/>
                  </pic:spPr>
                </pic:pic>
              </a:graphicData>
            </a:graphic>
          </wp:anchor>
        </w:drawing>
        <w:t>December 17,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120" w:firstLine="598"/>
        <w:spacing w:after="0" w:line="313" w:lineRule="auto"/>
        <w:rPr>
          <w:sz w:val="20"/>
          <w:szCs w:val="20"/>
          <w:color w:val="auto"/>
        </w:rPr>
      </w:pPr>
      <w:r>
        <w:rPr>
          <w:rFonts w:ascii="Times New Roman" w:cs="Times New Roman" w:eastAsia="Times New Roman" w:hAnsi="Times New Roman"/>
          <w:sz w:val="17"/>
          <w:szCs w:val="17"/>
          <w:color w:val="auto"/>
        </w:rPr>
        <w:t>You are cordially invited to attend the 2020 Annual Meeting of Stockholders of PennantPark Floating Rate Capital Ltd. (“PFLT” or the “Company”) to be held on February 4, 2020 at 9:45 a.m., Eastern Time, at the offices of Dechert LLP, located at 1095 Avenue of the Americas, New York, New York.</w:t>
      </w:r>
    </w:p>
    <w:p>
      <w:pPr>
        <w:spacing w:after="0" w:line="138" w:lineRule="exact"/>
        <w:rPr>
          <w:sz w:val="20"/>
          <w:szCs w:val="20"/>
          <w:color w:val="auto"/>
        </w:rPr>
      </w:pPr>
    </w:p>
    <w:p>
      <w:pPr>
        <w:jc w:val="both"/>
        <w:ind w:right="80" w:firstLine="598"/>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the Proxy Statement of the Company, which is accessible on the Internet or by request, provides an outline of the business to be conducted at the Annual Meeting of Stockholders. At the meeting, you will be asked to: (1) elect one director to the Board of Directors of the Company and (2) ratify the selection of RSM US LLP to serve as the Company’s independent registered public accounting firm for the fiscal year ending September 30, 2020. I will also report on the progress of the Company during the past year and respond to stockholders’ questions.</w:t>
      </w:r>
    </w:p>
    <w:p>
      <w:pPr>
        <w:spacing w:after="0" w:line="180" w:lineRule="exact"/>
        <w:rPr>
          <w:sz w:val="20"/>
          <w:szCs w:val="20"/>
          <w:color w:val="auto"/>
        </w:rPr>
      </w:pPr>
    </w:p>
    <w:p>
      <w:pPr>
        <w:ind w:right="20" w:firstLine="598"/>
        <w:spacing w:after="0" w:line="263"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of Stockholders. If you are unable to attend the meeting in person, I urge stockholders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Proxy Statement and proxy card free of charge and you may vote your proxy by returning your proxy card to us after you request the hard copy materials. If you hold your shares through a Tel Aviv Stock Exchange member, please follow the voting instructions in the Proxy Statement, which are otherwise different to that of other stockholders.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Your vote and participation in the governance of the Company is very important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0330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15" w:lineRule="auto"/>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4, 2020</w:t>
      </w:r>
    </w:p>
    <w:p>
      <w:pPr>
        <w:spacing w:after="0" w:line="20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December 17, 2019</w:t>
      </w:r>
    </w:p>
    <w:p>
      <w:pPr>
        <w:spacing w:after="0" w:line="225" w:lineRule="exact"/>
        <w:rPr>
          <w:sz w:val="20"/>
          <w:szCs w:val="20"/>
          <w:color w:val="auto"/>
        </w:rPr>
      </w:pPr>
    </w:p>
    <w:p>
      <w:pPr>
        <w:ind w:right="460" w:firstLine="598"/>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Floating Rate Capital Ltd. (“PFLT” or the “Company”) that: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2020 Annual Meeting of Stockholders of the Company (the “Annual Meeting”) will be held at the offices of Dechert LLP, located at 1095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of the Americas, New York, New York, on February 4, 2020 at 9:45 a.m., Eastern Time, for the following purposes:</w:t>
      </w:r>
    </w:p>
    <w:p>
      <w:pPr>
        <w:spacing w:after="0" w:line="99" w:lineRule="exact"/>
        <w:rPr>
          <w:sz w:val="20"/>
          <w:szCs w:val="20"/>
          <w:color w:val="auto"/>
        </w:rPr>
      </w:pPr>
    </w:p>
    <w:p>
      <w:pPr>
        <w:ind w:left="1200" w:right="28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director to the Board of Directors of the Company, who will serve until the 2023 annual meeting of stockholders and until his successor is duly elected and qualifies; and</w:t>
      </w:r>
    </w:p>
    <w:p>
      <w:pPr>
        <w:spacing w:after="0" w:line="53" w:lineRule="exact"/>
        <w:rPr>
          <w:rFonts w:ascii="Times New Roman" w:cs="Times New Roman" w:eastAsia="Times New Roman" w:hAnsi="Times New Roman"/>
          <w:sz w:val="18"/>
          <w:szCs w:val="18"/>
          <w:color w:val="auto"/>
        </w:rPr>
      </w:pPr>
    </w:p>
    <w:p>
      <w:pPr>
        <w:ind w:left="1200" w:right="24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2020.</w:t>
      </w:r>
    </w:p>
    <w:p>
      <w:pPr>
        <w:spacing w:after="0" w:line="162"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of the Company at the close of business on November 20, 2019. The Company is furnishing a Proxy Statement and proxy card to the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4" w:lineRule="exact"/>
        <w:rPr>
          <w:sz w:val="20"/>
          <w:szCs w:val="20"/>
          <w:color w:val="auto"/>
        </w:rPr>
      </w:pPr>
    </w:p>
    <w:p>
      <w:pPr>
        <w:ind w:right="160" w:firstLine="598"/>
        <w:spacing w:after="0" w:line="258" w:lineRule="auto"/>
        <w:rPr>
          <w:sz w:val="20"/>
          <w:szCs w:val="20"/>
          <w:color w:val="auto"/>
        </w:rPr>
      </w:pPr>
      <w:r>
        <w:rPr>
          <w:rFonts w:ascii="Times New Roman" w:cs="Times New Roman" w:eastAsia="Times New Roman" w:hAnsi="Times New Roman"/>
          <w:sz w:val="18"/>
          <w:szCs w:val="18"/>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Proxy Statement and proxy card for the Company by following the instructions on the Notice of Internet Availability of Proxy Materials. In the event there are not sufficient votes for a quorum or to approve the Company’s proposals at the time of the Annual Meeting, the Annual Meeting may be adjourned in order to permit further solicitation of proxies by the Company.</w:t>
      </w:r>
    </w:p>
    <w:p>
      <w:pPr>
        <w:spacing w:after="0" w:line="1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15" w:lineRule="auto"/>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212-905-1000</w:t>
      </w:r>
    </w:p>
    <w:p>
      <w:pPr>
        <w:spacing w:after="0" w:line="216" w:lineRule="exact"/>
        <w:rPr>
          <w:sz w:val="20"/>
          <w:szCs w:val="20"/>
          <w:color w:val="auto"/>
        </w:rPr>
      </w:pPr>
    </w:p>
    <w:p>
      <w:pPr>
        <w:jc w:val="both"/>
        <w:ind w:left="140" w:right="160"/>
        <w:spacing w:after="0" w:line="268"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-434340</wp:posOffset>
            </wp:positionV>
            <wp:extent cx="7246620" cy="428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341630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590 Madison Avenue, 15th Floor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905-1000</w:t>
      </w:r>
    </w:p>
    <w:p>
      <w:pPr>
        <w:spacing w:after="0" w:line="9" w:lineRule="exact"/>
        <w:rPr>
          <w:rFonts w:ascii="Times New Roman" w:cs="Times New Roman" w:eastAsia="Times New Roman" w:hAnsi="Times New Roman"/>
          <w:sz w:val="18"/>
          <w:szCs w:val="18"/>
          <w:b w:val="1"/>
          <w:bCs w:val="1"/>
          <w:color w:val="auto"/>
        </w:rPr>
      </w:pPr>
    </w:p>
    <w:p>
      <w:pPr>
        <w:ind w:left="4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February 4, 2020</w:t>
      </w:r>
    </w:p>
    <w:p>
      <w:pPr>
        <w:spacing w:after="0" w:line="207" w:lineRule="exact"/>
        <w:rPr>
          <w:sz w:val="20"/>
          <w:szCs w:val="20"/>
          <w:color w:val="auto"/>
        </w:rPr>
      </w:pPr>
    </w:p>
    <w:p>
      <w:pPr>
        <w:ind w:right="120" w:firstLine="598"/>
        <w:spacing w:after="0" w:line="266"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76"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Floating Rate Capital Ltd. (“PFLT”, the “Company,” “we,” “us” or “our”) for use at the Company’s 2020 Annual Meeting of Stockholders (the “Meeting”) to be held on Tuesday, February 4, 2020 at 9:45 a.m., Eastern Time, at the offices of Dechert LLP, located at 1095 Avenue of the Americas, New York, New York, and at any postponements or adjournments thereof. This Proxy Statement and the Company’s Annual Report for the fiscal year ended September 30, 2019 are being provided to the stockholders thereof (the “Stockholders”) via the Internet on or about December 21, 2019. In addition, a Notice of Annual Meeting and a Notice of Internet Availability of Proxy Materials are being sent to Stockholders of record of the Company as of November 20, 2019 (the “Record Date”).</w:t>
      </w:r>
    </w:p>
    <w:p>
      <w:pPr>
        <w:spacing w:after="0" w:line="188"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80"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 will be eligible to vote your shares electronically via the Internet, by telephone or by mail.</w:t>
      </w:r>
    </w:p>
    <w:p>
      <w:pPr>
        <w:spacing w:after="0" w:line="3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the Meeting, you will be asked to vote on the following proposals:</w:t>
      </w:r>
    </w:p>
    <w:p>
      <w:pPr>
        <w:spacing w:after="0" w:line="131" w:lineRule="exact"/>
        <w:rPr>
          <w:sz w:val="20"/>
          <w:szCs w:val="20"/>
          <w:color w:val="auto"/>
        </w:rPr>
      </w:pPr>
    </w:p>
    <w:p>
      <w:pPr>
        <w:ind w:left="1200" w:right="24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director to the Board, who will serve until the 2023 annual meeting of stockholders and until his successor is duly elected and qualifies (“Proposal 1”); and</w:t>
      </w:r>
    </w:p>
    <w:p>
      <w:pPr>
        <w:spacing w:after="0" w:line="53" w:lineRule="exact"/>
        <w:rPr>
          <w:rFonts w:ascii="Times New Roman" w:cs="Times New Roman" w:eastAsia="Times New Roman" w:hAnsi="Times New Roman"/>
          <w:sz w:val="18"/>
          <w:szCs w:val="18"/>
          <w:color w:val="auto"/>
        </w:rPr>
      </w:pPr>
    </w:p>
    <w:p>
      <w:pPr>
        <w:ind w:left="1200" w:right="22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2020 (“Proposal 2”).</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ind w:right="20" w:firstLine="59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Meeting only if you were a Stockholder of record of the Company at the close of business on the Record Date. There were 38,772,074 shares of the Company’s common stock (the “Common Stock”) outstanding on the Record Date. Stockholders are entitled to one vote for each share of Common Stock held.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firstLine="598"/>
        <w:spacing w:after="0" w:line="281" w:lineRule="auto"/>
        <w:rPr>
          <w:sz w:val="20"/>
          <w:szCs w:val="20"/>
          <w:color w:val="auto"/>
        </w:rPr>
      </w:pPr>
      <w:r>
        <w:rPr>
          <w:rFonts w:ascii="Times New Roman" w:cs="Times New Roman" w:eastAsia="Times New Roman" w:hAnsi="Times New Roman"/>
          <w:sz w:val="17"/>
          <w:szCs w:val="17"/>
          <w:color w:val="auto"/>
        </w:rPr>
        <w:t>For the Company to conduct business at the Meeting, a quorum of Stockholders for the Company must be present at the Meeting. The presence at the Meeting, in person or by proxy, of the holders of a majority of the shares of Common Stock of the Company outstanding on the Record Date will constitute a quorum of the Company. Abstentions and Broker Non-Votes (as defined below) will be treated as shares present at the Meeting for quorum purposes. If there are not enough votes for a quorum of the Company, the chairman of the Meeting will adjourn the Meeting to permit the further solicitation of proxies.</w:t>
      </w: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right="160" w:firstLine="598"/>
        <w:spacing w:after="0" w:line="261" w:lineRule="auto"/>
        <w:rPr>
          <w:sz w:val="20"/>
          <w:szCs w:val="20"/>
          <w:color w:val="auto"/>
        </w:rPr>
      </w:pPr>
      <w:r>
        <w:rPr>
          <w:rFonts w:ascii="Times New Roman" w:cs="Times New Roman" w:eastAsia="Times New Roman" w:hAnsi="Times New Roman"/>
          <w:sz w:val="18"/>
          <w:szCs w:val="18"/>
          <w:color w:val="auto"/>
        </w:rPr>
        <w:t>The election of a director to the Board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right="280" w:firstLine="598"/>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Meeting in person or by proxy is required to ratify the appointment of RSM US LLP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firstLine="598"/>
        <w:spacing w:after="0" w:line="261" w:lineRule="auto"/>
        <w:rPr>
          <w:sz w:val="20"/>
          <w:szCs w:val="20"/>
          <w:color w:val="auto"/>
        </w:rPr>
      </w:pPr>
      <w:r>
        <w:rPr>
          <w:rFonts w:ascii="Times New Roman" w:cs="Times New Roman" w:eastAsia="Times New Roman" w:hAnsi="Times New Roman"/>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permitted to exercise voting discretion with respect to Proposal 1.</w:t>
      </w:r>
    </w:p>
    <w:p>
      <w:pPr>
        <w:spacing w:after="0" w:line="284" w:lineRule="exact"/>
        <w:rPr>
          <w:sz w:val="20"/>
          <w:szCs w:val="20"/>
          <w:color w:val="auto"/>
        </w:rPr>
      </w:pPr>
    </w:p>
    <w:p>
      <w:pPr>
        <w:ind w:right="14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Accordingly, if you are a Stockholder and you do not vote or give your Broker specific instructions on how to vote for you, your shares will have no effect on the result of Proposal 1.</w:t>
      </w:r>
    </w:p>
    <w:p>
      <w:pPr>
        <w:spacing w:after="0" w:line="51" w:lineRule="exact"/>
        <w:rPr>
          <w:sz w:val="20"/>
          <w:szCs w:val="20"/>
          <w:color w:val="auto"/>
        </w:rPr>
      </w:pPr>
    </w:p>
    <w:p>
      <w:pPr>
        <w:ind w:right="320" w:firstLine="598"/>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ind w:right="60" w:firstLine="598"/>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Meeting, the chairman of the Meeting may adjourn the Meeting to permit further solicitation of proxies.</w:t>
      </w:r>
    </w:p>
    <w:p>
      <w:pPr>
        <w:spacing w:after="0" w:line="162" w:lineRule="exact"/>
        <w:rPr>
          <w:sz w:val="20"/>
          <w:szCs w:val="20"/>
          <w:color w:val="auto"/>
        </w:rPr>
      </w:pPr>
    </w:p>
    <w:p>
      <w:pPr>
        <w:ind w:right="460" w:firstLine="598"/>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ind w:right="120" w:firstLine="598"/>
        <w:spacing w:after="0" w:line="256"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Meeting, including the cost of preparing and posting this Proxy Statement and the Annual Report to the Internet and the cost of mailing the Notice of Annual Meeting, the Notice of Internet Availability of Proxy Materials and any requested proxy materials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8" w:lineRule="exact"/>
        <w:rPr>
          <w:sz w:val="20"/>
          <w:szCs w:val="20"/>
          <w:color w:val="auto"/>
        </w:rPr>
      </w:pPr>
    </w:p>
    <w:p>
      <w:pPr>
        <w:ind w:right="40" w:firstLine="598"/>
        <w:spacing w:after="0" w:line="254" w:lineRule="auto"/>
        <w:rPr>
          <w:sz w:val="20"/>
          <w:szCs w:val="20"/>
          <w:color w:val="auto"/>
        </w:rPr>
      </w:pPr>
      <w:r>
        <w:rPr>
          <w:rFonts w:ascii="Times New Roman" w:cs="Times New Roman" w:eastAsia="Times New Roman" w:hAnsi="Times New Roman"/>
          <w:sz w:val="18"/>
          <w:szCs w:val="18"/>
          <w:color w:val="auto"/>
        </w:rPr>
        <w:t>We combine any mailings for multiple accounts going to a single household, which is commonly referred to as “householding,” by delivering to that address a Notice of Internet Availability of Proxy Materials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Notice of Internet Availability of Proxy Materials or other communications, please notify your Broker. Stockholders who currently receive multiple copies of the Notice of Internet Availability of Proxy Materials or other communications at their addresses and would like to request "householding" of their communications should contact their Brokers.</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by directors or officers of the Company, officers or employees of PennantPark Investment Advisers, LLC, our investment adviser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PennantPark Investment Administration, LLC, our administrator (the “Administrator”), and/or by a retained solicitor. No additional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paid to such directors, officers or regular employees for such services. If we retain a solicitor, we have estimated that we will pay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 for such services. If we engage a solicitor, you could be contacted by telephone on behalf of the Company and be urged to vote. The solicitor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 to influence how you vote your shares, but will only ask that you take the time to cast a vote. You may also be asked if you would like to vote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telephone and to have your vote transmitted to our proxy tabulation firm. The address of each of the Adviser and the Administrator is 590 Madison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207"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 xml:space="preserve">Stockholders, other than those who hold shares through a Tel Aviv Stock Exchange (“TASE”) member,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228"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If your shares of Common Stock are held by a TASE member, please complete, sign and date the form of proxy card that we filed via MAGNA and attach to it an ownership certificate from the TASE member through which your shares are registered (i.e., your broker, bank or other nominee) indicating that you were the beneficial owner of the shares on the Record Date, the record date for voting, and return the proxy card along with the ownership certificate, to the Company’s Israeli counsel, Goldfarb Seligman &amp; Co., c/o Jonathan Cohen, 98 Yigal Alon Street, 36th Floor, Tel Aviv 6789141, Israel (email: jonathan.cohen@goldfarb.com). The proxy card and ownership certificate must be received no later than January 31, 2020, to be included in the tally of shares voted.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 w:name="page7"/>
    <w:bookmarkEnd w:id="6"/>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If a Stockholder, other than those who hold shares through a TASE member,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76" w:lineRule="exact"/>
        <w:rPr>
          <w:sz w:val="20"/>
          <w:szCs w:val="20"/>
          <w:color w:val="auto"/>
        </w:rPr>
      </w:pPr>
    </w:p>
    <w:p>
      <w:pPr>
        <w:jc w:val="both"/>
        <w:ind w:firstLine="598"/>
        <w:spacing w:after="0" w:line="266" w:lineRule="auto"/>
        <w:rPr>
          <w:sz w:val="20"/>
          <w:szCs w:val="20"/>
          <w:color w:val="auto"/>
        </w:rPr>
      </w:pPr>
      <w:r>
        <w:rPr>
          <w:rFonts w:ascii="Times New Roman" w:cs="Times New Roman" w:eastAsia="Times New Roman" w:hAnsi="Times New Roman"/>
          <w:sz w:val="18"/>
          <w:szCs w:val="18"/>
          <w:color w:val="auto"/>
        </w:rPr>
        <w:t>If your shares of Common Stock are held by a TASE member, and you wish to participate in the Meeting, you need to bring an ownership certificate from the TASE member through which your shares are registered (i.e., your broker, bank or other nominee) indicating that you were the beneficial owner of the shares on the Record Date, the record date for voting.</w:t>
      </w:r>
    </w:p>
    <w:p>
      <w:pPr>
        <w:spacing w:after="0" w:line="176"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Company’s Secretary on any business day before the date of the Meeting.</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12"/>
                <w:szCs w:val="12"/>
                <w:b w:val="1"/>
                <w:bCs w:val="1"/>
                <w:color w:val="auto"/>
              </w:rPr>
              <w:t>(1)</w:t>
            </w:r>
          </w:p>
        </w:tc>
        <w:tc>
          <w:tcPr>
            <w:tcW w:w="24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Type of ownership</w:t>
            </w:r>
            <w:r>
              <w:rPr>
                <w:rFonts w:ascii="Times New Roman" w:cs="Times New Roman" w:eastAsia="Times New Roman" w:hAnsi="Times New Roman"/>
                <w:sz w:val="12"/>
                <w:szCs w:val="12"/>
                <w:b w:val="1"/>
                <w:bCs w:val="1"/>
                <w:color w:val="auto"/>
              </w:rPr>
              <w:t>(3)</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6"/>
        </w:trPr>
        <w:tc>
          <w:tcPr>
            <w:tcW w:w="6500" w:type="dxa"/>
            <w:vAlign w:val="bottom"/>
            <w:gridSpan w:val="3"/>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Adam K. Bernstein</w:t>
            </w:r>
          </w:p>
        </w:tc>
        <w:tc>
          <w:tcPr>
            <w:tcW w:w="24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Marshall Brozost</w:t>
            </w:r>
          </w:p>
        </w:tc>
        <w:tc>
          <w:tcPr>
            <w:tcW w:w="2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Jeffrey Flug</w:t>
            </w:r>
          </w:p>
        </w:tc>
        <w:tc>
          <w:tcPr>
            <w:tcW w:w="24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Samuel L. Katz</w:t>
            </w:r>
          </w:p>
        </w:tc>
        <w:tc>
          <w:tcPr>
            <w:tcW w:w="2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2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2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gridSpan w:val="3"/>
          </w:tcPr>
          <w:p>
            <w:pPr>
              <w:ind w:left="260"/>
              <w:spacing w:after="0"/>
              <w:rPr>
                <w:sz w:val="20"/>
                <w:szCs w:val="20"/>
                <w:color w:val="auto"/>
              </w:rPr>
            </w:pPr>
            <w:r>
              <w:rPr>
                <w:rFonts w:ascii="Times New Roman" w:cs="Times New Roman" w:eastAsia="Times New Roman" w:hAnsi="Times New Roman"/>
                <w:sz w:val="18"/>
                <w:szCs w:val="18"/>
                <w:color w:val="auto"/>
              </w:rPr>
              <w:t>Aviv Efrat</w:t>
            </w:r>
          </w:p>
        </w:tc>
        <w:tc>
          <w:tcPr>
            <w:tcW w:w="246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 as a group (6 persons)</w:t>
            </w:r>
          </w:p>
        </w:tc>
        <w:tc>
          <w:tcPr>
            <w:tcW w:w="2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536,459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253,209 shares held by the Adviser.</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600" w:hanging="592"/>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jc w:val="both"/>
        <w:ind w:right="400" w:firstLine="59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Company’s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Investment Corporation, a business development company managed by the Adviser (“PNNT”).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320" w:type="dxa"/>
            <w:vAlign w:val="bottom"/>
            <w:gridSpan w:val="2"/>
            <w:vMerge w:val="continue"/>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60"/>
        </w:trPr>
        <w:tc>
          <w:tcPr>
            <w:tcW w:w="4540" w:type="dxa"/>
            <w:vAlign w:val="bottom"/>
            <w:gridSpan w:val="2"/>
            <w:vMerge w:val="continue"/>
          </w:tcPr>
          <w:p>
            <w:pPr>
              <w:spacing w:after="0"/>
              <w:rPr>
                <w:sz w:val="13"/>
                <w:szCs w:val="13"/>
                <w:color w:val="auto"/>
              </w:rPr>
            </w:pPr>
          </w:p>
        </w:tc>
        <w:tc>
          <w:tcPr>
            <w:tcW w:w="33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2"/>
                <w:szCs w:val="12"/>
                <w:b w:val="1"/>
                <w:bCs w:val="1"/>
                <w:color w:val="auto"/>
              </w:rPr>
              <w:t>(1)</w:t>
            </w:r>
          </w:p>
        </w:tc>
        <w:tc>
          <w:tcPr>
            <w:tcW w:w="3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FF0FC"/>
            </w:tcBorders>
            <w:shd w:val="clear" w:color="auto" w:fill="000000"/>
          </w:tcPr>
          <w:p>
            <w:pPr>
              <w:spacing w:after="0" w:line="20" w:lineRule="exact"/>
              <w:rPr>
                <w:sz w:val="1"/>
                <w:szCs w:val="1"/>
                <w:color w:val="auto"/>
              </w:rPr>
            </w:pPr>
          </w:p>
        </w:tc>
        <w:tc>
          <w:tcPr>
            <w:tcW w:w="2940" w:type="dxa"/>
            <w:vAlign w:val="bottom"/>
            <w:tcBorders>
              <w:bottom w:val="single" w:sz="8" w:color="CFF0FC"/>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Adam K. Bernstein</w:t>
            </w:r>
          </w:p>
        </w:tc>
        <w:tc>
          <w:tcPr>
            <w:tcW w:w="312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$50,001 - $100,000</w:t>
            </w: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Marshall Brozost</w:t>
            </w:r>
          </w:p>
        </w:tc>
        <w:tc>
          <w:tcPr>
            <w:tcW w:w="33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Jeffrey Flug</w:t>
            </w:r>
          </w:p>
        </w:tc>
        <w:tc>
          <w:tcPr>
            <w:tcW w:w="31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rPr>
              <w:t>$100,001 - $500,000</w:t>
            </w: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Samuel L. Katz</w:t>
            </w:r>
          </w:p>
        </w:tc>
        <w:tc>
          <w:tcPr>
            <w:tcW w:w="33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8"/>
              </w:rPr>
              <w:t>Over $1,000,000</w:t>
            </w: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33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8"/>
              </w:rPr>
              <w:t>Over $1,000,000</w:t>
            </w: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hanging="59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right="80"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 II and III directors will expire in 2021, 2022 and 2023, respectively. Each director will hold office for the term to which he is elected and until a successor is duly elected and qualifies.</w:t>
      </w:r>
    </w:p>
    <w:p>
      <w:pPr>
        <w:spacing w:after="0" w:line="180"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A Stockholder can vote for, or withhold his or her vote from, the nominee named below. In the absence of instructions to the contrary, it is the intention of the person named as proxy to vote such proxy FOR the election of the nominee named below. If the nominee should decline or be unable to serve as a director, it is intended that the proxy will be voted for the election of such person as is nominated by the Board as a replacement. The Board has no reason to believe that the nominee will be unable or unwilling to serve.</w:t>
      </w:r>
    </w:p>
    <w:p>
      <w:pPr>
        <w:spacing w:after="0" w:line="284" w:lineRule="exact"/>
        <w:rPr>
          <w:sz w:val="20"/>
          <w:szCs w:val="20"/>
          <w:color w:val="auto"/>
        </w:rPr>
      </w:pPr>
    </w:p>
    <w:p>
      <w:pPr>
        <w:ind w:right="56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 NAMED IN THIS PROXY STATEMENT.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 and Directors</w:t>
      </w:r>
    </w:p>
    <w:p>
      <w:pPr>
        <w:spacing w:after="0" w:line="229" w:lineRule="exact"/>
        <w:rPr>
          <w:sz w:val="20"/>
          <w:szCs w:val="20"/>
          <w:color w:val="auto"/>
        </w:rPr>
      </w:pPr>
    </w:p>
    <w:p>
      <w:pPr>
        <w:ind w:right="220" w:firstLine="598"/>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 currently serves as a director of the Company.</w:t>
      </w:r>
    </w:p>
    <w:p>
      <w:pPr>
        <w:spacing w:after="0" w:line="176" w:lineRule="exact"/>
        <w:rPr>
          <w:sz w:val="20"/>
          <w:szCs w:val="20"/>
          <w:color w:val="auto"/>
        </w:rPr>
      </w:pPr>
    </w:p>
    <w:p>
      <w:pPr>
        <w:ind w:right="340" w:firstLine="598"/>
        <w:spacing w:after="0" w:line="282" w:lineRule="auto"/>
        <w:rPr>
          <w:sz w:val="20"/>
          <w:szCs w:val="20"/>
          <w:color w:val="auto"/>
        </w:rPr>
      </w:pPr>
      <w:r>
        <w:rPr>
          <w:rFonts w:ascii="Times New Roman" w:cs="Times New Roman" w:eastAsia="Times New Roman" w:hAnsi="Times New Roman"/>
          <w:sz w:val="18"/>
          <w:szCs w:val="18"/>
          <w:color w:val="auto"/>
        </w:rPr>
        <w:t>Mr. Arthur H. Penn has been nominated for election as a Class III director of the Company for a three-year term expiring in 2023. Mr. Penn is not being proposed for election pursuant to any agreement or understanding between Mr. Penn and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 of Office</w:t>
            </w:r>
          </w:p>
        </w:tc>
        <w:tc>
          <w:tcPr>
            <w:tcW w:w="1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1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5"/>
                <w:szCs w:val="15"/>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Past 5 Years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343"/>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Adam K. Bernstein (56)</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PFLT - Class II</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President of The Bernstein</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Two</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Companies, a Washington, D.C.-</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October 2010;</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based real estate investment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 expires 2022</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development firm, since 1995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Officer of Consortium Atlantic</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Realty Trust, Inc., a private real</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estate investment trust operating in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the Mid-Atlantic region, from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2006. Also, Mr. Bernstein has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served on the Board of Overseers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 the School of Arts and Sciences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at the University of Pennsylvania</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since 2012.</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 of Office</w:t>
            </w:r>
          </w:p>
        </w:tc>
        <w:tc>
          <w:tcPr>
            <w:tcW w:w="12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Past 5 Years</w:t>
            </w:r>
          </w:p>
        </w:tc>
        <w:tc>
          <w:tcPr>
            <w:tcW w:w="0" w:type="dxa"/>
            <w:vAlign w:val="bottom"/>
          </w:tcPr>
          <w:p>
            <w:pPr>
              <w:spacing w:after="0"/>
              <w:rPr>
                <w:sz w:val="1"/>
                <w:szCs w:val="1"/>
                <w:color w:val="auto"/>
              </w:rPr>
            </w:pPr>
          </w:p>
        </w:tc>
      </w:tr>
      <w:tr>
        <w:trPr>
          <w:trHeight w:val="323"/>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Marshall Brozost (52)</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PFLT - Class I</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Partner at Orrick, Herrington &amp;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Sutcliffe LLP, where he practices</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October 2010;</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 the real estate and 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 expires, 2021</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equity groups, since July 2016.</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Prior to Orrick, Herrington &amp;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Sutcliffe LLP Mr. Brozost</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practiced law at Schulte Roth &amp;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Zabel from May 2012 to July</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2016 and at Dewey &amp; LeBoeuf</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LLP from 2005 to 2012.</w:t>
            </w:r>
          </w:p>
        </w:tc>
        <w:tc>
          <w:tcPr>
            <w:tcW w:w="0" w:type="dxa"/>
            <w:vAlign w:val="bottom"/>
          </w:tcPr>
          <w:p>
            <w:pPr>
              <w:spacing w:after="0"/>
              <w:rPr>
                <w:sz w:val="1"/>
                <w:szCs w:val="1"/>
                <w:color w:val="auto"/>
              </w:rPr>
            </w:pPr>
          </w:p>
        </w:tc>
      </w:tr>
      <w:tr>
        <w:trPr>
          <w:trHeight w:val="331"/>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Jeffrey Flug (57)</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PFLT - Class II</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Mr. Flug was President of Union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Square Hospitality Group, an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October 2010;</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exclusive chain of restaurants,</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 expires 2022</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from 2009 to June 2015. Mr. Flug</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served as Chief Executive Officer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and Executive Director of</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Millennium Promise Alliance,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 a non-profit organization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whose mission is to eradicate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extreme global poverty, from 2006</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 2008. From 2000 to 2006, Mr.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Flug was a Managing Director and</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Head of North American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Institutional Sales at JP Morgan’s</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Investment Bank.</w:t>
            </w:r>
          </w:p>
        </w:tc>
        <w:tc>
          <w:tcPr>
            <w:tcW w:w="0" w:type="dxa"/>
            <w:vAlign w:val="bottom"/>
          </w:tcPr>
          <w:p>
            <w:pPr>
              <w:spacing w:after="0"/>
              <w:rPr>
                <w:sz w:val="1"/>
                <w:szCs w:val="1"/>
                <w:color w:val="auto"/>
              </w:rPr>
            </w:pPr>
          </w:p>
        </w:tc>
      </w:tr>
      <w:tr>
        <w:trPr>
          <w:trHeight w:val="569"/>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343"/>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Two</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80"/>
        <w:spacing w:after="0"/>
        <w:tabs>
          <w:tab w:leader="none" w:pos="194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Shake Shack Inc.,</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since September</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2014; Sears</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Hometown and Outlet</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Stores, Inc., from</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October 2012 to</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September 2015.</w:t>
      </w:r>
    </w:p>
    <w:p>
      <w:pPr>
        <w:sectPr>
          <w:pgSz w:w="11900" w:h="16838" w:orient="portrait"/>
          <w:cols w:equalWidth="0" w:num="2">
            <w:col w:w="7800" w:space="100"/>
            <w:col w:w="3520"/>
          </w:cols>
          <w:pgMar w:left="240" w:top="129" w:right="239" w:bottom="1440" w:gutter="0" w:footer="0" w:header="0"/>
        </w:sectPr>
      </w:pPr>
    </w:p>
    <w:bookmarkStart w:id="11" w:name="page12"/>
    <w:bookmarkEnd w:id="1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 of Office</w:t>
            </w:r>
          </w:p>
        </w:tc>
        <w:tc>
          <w:tcPr>
            <w:tcW w:w="120" w:type="dxa"/>
            <w:vAlign w:val="bottom"/>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Past 5 Years</w:t>
            </w:r>
          </w:p>
        </w:tc>
        <w:tc>
          <w:tcPr>
            <w:tcW w:w="0" w:type="dxa"/>
            <w:vAlign w:val="bottom"/>
          </w:tcPr>
          <w:p>
            <w:pPr>
              <w:spacing w:after="0"/>
              <w:rPr>
                <w:sz w:val="1"/>
                <w:szCs w:val="1"/>
                <w:color w:val="auto"/>
              </w:rPr>
            </w:pPr>
          </w:p>
        </w:tc>
      </w:tr>
      <w:tr>
        <w:trPr>
          <w:trHeight w:val="323"/>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Samuel L. Katz (54)</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PFLT - Class I</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Managing Partner of TZP Group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LLC, a private equity fund, since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October 2010;</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2007. Before joining TZP Group,</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 expires 2021</w:t>
            </w: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Mr. Katz was Chief Executive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Officer of MacAndrews &amp; Forbes</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Acquisition Holdings, Inc. from</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2006 to 2007. Prior to that</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position, Mr. Katz was Chairman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and Chief Executive Officer of the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Cendant Travel Distribution</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Services Division from 2001 to</w:t>
            </w: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2005.</w:t>
            </w:r>
          </w:p>
        </w:tc>
        <w:tc>
          <w:tcPr>
            <w:tcW w:w="0" w:type="dxa"/>
            <w:vAlign w:val="bottom"/>
          </w:tcPr>
          <w:p>
            <w:pPr>
              <w:spacing w:after="0"/>
              <w:rPr>
                <w:sz w:val="1"/>
                <w:szCs w:val="1"/>
                <w:color w:val="auto"/>
              </w:rPr>
            </w:pPr>
          </w:p>
        </w:tc>
      </w:tr>
      <w:tr>
        <w:trPr>
          <w:trHeight w:val="43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1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343"/>
        </w:trPr>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Two</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bl>
    <w:p>
      <w:pPr>
        <w:sectPr>
          <w:pgSz w:w="11900" w:h="16838" w:orient="portrait"/>
          <w:cols w:equalWidth="0" w:num="2">
            <w:col w:w="7800" w:space="100"/>
            <w:col w:w="3520"/>
          </w:cols>
          <w:pgMar w:left="240" w:top="129"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Term of Office</w:t>
            </w:r>
          </w:p>
        </w:tc>
        <w:tc>
          <w:tcPr>
            <w:tcW w:w="12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Occupation(s) During, at</w:t>
            </w: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 Fund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22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Length of Time</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least, the</w:t>
            </w:r>
          </w:p>
        </w:tc>
        <w:tc>
          <w:tcPr>
            <w:tcW w:w="1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Complex Overseen</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with Company</w:t>
            </w:r>
          </w:p>
        </w:tc>
        <w:tc>
          <w:tcPr>
            <w:tcW w:w="1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120" w:type="dxa"/>
            <w:vAlign w:val="bottom"/>
          </w:tcPr>
          <w:p>
            <w:pPr>
              <w:spacing w:after="0"/>
              <w:rPr>
                <w:sz w:val="15"/>
                <w:szCs w:val="15"/>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Past 5 Years</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by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343"/>
        </w:trPr>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Interested Director</w:t>
            </w:r>
          </w:p>
        </w:tc>
        <w:tc>
          <w:tcPr>
            <w:tcW w:w="1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Arthur H. Penn (56)</w:t>
            </w:r>
            <w:r>
              <w:rPr>
                <w:rFonts w:ascii="Times New Roman" w:cs="Times New Roman" w:eastAsia="Times New Roman" w:hAnsi="Times New Roman"/>
                <w:sz w:val="14"/>
                <w:szCs w:val="14"/>
                <w:color w:val="auto"/>
              </w:rPr>
              <w:t>(3)</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PFLT - Class III</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Founder, Chairman and Chief</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Two</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None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Nominee,</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Executive Officer of the Company</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October 2010;</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from its inception in 2010. Mr.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Chief Executive</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 expires, if</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Penn also is the Founder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Officer and</w:t>
            </w: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elected, 2023</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Managing Member of the Adviser.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Chairman of the</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Before founding PNNT, Mr. Penn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Board of</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was the Co-Founder of Apollo</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Investment Management, where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he was a Managing Partner from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2004 to 2006. He also served as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Operating Officer of Apollo</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Investment Corporation from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inception in 2004 to 2006 and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served as President and Chief</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Operating Officer in 2006. He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formerly was a Managing Partner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of Apollo Value Fund L.P.</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(formerly Apollo Distressed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Investment Fund, L.P.) from 2003</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to 2006.</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right="80" w:firstLine="598"/>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right="160" w:firstLine="598"/>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ind w:right="20" w:firstLine="598"/>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91" w:lineRule="exact"/>
        <w:rPr>
          <w:sz w:val="20"/>
          <w:szCs w:val="20"/>
          <w:color w:val="auto"/>
        </w:rPr>
      </w:pPr>
    </w:p>
    <w:p>
      <w:pPr>
        <w:ind w:right="140" w:firstLine="598"/>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4" w:name="page15"/>
    <w:bookmarkEnd w:id="14"/>
    <w:p>
      <w:pPr>
        <w:ind w:right="80" w:firstLine="598"/>
        <w:spacing w:after="0" w:line="274" w:lineRule="auto"/>
        <w:rPr>
          <w:sz w:val="20"/>
          <w:szCs w:val="20"/>
          <w:color w:val="auto"/>
        </w:rPr>
      </w:pPr>
      <w:r>
        <w:rPr>
          <w:rFonts w:ascii="Times New Roman" w:cs="Times New Roman" w:eastAsia="Times New Roman" w:hAnsi="Times New Roman"/>
          <w:sz w:val="17"/>
          <w:szCs w:val="17"/>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74"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8"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ind w:right="260" w:firstLine="598"/>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its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Mr. Brozost brings to the Board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ind w:firstLine="598"/>
        <w:spacing w:after="0" w:line="258"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2019, the Board held four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98"/>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its quarterly report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7"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120" w:firstLine="598"/>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85"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its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all other executive officers, paid directly by the Company, if any. The Compensation Committee also assists the Board with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related to compensation, as directed by the Board. The current members of the Compensation Committee are Messrs. Bernstein, Brozost, Flug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Katz, each of whom is independent for purposes of the 1940 Act and the Nasdaq corporate governance rules. As discussed below, none of our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are directly compensated by the Company and, as a result, the Compensation Committee does not produce and/or review and report on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practices. The Compensation Committee Charter is available on the Company’s website (http://www.pennantpark.com).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68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60" w:type="dxa"/>
            <w:vAlign w:val="bottom"/>
            <w:gridSpan w:val="3"/>
            <w:vMerge w:val="continue"/>
          </w:tcPr>
          <w:p>
            <w:pPr>
              <w:spacing w:after="0"/>
              <w:rPr>
                <w:sz w:val="15"/>
                <w:szCs w:val="15"/>
                <w:color w:val="auto"/>
              </w:rPr>
            </w:pP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6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Aviv Efrat (55)</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 and</w:t>
            </w:r>
          </w:p>
        </w:tc>
        <w:tc>
          <w:tcPr>
            <w:tcW w:w="180" w:type="dxa"/>
            <w:vAlign w:val="bottom"/>
          </w:tcPr>
          <w:p>
            <w:pPr>
              <w:spacing w:after="0"/>
              <w:rPr>
                <w:sz w:val="16"/>
                <w:szCs w:val="16"/>
                <w:color w:val="auto"/>
              </w:rPr>
            </w:pPr>
          </w:p>
        </w:tc>
        <w:tc>
          <w:tcPr>
            <w:tcW w:w="6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 of PNNT and the Company from their inception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Treasurer</w:t>
            </w: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2007 and 2010, respectively. Managing Director of the Administrator from inception in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Mr. 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American Institute of Certified Public Accountants and the New York State Society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Certified Public Accountants.</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hanging="592"/>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40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230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84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60" w:type="dxa"/>
            <w:vAlign w:val="bottom"/>
            <w:gridSpan w:val="3"/>
            <w:vMerge w:val="continue"/>
          </w:tcPr>
          <w:p>
            <w:pPr>
              <w:spacing w:after="0"/>
              <w:rPr>
                <w:sz w:val="15"/>
                <w:szCs w:val="15"/>
                <w:color w:val="auto"/>
              </w:rPr>
            </w:pPr>
          </w:p>
        </w:tc>
        <w:tc>
          <w:tcPr>
            <w:tcW w:w="23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Guy F. Talarico (64)</w:t>
            </w:r>
          </w:p>
        </w:tc>
        <w:tc>
          <w:tcPr>
            <w:tcW w:w="100" w:type="dxa"/>
            <w:vAlign w:val="bottom"/>
          </w:tcPr>
          <w:p>
            <w:pPr>
              <w:spacing w:after="0"/>
              <w:rPr>
                <w:sz w:val="16"/>
                <w:szCs w:val="16"/>
                <w:color w:val="auto"/>
              </w:rPr>
            </w:pPr>
          </w:p>
        </w:tc>
        <w:tc>
          <w:tcPr>
            <w:tcW w:w="23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PNNT and the Company from May 2008 and March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advisers, private funds and investment companies from 2004 when he founded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00" w:hanging="592"/>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407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Joint Code of Ethics</w:t>
      </w:r>
    </w:p>
    <w:p>
      <w:pPr>
        <w:spacing w:after="0" w:line="229" w:lineRule="exact"/>
        <w:rPr>
          <w:sz w:val="20"/>
          <w:szCs w:val="20"/>
          <w:color w:val="auto"/>
        </w:rPr>
      </w:pPr>
    </w:p>
    <w:p>
      <w:pPr>
        <w:ind w:right="180" w:firstLine="598"/>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Joint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9" w:name="page20"/>
    <w:bookmarkEnd w:id="19"/>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As required by the 1940 Act, the Company, together with PNNT,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its Annual Report on Form 10-K, filed with the SEC on November 20, 2019. You may access the Joint Code of Ethics via the Internet site of the SEC (http://www.sec.gov) or our website (http://www.pennantpark.com). The Company intends to disclose any material amendments to or waivers of required provisions of its Joint Code of Conduct or its Joint Code of Ethics on Form 8-K.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ind w:right="180" w:firstLine="598"/>
        <w:spacing w:after="0" w:line="255" w:lineRule="auto"/>
        <w:rPr>
          <w:sz w:val="20"/>
          <w:szCs w:val="20"/>
          <w:color w:val="auto"/>
        </w:rPr>
      </w:pPr>
      <w:r>
        <w:rPr>
          <w:rFonts w:ascii="Times New Roman" w:cs="Times New Roman" w:eastAsia="Times New Roman" w:hAnsi="Times New Roman"/>
          <w:sz w:val="18"/>
          <w:szCs w:val="18"/>
          <w:color w:val="auto"/>
        </w:rPr>
        <w:t>Each Independent Director receives an annual payment of $70,000 for services performed on behalf of the Company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ind w:right="140" w:firstLine="598"/>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2019. No compensation is paid directly by the Company to any interested director or executive officer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9"/>
        </w:trPr>
        <w:tc>
          <w:tcPr>
            <w:tcW w:w="26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60"/>
        </w:trPr>
        <w:tc>
          <w:tcPr>
            <w:tcW w:w="2600" w:type="dxa"/>
            <w:vAlign w:val="bottom"/>
            <w:gridSpan w:val="6"/>
            <w:vMerge w:val="continue"/>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3"/>
                <w:szCs w:val="13"/>
                <w:color w:val="auto"/>
              </w:rPr>
            </w:pPr>
          </w:p>
        </w:tc>
        <w:tc>
          <w:tcPr>
            <w:tcW w:w="18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from the Company</w:t>
            </w:r>
          </w:p>
        </w:tc>
        <w:tc>
          <w:tcPr>
            <w:tcW w:w="260" w:type="dxa"/>
            <w:vAlign w:val="bottom"/>
          </w:tcPr>
          <w:p>
            <w:pPr>
              <w:spacing w:after="0"/>
              <w:rPr>
                <w:sz w:val="13"/>
                <w:szCs w:val="13"/>
                <w:color w:val="auto"/>
              </w:rPr>
            </w:pPr>
          </w:p>
        </w:tc>
        <w:tc>
          <w:tcPr>
            <w:tcW w:w="16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300" w:type="dxa"/>
            <w:vAlign w:val="bottom"/>
          </w:tcPr>
          <w:p>
            <w:pPr>
              <w:spacing w:after="0"/>
              <w:rPr>
                <w:sz w:val="19"/>
                <w:szCs w:val="19"/>
                <w:color w:val="auto"/>
              </w:rPr>
            </w:pPr>
          </w:p>
        </w:tc>
        <w:tc>
          <w:tcPr>
            <w:tcW w:w="20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300" w:type="dxa"/>
            <w:vAlign w:val="bottom"/>
          </w:tcPr>
          <w:p>
            <w:pPr>
              <w:spacing w:after="0"/>
              <w:rPr>
                <w:sz w:val="19"/>
                <w:szCs w:val="19"/>
                <w:color w:val="auto"/>
              </w:rPr>
            </w:pPr>
          </w:p>
        </w:tc>
        <w:tc>
          <w:tcPr>
            <w:tcW w:w="20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83,750</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1160" w:type="dxa"/>
            <w:vAlign w:val="bottom"/>
            <w:tcBorders>
              <w:top w:val="single" w:sz="8" w:color="CFF0FC"/>
            </w:tcBorders>
            <w:gridSpan w:val="2"/>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760" w:type="dxa"/>
            <w:vAlign w:val="bottom"/>
            <w:tcBorders>
              <w:top w:val="single" w:sz="8" w:color="CFF0FC"/>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2020" w:type="dxa"/>
            <w:vAlign w:val="bottom"/>
            <w:tcBorders>
              <w:top w:val="single" w:sz="8" w:color="CFF0FC"/>
            </w:tcBorders>
            <w:gridSpan w:val="2"/>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Borders>
              <w:top w:val="single" w:sz="8" w:color="CFF0FC"/>
            </w:tcBorders>
          </w:tcPr>
          <w:p>
            <w:pPr>
              <w:spacing w:after="0"/>
              <w:rPr>
                <w:sz w:val="19"/>
                <w:szCs w:val="19"/>
                <w:color w:val="auto"/>
              </w:rPr>
            </w:pPr>
          </w:p>
        </w:tc>
        <w:tc>
          <w:tcPr>
            <w:tcW w:w="1840" w:type="dxa"/>
            <w:vAlign w:val="bottom"/>
            <w:tcBorders>
              <w:top w:val="single" w:sz="8" w:color="CFF0FC"/>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Borders>
              <w:top w:val="single" w:sz="8" w:color="CFF0FC"/>
            </w:tcBorders>
          </w:tcPr>
          <w:p>
            <w:pPr>
              <w:spacing w:after="0"/>
              <w:rPr>
                <w:sz w:val="19"/>
                <w:szCs w:val="19"/>
                <w:color w:val="auto"/>
              </w:rPr>
            </w:pPr>
          </w:p>
        </w:tc>
        <w:tc>
          <w:tcPr>
            <w:tcW w:w="16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gridSpan w:val="5"/>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Aviv Efrat</w:t>
            </w:r>
            <w:r>
              <w:rPr>
                <w:rFonts w:ascii="Times New Roman" w:cs="Times New Roman" w:eastAsia="Times New Roman" w:hAnsi="Times New Roman"/>
                <w:sz w:val="15"/>
                <w:szCs w:val="15"/>
                <w:color w:val="auto"/>
              </w:rPr>
              <w:t>(2)</w:t>
            </w:r>
          </w:p>
        </w:tc>
        <w:tc>
          <w:tcPr>
            <w:tcW w:w="1300" w:type="dxa"/>
            <w:vAlign w:val="bottom"/>
            <w:tcBorders>
              <w:top w:val="single" w:sz="8" w:color="CFF0FC"/>
            </w:tcBorders>
            <w:gridSpan w:val="3"/>
          </w:tcPr>
          <w:p>
            <w:pPr>
              <w:spacing w:after="0"/>
              <w:rPr>
                <w:sz w:val="20"/>
                <w:szCs w:val="20"/>
                <w:color w:val="auto"/>
              </w:rPr>
            </w:pPr>
          </w:p>
        </w:tc>
        <w:tc>
          <w:tcPr>
            <w:tcW w:w="90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760" w:type="dxa"/>
            <w:vAlign w:val="bottom"/>
            <w:tcBorders>
              <w:top w:val="single" w:sz="8" w:color="CFF0FC"/>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2020" w:type="dxa"/>
            <w:vAlign w:val="bottom"/>
            <w:tcBorders>
              <w:top w:val="single" w:sz="8" w:color="CFF0FC"/>
            </w:tcBorders>
            <w:gridSpan w:val="2"/>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Borders>
              <w:top w:val="single" w:sz="8" w:color="CFF0FC"/>
            </w:tcBorders>
          </w:tcPr>
          <w:p>
            <w:pPr>
              <w:spacing w:after="0"/>
              <w:rPr>
                <w:sz w:val="20"/>
                <w:szCs w:val="20"/>
                <w:color w:val="auto"/>
              </w:rPr>
            </w:pPr>
          </w:p>
        </w:tc>
        <w:tc>
          <w:tcPr>
            <w:tcW w:w="1840" w:type="dxa"/>
            <w:vAlign w:val="bottom"/>
            <w:tcBorders>
              <w:top w:val="single" w:sz="8" w:color="CFF0FC"/>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tcBorders>
              <w:top w:val="single" w:sz="8" w:color="CFF0FC"/>
            </w:tcBorders>
          </w:tcPr>
          <w:p>
            <w:pPr>
              <w:spacing w:after="0"/>
              <w:rPr>
                <w:sz w:val="20"/>
                <w:szCs w:val="20"/>
                <w:color w:val="auto"/>
              </w:rPr>
            </w:pPr>
          </w:p>
        </w:tc>
        <w:tc>
          <w:tcPr>
            <w:tcW w:w="160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00" w:hanging="59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ind w:firstLine="598"/>
        <w:spacing w:after="0" w:line="274" w:lineRule="auto"/>
        <w:rPr>
          <w:sz w:val="20"/>
          <w:szCs w:val="20"/>
          <w:color w:val="auto"/>
        </w:rPr>
      </w:pPr>
      <w:r>
        <w:rPr>
          <w:rFonts w:ascii="Times New Roman" w:cs="Times New Roman" w:eastAsia="Times New Roman" w:hAnsi="Times New Roman"/>
          <w:sz w:val="17"/>
          <w:szCs w:val="17"/>
          <w:color w:val="auto"/>
        </w:rPr>
        <w:t>The Company’s investment activities are managed by the Adviser and supervised by the Board, of which 80% of the members are Independent Directors. The Company’s Investment Management Agreement with the Adviser was re-approved by the Board, including a majority of the Independent Directors, in February 2019. Under the Company’s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2019, the Adviser earned a base management fee of $10.2 million and an incentive fee of $7.6 million (before (1.4) million on realized gains accrued but not payable) from the Company.</w:t>
      </w:r>
    </w:p>
    <w:p>
      <w:pPr>
        <w:spacing w:after="0" w:line="174" w:lineRule="exact"/>
        <w:rPr>
          <w:sz w:val="20"/>
          <w:szCs w:val="20"/>
          <w:color w:val="auto"/>
        </w:rPr>
      </w:pPr>
    </w:p>
    <w:p>
      <w:pPr>
        <w:ind w:right="80" w:firstLine="598"/>
        <w:spacing w:after="0" w:line="256"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February 2019. Under the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a Managing Director of the Administrator. For the fiscal year ended September 30, 2019, the Adviser and the Administrator, collectively, were reimbursed $1.9 million from the Company for the services described above.</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880" w:firstLine="598"/>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62" w:lineRule="exact"/>
        <w:rPr>
          <w:sz w:val="20"/>
          <w:szCs w:val="20"/>
          <w:color w:val="auto"/>
        </w:rPr>
      </w:pPr>
    </w:p>
    <w:p>
      <w:pPr>
        <w:ind w:right="20" w:firstLine="598"/>
        <w:spacing w:after="0" w:line="261" w:lineRule="auto"/>
        <w:rPr>
          <w:sz w:val="20"/>
          <w:szCs w:val="20"/>
          <w:color w:val="auto"/>
        </w:rPr>
      </w:pPr>
      <w:r>
        <w:rPr>
          <w:rFonts w:ascii="Times New Roman" w:cs="Times New Roman" w:eastAsia="Times New Roman" w:hAnsi="Times New Roman"/>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RSM US LLP (“RSM”), has been selected as the independent registered public accounting firm to audit the consolidated financial statements of the Company and its subsidiaries on and during the Company’s fiscal year ending September 30, 2020. RSM was selected by the Audit Committee, and that selection was ratified by a majority of the Board, including all of the Independent Directors, by a vote cast in person.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114300</wp:posOffset>
            </wp:positionV>
            <wp:extent cx="49314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4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640" w:type="dxa"/>
            <w:vAlign w:val="bottom"/>
            <w:tcBorders>
              <w:top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457,872</w:t>
            </w:r>
          </w:p>
        </w:tc>
        <w:tc>
          <w:tcPr>
            <w:tcW w:w="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417,609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64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64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10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4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10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19"/>
                <w:szCs w:val="19"/>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480,824</w:t>
            </w:r>
          </w:p>
        </w:tc>
        <w:tc>
          <w:tcPr>
            <w:tcW w:w="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427,030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196" w:lineRule="exact"/>
        <w:rPr>
          <w:sz w:val="20"/>
          <w:szCs w:val="20"/>
          <w:color w:val="auto"/>
        </w:rPr>
      </w:pPr>
    </w:p>
    <w:p>
      <w:pPr>
        <w:ind w:right="38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ind w:right="20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4" w:lineRule="exact"/>
        <w:rPr>
          <w:sz w:val="20"/>
          <w:szCs w:val="20"/>
          <w:color w:val="auto"/>
        </w:rPr>
      </w:pPr>
    </w:p>
    <w:p>
      <w:pPr>
        <w:ind w:right="26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2019 were approved by the Audit Committee in accordance with such policy.</w:t>
      </w:r>
    </w:p>
    <w:p>
      <w:pPr>
        <w:spacing w:after="0" w:line="184"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15"/>
          <w:szCs w:val="15"/>
          <w:b w:val="1"/>
          <w:bCs w:val="1"/>
          <w:i w:val="1"/>
          <w:iCs w:val="1"/>
          <w:color w:val="auto"/>
        </w:rPr>
        <w:t>(1)</w:t>
      </w:r>
    </w:p>
    <w:p>
      <w:pPr>
        <w:spacing w:after="0" w:line="121" w:lineRule="exact"/>
        <w:rPr>
          <w:sz w:val="20"/>
          <w:szCs w:val="20"/>
          <w:color w:val="auto"/>
        </w:rPr>
      </w:pPr>
    </w:p>
    <w:p>
      <w:pPr>
        <w:ind w:right="200" w:firstLine="598"/>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2019.</w:t>
      </w:r>
    </w:p>
    <w:p>
      <w:pPr>
        <w:spacing w:after="0" w:line="162" w:lineRule="exact"/>
        <w:rPr>
          <w:sz w:val="20"/>
          <w:szCs w:val="20"/>
          <w:color w:val="auto"/>
        </w:rPr>
      </w:pPr>
    </w:p>
    <w:p>
      <w:pPr>
        <w:ind w:right="160" w:firstLine="598"/>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8"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9"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Company’s Annual Report on Form 10-K for the fiscal year ended September 30, 2019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jc w:val="both"/>
        <w:ind w:left="600" w:hanging="592"/>
        <w:spacing w:after="0" w:line="266"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8407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ind w:right="720" w:firstLine="598"/>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Meeting or that may properly come before the Meeting, apart from the consideration of an adjournment or postponement.</w:t>
      </w:r>
    </w:p>
    <w:p>
      <w:pPr>
        <w:spacing w:after="0" w:line="162" w:lineRule="exact"/>
        <w:rPr>
          <w:sz w:val="20"/>
          <w:szCs w:val="20"/>
          <w:color w:val="auto"/>
        </w:rPr>
      </w:pPr>
    </w:p>
    <w:p>
      <w:pPr>
        <w:ind w:right="440" w:firstLine="598"/>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 Copies of such reports are also posted via EDGAR on the SEC’s website (http://www.sec.gov).</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The Company expects to hold its 2021 Annual Meeting of Stockholders in February 2021, but the exact date, time and location of such meeting have yet to be determined. A Stockholder of the Company who intends to present a proposal at that meeting, including nomination of a director, must submit the proposal in writing addressed to Thomas J. Friedmann, Secretary,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 Notices of intention to present proposals, including nomination of a director, at the 2021 Annual Meeting of Stockholders must be received by the Company between July 20, 2020 and August 19, 2020.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9" w:lineRule="exact"/>
        <w:rPr>
          <w:sz w:val="20"/>
          <w:szCs w:val="20"/>
          <w:color w:val="auto"/>
        </w:rPr>
      </w:pPr>
    </w:p>
    <w:p>
      <w:pPr>
        <w:ind w:right="220" w:firstLine="598"/>
        <w:spacing w:after="0" w:line="281" w:lineRule="auto"/>
        <w:rPr>
          <w:sz w:val="20"/>
          <w:szCs w:val="20"/>
          <w:color w:val="auto"/>
        </w:rPr>
      </w:pPr>
      <w:r>
        <w:rPr>
          <w:rFonts w:ascii="Times New Roman" w:cs="Times New Roman" w:eastAsia="Times New Roman" w:hAnsi="Times New Roman"/>
          <w:sz w:val="17"/>
          <w:szCs w:val="17"/>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11910" cy="403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119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2019</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5" w:name="page26"/>
    <w:bookmarkEnd w:id="25"/>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590 Madison Avenue</w:t>
      </w:r>
    </w:p>
    <w:p>
      <w:pPr>
        <w:spacing w:after="0" w:line="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2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PROXY CARD FOR SHAREHOLDERS WHO HOLD SHARES VIA TASE MEMBERS</w:t>
      </w:r>
    </w:p>
    <w:p>
      <w:pPr>
        <w:spacing w:after="0" w:line="22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February 4, 2020 at 9:45 a.m., Eastern</w:t>
      </w:r>
    </w:p>
    <w:p>
      <w:pPr>
        <w:spacing w:after="0" w:line="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appoints Mr. Arthur H. Penn or his designated substitute to act as attorney and proxy for the undersigned to vote all the shares of Common Stock of PennantPark Floating Rate Capital Ltd. (the "Company") which the undersigned is entitled to vote at the Annual Meeting of Stockholders of the Company (the “Meeting”) to be held at the offices of Dechert LLP, located at 1095 Avenue of the Americas, New York, New York, on February 4, 2020 at 9:45 a.m., Eastern time, and at all adjournments thereof, as indicated on this proxy.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If no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Please sign and date this proxy card and return it promptly, together with an Ownership Certificate from the TASE member through which your shares are registered, to the Company's Israeli counsel, Goldfarb Seligman &amp; Co., c/o Jonathan Cohen, 98 Yigal Alon Street, 36th Floor, Tel Aviv 6789141, Israel (email: </w:t>
      </w:r>
      <w:r>
        <w:rPr>
          <w:rFonts w:ascii="Times New Roman" w:cs="Times New Roman" w:eastAsia="Times New Roman" w:hAnsi="Times New Roman"/>
          <w:sz w:val="18"/>
          <w:szCs w:val="18"/>
          <w:b w:val="1"/>
          <w:bCs w:val="1"/>
          <w:u w:val="single" w:color="auto"/>
          <w:color w:val="auto"/>
        </w:rPr>
        <w:t>jonathan.cohen@goldfarb.com</w:t>
      </w:r>
      <w:r>
        <w:rPr>
          <w:rFonts w:ascii="Times New Roman" w:cs="Times New Roman" w:eastAsia="Times New Roman" w:hAnsi="Times New Roman"/>
          <w:sz w:val="18"/>
          <w:szCs w:val="18"/>
          <w:b w:val="1"/>
          <w:bCs w:val="1"/>
          <w:color w:val="auto"/>
        </w:rPr>
        <w:t>) so your shares may be represented at the Meeting. The proxy card and Ownership Certificate must be received no later than January 30, 2019 to be validly included in the tally of shares voted at the Meeting.</w:t>
      </w:r>
    </w:p>
    <w:p>
      <w:pPr>
        <w:spacing w:after="0" w:line="36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Continued and to be signed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350520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225" w:lineRule="exact"/>
        <w:rPr>
          <w:sz w:val="20"/>
          <w:szCs w:val="20"/>
          <w:color w:val="auto"/>
        </w:rPr>
      </w:pPr>
    </w:p>
    <w:p>
      <w:pPr>
        <w:ind w:left="600" w:hanging="592"/>
        <w:spacing w:after="0"/>
        <w:tabs>
          <w:tab w:leader="none" w:pos="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w:t>
      </w:r>
    </w:p>
    <w:p>
      <w:pPr>
        <w:spacing w:after="0" w:line="225" w:lineRule="exact"/>
        <w:rPr>
          <w:sz w:val="20"/>
          <w:szCs w:val="20"/>
          <w:color w:val="auto"/>
        </w:rPr>
      </w:pPr>
    </w:p>
    <w:p>
      <w:pPr>
        <w:ind w:left="600"/>
        <w:spacing w:after="0"/>
        <w:tabs>
          <w:tab w:leader="none" w:pos="1700" w:val="left"/>
        </w:tabs>
        <w:rPr>
          <w:sz w:val="20"/>
          <w:szCs w:val="20"/>
          <w:color w:val="auto"/>
        </w:rPr>
      </w:pP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8"/>
          <w:szCs w:val="18"/>
          <w:color w:val="auto"/>
        </w:rPr>
        <w:t>01 Mr. Arthur H. Penn</w:t>
      </w:r>
    </w:p>
    <w:p>
      <w:pPr>
        <w:spacing w:after="0" w:line="197" w:lineRule="exact"/>
        <w:rPr>
          <w:sz w:val="20"/>
          <w:szCs w:val="20"/>
          <w:color w:val="auto"/>
        </w:rPr>
      </w:pPr>
    </w:p>
    <w:p>
      <w:pPr>
        <w:ind w:left="2300"/>
        <w:spacing w:after="0" w:line="207" w:lineRule="exact"/>
        <w:tabs>
          <w:tab w:leader="none" w:pos="3860" w:val="left"/>
          <w:tab w:leader="none" w:pos="604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2"/>
          <w:szCs w:val="12"/>
          <w:b w:val="1"/>
          <w:bCs w:val="1"/>
          <w:color w:val="auto"/>
        </w:rPr>
        <w:t xml:space="preserve"> FOR ALL</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WITHHOLD ALL</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FOR ALL EXCEPT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withhold authority to vote for any individual nominee(s), mark "For All Except" and write the number(s) of the nominee(s) on the line below</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Board of Directors recommends you vote FOR the following:</w:t>
      </w:r>
    </w:p>
    <w:p>
      <w:pPr>
        <w:spacing w:after="0" w:line="117" w:lineRule="exact"/>
        <w:rPr>
          <w:sz w:val="20"/>
          <w:szCs w:val="20"/>
          <w:color w:val="auto"/>
        </w:rPr>
      </w:pPr>
    </w:p>
    <w:p>
      <w:pPr>
        <w:ind w:left="600" w:right="20" w:hanging="59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2020.</w:t>
      </w:r>
    </w:p>
    <w:p>
      <w:pPr>
        <w:spacing w:after="0" w:line="133" w:lineRule="exact"/>
        <w:rPr>
          <w:sz w:val="20"/>
          <w:szCs w:val="20"/>
          <w:color w:val="auto"/>
        </w:rPr>
      </w:pPr>
    </w:p>
    <w:p>
      <w:pPr>
        <w:ind w:left="2300"/>
        <w:spacing w:after="0" w:line="207" w:lineRule="exact"/>
        <w:tabs>
          <w:tab w:leader="none" w:pos="3860" w:val="left"/>
          <w:tab w:leader="none" w:pos="604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2"/>
          <w:szCs w:val="12"/>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AGAINST</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ABSTAIN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indicate if you plan to attend this meeting</w:t>
      </w:r>
    </w:p>
    <w:p>
      <w:pPr>
        <w:spacing w:after="0" w:line="197" w:lineRule="exact"/>
        <w:rPr>
          <w:sz w:val="20"/>
          <w:szCs w:val="20"/>
          <w:color w:val="auto"/>
        </w:rPr>
      </w:pPr>
    </w:p>
    <w:p>
      <w:pPr>
        <w:ind w:left="2320"/>
        <w:spacing w:after="0" w:line="207" w:lineRule="exact"/>
        <w:tabs>
          <w:tab w:leader="none" w:pos="388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2"/>
          <w:szCs w:val="12"/>
          <w:b w:val="1"/>
          <w:bCs w:val="1"/>
          <w:color w:val="auto"/>
        </w:rPr>
        <w:t xml:space="preserve"> YES</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2"/>
          <w:szCs w:val="12"/>
          <w:b w:val="1"/>
          <w:bCs w:val="1"/>
          <w:color w:val="auto"/>
        </w:rPr>
        <w:t>NO</w:t>
      </w:r>
    </w:p>
    <w:p>
      <w:pPr>
        <w:spacing w:after="0" w:line="2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on the ownership confirmation issued by your TASE member. When signing as attorney, executor, administrator, or other fiduciary, please give full title as such. Joint holders should each sign personally. All holders must sign. If a corporation or partnership, please sign in full corporate or partnership name by duly authorized officer.</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Print name</w:t>
            </w:r>
          </w:p>
        </w:tc>
        <w:tc>
          <w:tcPr>
            <w:tcW w:w="120" w:type="dxa"/>
            <w:vAlign w:val="bottom"/>
          </w:tcPr>
          <w:p>
            <w:pPr>
              <w:spacing w:after="0"/>
              <w:rPr>
                <w:sz w:val="21"/>
                <w:szCs w:val="21"/>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100" w:type="dxa"/>
            <w:vAlign w:val="bottom"/>
          </w:tcPr>
          <w:p>
            <w:pPr>
              <w:spacing w:after="0"/>
              <w:rPr>
                <w:sz w:val="21"/>
                <w:szCs w:val="21"/>
                <w:color w:val="auto"/>
              </w:rPr>
            </w:pPr>
          </w:p>
        </w:tc>
        <w:tc>
          <w:tcPr>
            <w:tcW w:w="1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170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Print name</w:t>
            </w:r>
          </w:p>
        </w:tc>
        <w:tc>
          <w:tcPr>
            <w:tcW w:w="120" w:type="dxa"/>
            <w:vAlign w:val="bottom"/>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(Joint Owners)</w:t>
            </w:r>
          </w:p>
        </w:tc>
        <w:tc>
          <w:tcPr>
            <w:tcW w:w="100" w:type="dxa"/>
            <w:vAlign w:val="bottom"/>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Signature</w:t>
            </w: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Date</w:t>
            </w: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5" w:right="21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430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430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439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439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430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430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7623175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234950</wp:posOffset>
            </wp:positionV>
            <wp:extent cx="7289165" cy="7439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439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1118235</wp:posOffset>
            </wp:positionH>
            <wp:positionV relativeFrom="page">
              <wp:posOffset>234950</wp:posOffset>
            </wp:positionV>
            <wp:extent cx="5334000" cy="6911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34000" cy="6911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1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2019-12-17T15:17:24Z</dcterms:created>
  <dcterms:modified xsi:type="dcterms:W3CDTF">2019-12-17T15:17:24Z</dcterms:modified>
</cp:coreProperties>
</file>