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tabs>
          <w:tab w:leader="none" w:pos="40" w:val="left"/>
        </w:tabs>
        <w:rPr>
          <w:sz w:val="20"/>
          <w:szCs w:val="20"/>
          <w:color w:val="auto"/>
        </w:rPr>
      </w:pPr>
      <w:r>
        <w:rPr>
          <w:rFonts w:ascii="Arial" w:cs="Arial" w:eastAsia="Arial" w:hAnsi="Arial"/>
          <w:sz w:val="18"/>
          <w:szCs w:val="18"/>
          <w:color w:val="auto"/>
        </w:rPr>
        <w:t>No. [</w:t>
        <w:tab/>
        <w: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EXPEDITED REVIEW REQUESTED UNDER 17 CFR 270.0-5(d)</w:t>
      </w:r>
    </w:p>
    <w:p>
      <w:pPr>
        <w:spacing w:after="0" w:line="20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168910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00"/>
        <w:spacing w:after="0" w:line="263" w:lineRule="auto"/>
        <w:rPr>
          <w:sz w:val="20"/>
          <w:szCs w:val="20"/>
          <w:color w:val="auto"/>
        </w:rPr>
      </w:pPr>
      <w:r>
        <w:rPr>
          <w:rFonts w:ascii="Arial" w:cs="Arial" w:eastAsia="Arial" w:hAnsi="Arial"/>
          <w:sz w:val="18"/>
          <w:szCs w:val="18"/>
          <w:color w:val="auto"/>
        </w:rPr>
        <w:t>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160020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00"/>
        <w:spacing w:after="0" w:line="258" w:lineRule="auto"/>
        <w:rPr>
          <w:sz w:val="20"/>
          <w:szCs w:val="20"/>
          <w:color w:val="auto"/>
        </w:rPr>
      </w:pPr>
      <w:r>
        <w:rPr>
          <w:rFonts w:ascii="Arial" w:cs="Arial" w:eastAsia="Arial" w:hAnsi="Arial"/>
          <w:sz w:val="18"/>
          <w:szCs w:val="18"/>
          <w:b w:val="1"/>
          <w:bCs w:val="1"/>
          <w:color w:val="auto"/>
        </w:rPr>
        <w:t>PENNANTPARK INVESTMENT ADVISERS, LLC, PENNANTPARK INVESTMENT CORPORATION, PENNANTPARK FLOATING RATE CAPITAL LTD., PENNANTPARK CREDIT OPPORTUNITIES FUND II, LP, PENNANTPARK CREDIT OPPORTUNITIES FUND III, LP, PENNANTPARK SENIOR CREDIT FUND, LLC, PENNANTPARK SENIOR CREDIT FUND LEVERED, LP, BERKELEY ROAD WC FUNDING SPV, LP, BERKELEY ROAD WC FUNDING SPV 2, LP, SP CREDIT ACQUISITIONS LLC, PENNANTPARK SENIOR CREDIT FUND, SMA,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153670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351155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21"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(212) 905-1000</w:t>
      </w:r>
    </w:p>
    <w:p>
      <w:pPr>
        <w:spacing w:after="0" w:line="211"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Copies to:</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Thomas J. Friedman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David J. Harris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Dechert LLP</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One International Place,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40th Floor, 100 Oliver Street,</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Boston, MA, 02110-2605</w:t>
      </w:r>
    </w:p>
    <w:p>
      <w:pPr>
        <w:spacing w:after="0" w:line="9" w:lineRule="exact"/>
        <w:rPr>
          <w:sz w:val="24"/>
          <w:szCs w:val="24"/>
          <w:color w:val="auto"/>
        </w:rPr>
      </w:pPr>
    </w:p>
    <w:p>
      <w:pPr>
        <w:jc w:val="right"/>
        <w:ind w:left="4780" w:right="4900" w:firstLine="62"/>
        <w:spacing w:after="0" w:line="957" w:lineRule="auto"/>
        <w:tabs>
          <w:tab w:leader="none" w:pos="5270" w:val="left"/>
        </w:tabs>
        <w:numPr>
          <w:ilvl w:val="0"/>
          <w:numId w:val="1"/>
        </w:numPr>
        <w:rPr>
          <w:rFonts w:ascii="Arial" w:cs="Arial" w:eastAsia="Arial" w:hAnsi="Arial"/>
          <w:sz w:val="16"/>
          <w:szCs w:val="16"/>
          <w:color w:val="auto"/>
        </w:rPr>
      </w:pPr>
      <w:r>
        <w:rPr>
          <w:rFonts w:ascii="Arial" w:cs="Arial" w:eastAsia="Arial" w:hAnsi="Arial"/>
          <w:sz w:val="16"/>
          <w:szCs w:val="16"/>
          <w:color w:val="auto"/>
        </w:rPr>
        <w:t>728-7120 January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-631190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-176530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540" w:top="233" w:right="439" w:bottom="1440" w:gutter="0" w:footer="0" w:header="0"/>
        </w:sectPr>
      </w:pPr>
    </w:p>
    <w:bookmarkStart w:id="1" w:name="page2"/>
    <w:bookmarkEnd w:id="1"/>
    <w:p>
      <w:pPr>
        <w:ind w:left="304" w:hanging="304"/>
        <w:spacing w:after="0"/>
        <w:tabs>
          <w:tab w:leader="none" w:pos="30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135" w:lineRule="exact"/>
        <w:rPr>
          <w:sz w:val="20"/>
          <w:szCs w:val="20"/>
          <w:color w:val="auto"/>
        </w:rPr>
      </w:pPr>
    </w:p>
    <w:p>
      <w:pPr>
        <w:ind w:left="544" w:hanging="544"/>
        <w:spacing w:after="0"/>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Requested Relief</w:t>
      </w:r>
    </w:p>
    <w:p>
      <w:pPr>
        <w:spacing w:after="0" w:line="225" w:lineRule="exact"/>
        <w:rPr>
          <w:sz w:val="20"/>
          <w:szCs w:val="20"/>
          <w:color w:val="auto"/>
        </w:rPr>
      </w:pPr>
    </w:p>
    <w:p>
      <w:pPr>
        <w:jc w:val="both"/>
        <w:ind w:left="4" w:right="180" w:firstLine="440"/>
        <w:spacing w:after="0" w:line="279" w:lineRule="auto"/>
        <w:rPr>
          <w:sz w:val="20"/>
          <w:szCs w:val="20"/>
          <w:color w:val="auto"/>
        </w:rPr>
      </w:pPr>
      <w:r>
        <w:rPr>
          <w:rFonts w:ascii="Arial" w:cs="Arial" w:eastAsia="Arial" w:hAnsi="Arial"/>
          <w:sz w:val="17"/>
          <w:szCs w:val="17"/>
          <w:color w:val="auto"/>
        </w:rPr>
        <w:t>PennantPark Investment Corporation, PennantPark Floating Rate Capital Ltd. and their related entities, identified in section I.B. below, hereby request an order (the “</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pursuant to Sections 17(d) and 57(i) of the Investment Company Act of 1940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 xml:space="preserve"> and Rule 17d-1 thereunder</w:t>
      </w:r>
      <w:r>
        <w:rPr>
          <w:rFonts w:ascii="Arial" w:cs="Arial" w:eastAsia="Arial" w:hAnsi="Arial"/>
          <w:sz w:val="14"/>
          <w:szCs w:val="14"/>
          <w:color w:val="auto"/>
        </w:rPr>
        <w:t>2</w:t>
      </w:r>
      <w:r>
        <w:rPr>
          <w:rFonts w:ascii="Arial" w:cs="Arial" w:eastAsia="Arial" w:hAnsi="Arial"/>
          <w:sz w:val="17"/>
          <w:szCs w:val="17"/>
          <w:color w:val="auto"/>
        </w:rPr>
        <w:t xml:space="preserve"> authorizing certain joint transactions that otherwise would be prohibited by either or both of Sections 17(d) and 57(a)(4) as modified by the exemptive rules adopted by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Act.</w:t>
      </w:r>
    </w:p>
    <w:p>
      <w:pPr>
        <w:spacing w:after="0" w:line="17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In particular, 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one or more Regulated Funds (including one or more BDC Downstream Funds) and/or one or more Affiliated Funds (each as defined below) to participate in the same investment opportunities where such participation would otherwise be prohibited under Section 17(d) or 57(a)(4) and the rules under the Act. All existing entities that currently intend to rely on the Order have been named as Applicants (defined below) and any existing or future entities that may rely on the Order in the future will comply with the terms and conditions set forth in this application (the “</w:t>
      </w:r>
      <w:r>
        <w:rPr>
          <w:rFonts w:ascii="Arial" w:cs="Arial" w:eastAsia="Arial" w:hAnsi="Arial"/>
          <w:sz w:val="18"/>
          <w:szCs w:val="18"/>
          <w:b w:val="1"/>
          <w:bCs w:val="1"/>
          <w:i w:val="1"/>
          <w:iCs w:val="1"/>
          <w:color w:val="auto"/>
        </w:rPr>
        <w:t>Conditions</w:t>
      </w:r>
      <w:r>
        <w:rPr>
          <w:rFonts w:ascii="Arial" w:cs="Arial" w:eastAsia="Arial" w:hAnsi="Arial"/>
          <w:sz w:val="18"/>
          <w:szCs w:val="18"/>
          <w:color w:val="auto"/>
        </w:rPr>
        <w:t>”).</w:t>
      </w:r>
    </w:p>
    <w:p>
      <w:pPr>
        <w:spacing w:after="0" w:line="18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Order sought by this Application would supersede the order, dated April 15, 2014, issued by the Commission to PennantPark Investment Corporation, et al. under Section 17(d) and 57(i) of the Act and Rule 17d-1 under the Act permitting certain joint transactions otherwise prohibited by Sections 17(d) and 57(a)(4) of the Act and Rule 17d-1 under the Act (the “</w:t>
      </w:r>
      <w:r>
        <w:rPr>
          <w:rFonts w:ascii="Arial" w:cs="Arial" w:eastAsia="Arial" w:hAnsi="Arial"/>
          <w:sz w:val="18"/>
          <w:szCs w:val="18"/>
          <w:b w:val="1"/>
          <w:bCs w:val="1"/>
          <w:i w:val="1"/>
          <w:iCs w:val="1"/>
          <w:color w:val="auto"/>
        </w:rPr>
        <w:t>Prior Order</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xml:space="preserve"> with the result that no person will continue to rely on the Prior Order if the Order is granted.</w:t>
      </w:r>
    </w:p>
    <w:p>
      <w:pPr>
        <w:spacing w:after="0" w:line="92" w:lineRule="exact"/>
        <w:rPr>
          <w:sz w:val="20"/>
          <w:szCs w:val="20"/>
          <w:color w:val="auto"/>
        </w:rPr>
      </w:pPr>
    </w:p>
    <w:p>
      <w:pPr>
        <w:ind w:left="544" w:hanging="544"/>
        <w:spacing w:after="0"/>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Applicants Seeking Relief:</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Investment Corporation (“</w:t>
      </w:r>
      <w:r>
        <w:rPr>
          <w:rFonts w:ascii="Arial" w:cs="Arial" w:eastAsia="Arial" w:hAnsi="Arial"/>
          <w:sz w:val="18"/>
          <w:szCs w:val="18"/>
          <w:b w:val="1"/>
          <w:bCs w:val="1"/>
          <w:i w:val="1"/>
          <w:iCs w:val="1"/>
          <w:color w:val="auto"/>
        </w:rPr>
        <w:t>PNNT</w:t>
      </w:r>
      <w:r>
        <w:rPr>
          <w:rFonts w:ascii="Arial" w:cs="Arial" w:eastAsia="Arial" w:hAnsi="Arial"/>
          <w:sz w:val="18"/>
          <w:szCs w:val="18"/>
          <w:color w:val="auto"/>
        </w:rPr>
        <w:t>”), a closed-end management investment company that has elected to be regulated as a BDC (defined below);</w:t>
      </w:r>
    </w:p>
    <w:p>
      <w:pPr>
        <w:spacing w:after="0" w:line="75" w:lineRule="exact"/>
        <w:rPr>
          <w:rFonts w:ascii="Arial" w:cs="Arial" w:eastAsia="Arial" w:hAnsi="Arial"/>
          <w:sz w:val="18"/>
          <w:szCs w:val="18"/>
          <w:color w:val="auto"/>
        </w:rPr>
      </w:pPr>
    </w:p>
    <w:p>
      <w:pPr>
        <w:ind w:left="1424" w:right="720" w:hanging="439"/>
        <w:spacing w:after="0" w:line="277"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Floating Rate Capital Ltd. (“</w:t>
      </w:r>
      <w:r>
        <w:rPr>
          <w:rFonts w:ascii="Arial" w:cs="Arial" w:eastAsia="Arial" w:hAnsi="Arial"/>
          <w:sz w:val="18"/>
          <w:szCs w:val="18"/>
          <w:b w:val="1"/>
          <w:bCs w:val="1"/>
          <w:i w:val="1"/>
          <w:iCs w:val="1"/>
          <w:color w:val="auto"/>
        </w:rPr>
        <w:t>PFLT</w:t>
      </w:r>
      <w:r>
        <w:rPr>
          <w:rFonts w:ascii="Arial" w:cs="Arial" w:eastAsia="Arial" w:hAnsi="Arial"/>
          <w:sz w:val="18"/>
          <w:szCs w:val="18"/>
          <w:color w:val="auto"/>
        </w:rPr>
        <w:t>” and together with PNNT, the “</w:t>
      </w:r>
      <w:r>
        <w:rPr>
          <w:rFonts w:ascii="Arial" w:cs="Arial" w:eastAsia="Arial" w:hAnsi="Arial"/>
          <w:sz w:val="18"/>
          <w:szCs w:val="18"/>
          <w:b w:val="1"/>
          <w:bCs w:val="1"/>
          <w:i w:val="1"/>
          <w:iCs w:val="1"/>
          <w:color w:val="auto"/>
        </w:rPr>
        <w:t>Existing Regulated Funds</w:t>
      </w:r>
      <w:r>
        <w:rPr>
          <w:rFonts w:ascii="Arial" w:cs="Arial" w:eastAsia="Arial" w:hAnsi="Arial"/>
          <w:sz w:val="18"/>
          <w:szCs w:val="18"/>
          <w:color w:val="auto"/>
        </w:rPr>
        <w:t>”), a closed-end management investment company that has elected to be regulated as a BDC;</w:t>
      </w:r>
    </w:p>
    <w:p>
      <w:pPr>
        <w:spacing w:after="0" w:line="75" w:lineRule="exact"/>
        <w:rPr>
          <w:rFonts w:ascii="Arial" w:cs="Arial" w:eastAsia="Arial" w:hAnsi="Arial"/>
          <w:sz w:val="18"/>
          <w:szCs w:val="18"/>
          <w:color w:val="auto"/>
        </w:rPr>
      </w:pPr>
    </w:p>
    <w:p>
      <w:pPr>
        <w:ind w:left="1424" w:right="160" w:hanging="439"/>
        <w:spacing w:after="0" w:line="259"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Investment Advisers, LLC (“</w:t>
      </w:r>
      <w:r>
        <w:rPr>
          <w:rFonts w:ascii="Arial" w:cs="Arial" w:eastAsia="Arial" w:hAnsi="Arial"/>
          <w:sz w:val="18"/>
          <w:szCs w:val="18"/>
          <w:b w:val="1"/>
          <w:bCs w:val="1"/>
          <w:i w:val="1"/>
          <w:iCs w:val="1"/>
          <w:color w:val="auto"/>
        </w:rPr>
        <w:t>PennantPark</w:t>
      </w:r>
      <w:r>
        <w:rPr>
          <w:rFonts w:ascii="Arial" w:cs="Arial" w:eastAsia="Arial" w:hAnsi="Arial"/>
          <w:sz w:val="18"/>
          <w:szCs w:val="18"/>
          <w:color w:val="auto"/>
        </w:rPr>
        <w:t>”), a Delaware limited liability company that serves as the investment adviser to certain Existing Affiliated Funds (as defined below and identified in Schedule 1 hereto), each of which is a separate and distinct legal entity and each of which would be an investment company but for Section 3(c)(7) of the Act (the “</w:t>
      </w:r>
      <w:r>
        <w:rPr>
          <w:rFonts w:ascii="Arial" w:cs="Arial" w:eastAsia="Arial" w:hAnsi="Arial"/>
          <w:sz w:val="18"/>
          <w:szCs w:val="18"/>
          <w:b w:val="1"/>
          <w:bCs w:val="1"/>
          <w:i w:val="1"/>
          <w:iCs w:val="1"/>
          <w:color w:val="auto"/>
        </w:rPr>
        <w:t>Existing Affiliated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 on behalf of itself and its successors;</w:t>
      </w:r>
      <w:r>
        <w:rPr>
          <w:rFonts w:ascii="Arial" w:cs="Arial" w:eastAsia="Arial" w:hAnsi="Arial"/>
          <w:sz w:val="15"/>
          <w:szCs w:val="15"/>
          <w:color w:val="auto"/>
        </w:rPr>
        <w:t>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Existing Affiliated Funds (the Existing Regulated Funds, PennantPark, and the Existing Affiliated Funds, the “</w:t>
      </w:r>
      <w:r>
        <w:rPr>
          <w:rFonts w:ascii="Arial" w:cs="Arial" w:eastAsia="Arial" w:hAnsi="Arial"/>
          <w:sz w:val="17"/>
          <w:szCs w:val="17"/>
          <w:b w:val="1"/>
          <w:bCs w:val="1"/>
          <w:i w:val="1"/>
          <w:iCs w:val="1"/>
          <w:color w:val="auto"/>
        </w:rPr>
        <w:t>Applicants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544" w:hanging="544"/>
        <w:spacing w:after="0"/>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Defined Terms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means PennantPark and any Future Adviser (defined below).</w:t>
      </w:r>
    </w:p>
    <w:p>
      <w:pPr>
        <w:spacing w:after="0" w:line="225"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Fund</w:t>
      </w:r>
      <w:r>
        <w:rPr>
          <w:rFonts w:ascii="Arial" w:cs="Arial" w:eastAsia="Arial" w:hAnsi="Arial"/>
          <w:sz w:val="18"/>
          <w:szCs w:val="18"/>
          <w:i w:val="1"/>
          <w:iCs w:val="1"/>
          <w:color w:val="auto"/>
        </w:rPr>
        <w:t>”</w:t>
      </w:r>
      <w:r>
        <w:rPr>
          <w:rFonts w:ascii="Arial" w:cs="Arial" w:eastAsia="Arial" w:hAnsi="Arial"/>
          <w:sz w:val="18"/>
          <w:szCs w:val="18"/>
          <w:color w:val="auto"/>
        </w:rPr>
        <w:t xml:space="preserve"> means (i) any Existing Affiliated Fund; (ii) any PennantPark Proprietary Account (defined below); and (iii) any entity (a) whose investment adviser (or sub-adviser(s), if any) is an Adviser, (b)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224" w:hanging="224"/>
        <w:spacing w:after="0"/>
        <w:tabs>
          <w:tab w:leader="none" w:pos="224" w:val="left"/>
        </w:tabs>
        <w:numPr>
          <w:ilvl w:val="0"/>
          <w:numId w:val="5"/>
        </w:numPr>
        <w:rPr>
          <w:rFonts w:ascii="Arial" w:cs="Arial" w:eastAsia="Arial" w:hAnsi="Arial"/>
          <w:sz w:val="15"/>
          <w:szCs w:val="15"/>
          <w:color w:val="auto"/>
        </w:rPr>
      </w:pPr>
      <w:r>
        <w:rPr>
          <w:rFonts w:ascii="Arial" w:cs="Arial" w:eastAsia="Arial" w:hAnsi="Arial"/>
          <w:sz w:val="18"/>
          <w:szCs w:val="18"/>
          <w:color w:val="auto"/>
        </w:rPr>
        <w:t>Unless otherwise indicated, all section references herein are to the Act.</w:t>
      </w:r>
    </w:p>
    <w:p>
      <w:pPr>
        <w:spacing w:after="0" w:line="22"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5"/>
          <w:szCs w:val="15"/>
          <w:color w:val="auto"/>
        </w:rPr>
      </w:pPr>
      <w:r>
        <w:rPr>
          <w:rFonts w:ascii="Arial" w:cs="Arial" w:eastAsia="Arial" w:hAnsi="Arial"/>
          <w:sz w:val="18"/>
          <w:szCs w:val="18"/>
          <w:color w:val="auto"/>
        </w:rPr>
        <w:t>Unless otherwise indicated, all rule references herein are to rules under the Act.</w:t>
      </w:r>
    </w:p>
    <w:p>
      <w:pPr>
        <w:spacing w:after="0" w:line="9" w:lineRule="exact"/>
        <w:rPr>
          <w:sz w:val="20"/>
          <w:szCs w:val="20"/>
          <w:color w:val="auto"/>
        </w:rPr>
      </w:pPr>
    </w:p>
    <w:p>
      <w:pPr>
        <w:ind w:left="224" w:hanging="224"/>
        <w:spacing w:after="0"/>
        <w:tabs>
          <w:tab w:leader="none" w:pos="224" w:val="left"/>
        </w:tabs>
        <w:numPr>
          <w:ilvl w:val="0"/>
          <w:numId w:val="7"/>
        </w:numPr>
        <w:rPr>
          <w:rFonts w:ascii="Arial" w:cs="Arial" w:eastAsia="Arial" w:hAnsi="Arial"/>
          <w:sz w:val="14"/>
          <w:szCs w:val="14"/>
          <w:color w:val="auto"/>
        </w:rPr>
      </w:pPr>
      <w:r>
        <w:rPr>
          <w:rFonts w:ascii="Arial" w:cs="Arial" w:eastAsia="Arial" w:hAnsi="Arial"/>
          <w:sz w:val="17"/>
          <w:szCs w:val="17"/>
          <w:u w:val="single" w:color="auto"/>
          <w:color w:val="auto"/>
        </w:rPr>
        <w:t>PennantPark Investment Corp., et al</w:t>
      </w:r>
      <w:r>
        <w:rPr>
          <w:rFonts w:ascii="Arial" w:cs="Arial" w:eastAsia="Arial" w:hAnsi="Arial"/>
          <w:sz w:val="17"/>
          <w:szCs w:val="17"/>
          <w:color w:val="auto"/>
        </w:rPr>
        <w:t>., (File No. 812-14134) Release No. 30985 (March 19, 2014) (notice), Release No. 31015 (April 15, 2014)</w:t>
      </w:r>
    </w:p>
    <w:p>
      <w:pPr>
        <w:spacing w:after="0" w:line="2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(order).</w:t>
      </w:r>
    </w:p>
    <w:p>
      <w:pPr>
        <w:spacing w:after="0" w:line="8" w:lineRule="exact"/>
        <w:rPr>
          <w:sz w:val="20"/>
          <w:szCs w:val="20"/>
          <w:color w:val="auto"/>
        </w:rPr>
      </w:pPr>
    </w:p>
    <w:p>
      <w:pPr>
        <w:ind w:left="224" w:right="80" w:hanging="224"/>
        <w:spacing w:after="0" w:line="262" w:lineRule="auto"/>
        <w:tabs>
          <w:tab w:leader="none" w:pos="224"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term successor, as applied to each Adviser, means an entity which results from a reorganization into another jurisdiction or change in the type of business organization.</w:t>
      </w:r>
    </w:p>
    <w:p>
      <w:pPr>
        <w:sectPr>
          <w:pgSz w:w="11900" w:h="16838" w:orient="portrait"/>
          <w:cols w:equalWidth="0" w:num="1">
            <w:col w:w="11004"/>
          </w:cols>
          <w:pgMar w:left="436" w:top="270" w:right="459" w:bottom="1440" w:gutter="0" w:footer="0" w:header="0"/>
        </w:sectPr>
      </w:pPr>
    </w:p>
    <w:bookmarkStart w:id="2" w:name="page3"/>
    <w:bookmarkEnd w:id="2"/>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either (x) would be an investment company but for Section 3(c)(1), 3(c)(5)(C), or 3(c)(7) of the Act, or (y) relies on Rule 3a-7 under the Act, (c) that is not a BDC Downstream Fund, and (d) that intends to participate in the Co-Investment Program.</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BDC</w:t>
      </w:r>
      <w:r>
        <w:rPr>
          <w:rFonts w:ascii="Arial" w:cs="Arial" w:eastAsia="Arial" w:hAnsi="Arial"/>
          <w:sz w:val="18"/>
          <w:szCs w:val="18"/>
          <w:color w:val="auto"/>
        </w:rPr>
        <w:t>” means a business development company under the Act.</w:t>
      </w:r>
      <w:r>
        <w:rPr>
          <w:rFonts w:ascii="Arial" w:cs="Arial" w:eastAsia="Arial" w:hAnsi="Arial"/>
          <w:sz w:val="15"/>
          <w:szCs w:val="15"/>
          <w:color w:val="auto"/>
        </w:rPr>
        <w:t>5</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BDC Downstream Fund</w:t>
      </w:r>
      <w:r>
        <w:rPr>
          <w:rFonts w:ascii="Arial" w:cs="Arial" w:eastAsia="Arial" w:hAnsi="Arial"/>
          <w:sz w:val="17"/>
          <w:szCs w:val="17"/>
          <w:color w:val="auto"/>
        </w:rPr>
        <w:t>” means, with respect to any Regulated Fund that is a BDC, an entity (i) that the BDC directly or indirectly controls,</w:t>
      </w:r>
    </w:p>
    <w:p>
      <w:pPr>
        <w:spacing w:after="0" w:line="35" w:lineRule="exact"/>
        <w:rPr>
          <w:sz w:val="20"/>
          <w:szCs w:val="20"/>
          <w:color w:val="auto"/>
        </w:rPr>
      </w:pPr>
    </w:p>
    <w:p>
      <w:pPr>
        <w:ind w:left="264" w:hanging="264"/>
        <w:spacing w:after="0"/>
        <w:tabs>
          <w:tab w:leader="none" w:pos="26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is not controlled by any person other than the BDC (except a person that indirectly controls the entity solely because it controls the BDC),</w:t>
      </w:r>
    </w:p>
    <w:p>
      <w:pPr>
        <w:spacing w:after="0" w:line="20" w:lineRule="exact"/>
        <w:rPr>
          <w:rFonts w:ascii="Arial" w:cs="Arial" w:eastAsia="Arial" w:hAnsi="Arial"/>
          <w:sz w:val="17"/>
          <w:szCs w:val="17"/>
          <w:color w:val="auto"/>
        </w:rPr>
      </w:pPr>
    </w:p>
    <w:p>
      <w:pPr>
        <w:ind w:left="4" w:right="60" w:hanging="4"/>
        <w:spacing w:after="0" w:line="260"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would be an investment company but for Section 3(c)(1) or 3(c)(7) of the Act, (iv) whose investment adviser (and sub-adviser(s), if any) are an Adviser, (v) that is not a Wholly-Owned Investment Sub and (vi) that intends to participate in the Co-Investment Program.</w:t>
      </w:r>
    </w:p>
    <w:p>
      <w:pPr>
        <w:spacing w:after="0" w:line="185" w:lineRule="exact"/>
        <w:rPr>
          <w:sz w:val="20"/>
          <w:szCs w:val="20"/>
          <w:color w:val="auto"/>
        </w:rPr>
      </w:pPr>
    </w:p>
    <w:p>
      <w:pPr>
        <w:ind w:left="4" w:right="6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(i) with respect to a Regulated Fund other than a BDC Downstream Fund, the board of directors (or the equivalent) of the applicable Regulated Fund and (ii) with respect to a BDC Downstream Fund, the Independent Party of the BDC Downstream Fund.</w:t>
      </w:r>
    </w:p>
    <w:p>
      <w:pPr>
        <w:spacing w:after="0" w:line="146" w:lineRule="exact"/>
        <w:rPr>
          <w:sz w:val="20"/>
          <w:szCs w:val="20"/>
          <w:color w:val="auto"/>
        </w:rPr>
      </w:pPr>
    </w:p>
    <w:p>
      <w:pPr>
        <w:ind w:left="4" w:right="6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Board-Established Criteria</w:t>
      </w:r>
      <w:r>
        <w:rPr>
          <w:rFonts w:ascii="Arial" w:cs="Arial" w:eastAsia="Arial" w:hAnsi="Arial"/>
          <w:sz w:val="16"/>
          <w:szCs w:val="16"/>
          <w:color w:val="auto"/>
        </w:rPr>
        <w:t>” means criteria that the Board of a Regulated Fund may establish from time to time to describe the characteristics of Potential Co-Investment Transactions regarding which the Adviser to the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their approval of any Board-Established Criteria, though Applicants anticipate that, under normal circumstances, the Board would not modify these criteria more often than quarterly.</w:t>
      </w:r>
    </w:p>
    <w:p>
      <w:pPr>
        <w:spacing w:after="0" w:line="168"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Affiliate</w:t>
      </w:r>
      <w:r>
        <w:rPr>
          <w:rFonts w:ascii="Arial" w:cs="Arial" w:eastAsia="Arial" w:hAnsi="Arial"/>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84"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 means the proposed co-investment program that would permit one or more Regulated Funds and/or one or more Affiliated Funds to participate in the same investment opportunities where such participation would otherwise be prohibited under Section 57(a)(4) and Rule 17d–1 by (a) co-investing with each other in securities issued by issuers in private placement transactions in which an Adviser negotiates terms in addition to price;</w:t>
      </w:r>
      <w:r>
        <w:rPr>
          <w:rFonts w:ascii="Arial" w:cs="Arial" w:eastAsia="Arial" w:hAnsi="Arial"/>
          <w:sz w:val="15"/>
          <w:szCs w:val="15"/>
          <w:color w:val="auto"/>
        </w:rPr>
        <w:t>6</w:t>
      </w:r>
      <w:r>
        <w:rPr>
          <w:rFonts w:ascii="Arial" w:cs="Arial" w:eastAsia="Arial" w:hAnsi="Arial"/>
          <w:sz w:val="18"/>
          <w:szCs w:val="18"/>
          <w:color w:val="auto"/>
        </w:rPr>
        <w:t xml:space="preserve"> and (b) making Follow-On Investments (as defined below).</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Co-Investment Transaction</w:t>
      </w:r>
      <w:r>
        <w:rPr>
          <w:rFonts w:ascii="Arial" w:cs="Arial" w:eastAsia="Arial" w:hAnsi="Arial"/>
          <w:sz w:val="18"/>
          <w:szCs w:val="18"/>
          <w:color w:val="auto"/>
        </w:rPr>
        <w:t>” means any transaction in which a Regulated Fund (or its Wholly-Owned Investment Sub) participated together with one or more Affiliated Funds and/or one or more other Regulated Funds in reliance on the Order.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means the sale, exchange, or other disposition of an interest in a security of an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80" w:hanging="424"/>
        <w:spacing w:after="0" w:line="290" w:lineRule="auto"/>
        <w:tabs>
          <w:tab w:leader="none" w:pos="424" w:val="left"/>
        </w:tabs>
        <w:numPr>
          <w:ilvl w:val="0"/>
          <w:numId w:val="10"/>
        </w:numPr>
        <w:rPr>
          <w:rFonts w:ascii="Arial" w:cs="Arial" w:eastAsia="Arial" w:hAnsi="Arial"/>
          <w:sz w:val="13"/>
          <w:szCs w:val="13"/>
          <w:color w:val="auto"/>
        </w:rPr>
      </w:pPr>
      <w:r>
        <w:rPr>
          <w:rFonts w:ascii="Arial" w:cs="Arial" w:eastAsia="Arial" w:hAnsi="Arial"/>
          <w:sz w:val="16"/>
          <w:szCs w:val="16"/>
          <w:color w:val="auto"/>
        </w:rPr>
        <w:t>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ind w:left="424" w:right="180" w:hanging="424"/>
        <w:spacing w:after="0" w:line="262"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term “private placement transactions” means transactions in which the offer and sale of securities by the issuer are exempt from registration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 w:name="page4"/>
    <w:bookmarkEnd w:id="3"/>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an additional investment in the same issuer, including, but not limited to, through the exercise of warrants, conversion privileges or other rights to purchase securities of the issuer.</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Future Adviser</w:t>
      </w:r>
      <w:r>
        <w:rPr>
          <w:rFonts w:ascii="Arial" w:cs="Arial" w:eastAsia="Arial" w:hAnsi="Arial"/>
          <w:sz w:val="18"/>
          <w:szCs w:val="18"/>
          <w:color w:val="auto"/>
        </w:rPr>
        <w:t>” means any future investment adviser that (i) controls, is controlled by, or is under common control with PennantPark, (ii) (a) is registered as an investment adviser under the Investment Advisers Act of 1940, as amended (the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 or (b) is a relying adviser of an investment adviser that is registered under the Advisers Act and that controls, is controlled by, or is under common control with, PennantPark, and (iii) is not a Regulated Fund or a subsidiary of a Regulated Fund.</w:t>
      </w:r>
    </w:p>
    <w:p>
      <w:pPr>
        <w:spacing w:after="0" w:line="187"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Future Regulated Fund</w:t>
      </w:r>
      <w:r>
        <w:rPr>
          <w:rFonts w:ascii="Arial" w:cs="Arial" w:eastAsia="Arial" w:hAnsi="Arial"/>
          <w:sz w:val="16"/>
          <w:szCs w:val="16"/>
          <w:color w:val="auto"/>
        </w:rPr>
        <w:t>” means a closed-end management investment company (a) that is registered under the Act or has elected to be regulated as a BDC, (b) whose investment adviser (and sub-adviser(s), if any) is an Adviser, and (c) that intends to participate in the Co-Investment Program.</w:t>
      </w:r>
    </w:p>
    <w:p>
      <w:pPr>
        <w:spacing w:after="0" w:line="124"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means a member of the Board of any relevant entity who is not an “interested person” as defined in Section 2(a)(19) of the Act. No Independent Director of a Regulated Fund (including any non-interested member of an Independent Party) will have a financial interest in any Co-Investment Transaction, other than indirectly through share ownership in one of the Regulated Funds.</w:t>
      </w:r>
    </w:p>
    <w:p>
      <w:pPr>
        <w:spacing w:after="0" w:line="16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Party</w:t>
      </w:r>
      <w:r>
        <w:rPr>
          <w:rFonts w:ascii="Arial" w:cs="Arial" w:eastAsia="Arial" w:hAnsi="Arial"/>
          <w:sz w:val="18"/>
          <w:szCs w:val="18"/>
          <w:color w:val="auto"/>
        </w:rPr>
        <w:t>” means, with respect to a BDC Downstream Fund, (i) if the BDC Downstream Fund has a board of directors (or the equivalent), the board or (ii) if the BDC Downstream Fund does not have a board of directors (or the equivalent), a transaction committee or advisory committee of the BDC Downstream Fund.</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JT No-Action Letters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SMC Capital, Inc.</w:t>
      </w:r>
      <w:r>
        <w:rPr>
          <w:rFonts w:ascii="Arial" w:cs="Arial" w:eastAsia="Arial" w:hAnsi="Arial"/>
          <w:sz w:val="18"/>
          <w:szCs w:val="18"/>
          <w:color w:val="auto"/>
        </w:rPr>
        <w:t xml:space="preserve">, SEC No-Action Letter (pub. avail. Sept. 5, 1995) and </w:t>
      </w:r>
      <w:r>
        <w:rPr>
          <w:rFonts w:ascii="Arial" w:cs="Arial" w:eastAsia="Arial" w:hAnsi="Arial"/>
          <w:sz w:val="18"/>
          <w:szCs w:val="18"/>
          <w:u w:val="single" w:color="auto"/>
          <w:color w:val="auto"/>
        </w:rPr>
        <w:t>Massachusetts Mutual Life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SEC No-Action Letter (pub. avail. June 7, 2000).</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means (i) with respect to any Regulated Fund other than a BDC Downstream Fund, its investment objectives and strategies, as described in its most current registration statement on Form N-2, other current filings with the Commission under the Securities Act or under the Securities Exchange Act of 1934, as amended, and its most current report to stockholders, and (ii) with respect to any BDC Downstream Fund, those investment objectives and strategies described in its disclosure documents (including private placement memoranda and reports to equity holders) and organizational documents (including operating agreements).</w:t>
      </w:r>
    </w:p>
    <w:p>
      <w:pPr>
        <w:spacing w:after="0" w:line="188"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PennantPark Proprietary Account</w:t>
      </w:r>
      <w:r>
        <w:rPr>
          <w:rFonts w:ascii="Arial" w:cs="Arial" w:eastAsia="Arial" w:hAnsi="Arial"/>
          <w:sz w:val="17"/>
          <w:szCs w:val="17"/>
          <w:color w:val="auto"/>
        </w:rPr>
        <w:t>” means any account of an Adviser or its affiliates or any company that is an indirect, wholly- or majority-owned subsidiary of an Adviser or its affiliates, which, from time to time, may hold various financial assets in a principal capacity.</w:t>
      </w:r>
    </w:p>
    <w:p>
      <w:pPr>
        <w:spacing w:after="0" w:line="146"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Pre-Boarding Investments</w:t>
      </w:r>
      <w:r>
        <w:rPr>
          <w:rFonts w:ascii="Arial" w:cs="Arial" w:eastAsia="Arial" w:hAnsi="Arial"/>
          <w:sz w:val="18"/>
          <w:szCs w:val="18"/>
          <w:color w:val="auto"/>
        </w:rPr>
        <w:t>” are investments in an issuer held by a Regulated Fund as well as one or more Affiliated Funds and/or one or more other Regulated Funds that were acquired prior to participating in any Co-Investment Transaction:</w:t>
      </w:r>
    </w:p>
    <w:p>
      <w:pPr>
        <w:spacing w:after="0" w:line="76" w:lineRule="exact"/>
        <w:rPr>
          <w:sz w:val="20"/>
          <w:szCs w:val="20"/>
          <w:color w:val="auto"/>
        </w:rPr>
      </w:pPr>
    </w:p>
    <w:p>
      <w:pPr>
        <w:ind w:left="1740" w:right="40" w:hanging="543"/>
        <w:spacing w:after="0" w:line="27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transactions in which the only term negotiated by or on behalf of such funds was price in reliance on one of the JT No-Action Letters; or</w:t>
      </w:r>
    </w:p>
    <w:p>
      <w:pPr>
        <w:spacing w:after="0" w:line="75" w:lineRule="exact"/>
        <w:rPr>
          <w:rFonts w:ascii="Arial" w:cs="Arial" w:eastAsia="Arial" w:hAnsi="Arial"/>
          <w:sz w:val="18"/>
          <w:szCs w:val="18"/>
          <w:color w:val="auto"/>
        </w:rPr>
      </w:pPr>
    </w:p>
    <w:p>
      <w:pPr>
        <w:ind w:left="1740" w:right="20" w:hanging="543"/>
        <w:spacing w:after="0" w:line="27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transactions occurring at least 90 days apart and without coordination between the Regulated Fund and any Affiliated Fund or other Regulated Fund.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Regulated Funds</w:t>
      </w:r>
      <w:r>
        <w:rPr>
          <w:rFonts w:ascii="Arial" w:cs="Arial" w:eastAsia="Arial" w:hAnsi="Arial"/>
          <w:sz w:val="18"/>
          <w:szCs w:val="18"/>
          <w:color w:val="auto"/>
        </w:rPr>
        <w:t>” means the Existing Regulated Funds, the Future Regulated Funds and the BDC Downstream Funds.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 w:name="page5"/>
    <w:bookmarkEnd w:id="4"/>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Related Party</w:t>
      </w:r>
      <w:r>
        <w:rPr>
          <w:rFonts w:ascii="Arial" w:cs="Arial" w:eastAsia="Arial" w:hAnsi="Arial"/>
          <w:sz w:val="17"/>
          <w:szCs w:val="17"/>
          <w:color w:val="auto"/>
        </w:rPr>
        <w:t>” means (i) any Close Affiliate and (ii) in respect of matters as to which any Adviser has knowledge, any Remote Affiliate.</w:t>
      </w:r>
    </w:p>
    <w:p>
      <w:pPr>
        <w:spacing w:after="0" w:line="23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Remote Affiliate</w:t>
      </w:r>
      <w:r>
        <w:rPr>
          <w:rFonts w:ascii="Arial" w:cs="Arial" w:eastAsia="Arial" w:hAnsi="Arial"/>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means a required majority, as defined in Section 57(o) of the Act.</w:t>
      </w:r>
      <w:r>
        <w:rPr>
          <w:rFonts w:ascii="Arial" w:cs="Arial" w:eastAsia="Arial" w:hAnsi="Arial"/>
          <w:sz w:val="15"/>
          <w:szCs w:val="15"/>
          <w:color w:val="auto"/>
        </w:rPr>
        <w:t>7</w:t>
      </w:r>
    </w:p>
    <w:p>
      <w:pPr>
        <w:spacing w:after="0" w:line="225"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SBIC Subsidiary</w:t>
      </w:r>
      <w:r>
        <w:rPr>
          <w:rFonts w:ascii="Arial" w:cs="Arial" w:eastAsia="Arial" w:hAnsi="Arial"/>
          <w:sz w:val="17"/>
          <w:szCs w:val="17"/>
          <w:color w:val="auto"/>
        </w:rPr>
        <w:t>” means a Wholly-Owned Investment Sub that is licensed by the Small Business Administration (the “</w:t>
      </w:r>
      <w:r>
        <w:rPr>
          <w:rFonts w:ascii="Arial" w:cs="Arial" w:eastAsia="Arial" w:hAnsi="Arial"/>
          <w:sz w:val="17"/>
          <w:szCs w:val="17"/>
          <w:b w:val="1"/>
          <w:bCs w:val="1"/>
          <w:i w:val="1"/>
          <w:iCs w:val="1"/>
          <w:color w:val="auto"/>
        </w:rPr>
        <w:t>SBA</w:t>
      </w:r>
      <w:r>
        <w:rPr>
          <w:rFonts w:ascii="Arial" w:cs="Arial" w:eastAsia="Arial" w:hAnsi="Arial"/>
          <w:sz w:val="17"/>
          <w:szCs w:val="17"/>
          <w:color w:val="auto"/>
        </w:rPr>
        <w:t>”) to operate under the Small Business Investment Act of 1958, as amended, (the “</w:t>
      </w:r>
      <w:r>
        <w:rPr>
          <w:rFonts w:ascii="Arial" w:cs="Arial" w:eastAsia="Arial" w:hAnsi="Arial"/>
          <w:sz w:val="17"/>
          <w:szCs w:val="17"/>
          <w:b w:val="1"/>
          <w:bCs w:val="1"/>
          <w:i w:val="1"/>
          <w:iCs w:val="1"/>
          <w:color w:val="auto"/>
        </w:rPr>
        <w:t>SBA Act</w:t>
      </w:r>
      <w:r>
        <w:rPr>
          <w:rFonts w:ascii="Arial" w:cs="Arial" w:eastAsia="Arial" w:hAnsi="Arial"/>
          <w:sz w:val="17"/>
          <w:szCs w:val="17"/>
          <w:color w:val="auto"/>
        </w:rPr>
        <w:t>”) as a small business investment company (an “</w:t>
      </w:r>
      <w:r>
        <w:rPr>
          <w:rFonts w:ascii="Arial" w:cs="Arial" w:eastAsia="Arial" w:hAnsi="Arial"/>
          <w:sz w:val="17"/>
          <w:szCs w:val="17"/>
          <w:b w:val="1"/>
          <w:bCs w:val="1"/>
          <w:i w:val="1"/>
          <w:iCs w:val="1"/>
          <w:color w:val="auto"/>
        </w:rPr>
        <w:t>SBIC</w:t>
      </w:r>
      <w:r>
        <w:rPr>
          <w:rFonts w:ascii="Arial" w:cs="Arial" w:eastAsia="Arial" w:hAnsi="Arial"/>
          <w:sz w:val="17"/>
          <w:szCs w:val="17"/>
          <w:color w:val="auto"/>
        </w:rPr>
        <w:t>”).</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Tradable Security</w:t>
      </w:r>
      <w:r>
        <w:rPr>
          <w:rFonts w:ascii="Arial" w:cs="Arial" w:eastAsia="Arial" w:hAnsi="Arial"/>
          <w:sz w:val="18"/>
          <w:szCs w:val="18"/>
          <w:color w:val="auto"/>
        </w:rPr>
        <w:t>” means a security that meets the following criteria at the time of Disposition:</w:t>
      </w:r>
    </w:p>
    <w:p>
      <w:pPr>
        <w:spacing w:after="0" w:line="131" w:lineRule="exact"/>
        <w:rPr>
          <w:sz w:val="20"/>
          <w:szCs w:val="20"/>
          <w:color w:val="auto"/>
        </w:rPr>
      </w:pPr>
    </w:p>
    <w:p>
      <w:pPr>
        <w:ind w:left="1744" w:right="60" w:hanging="543"/>
        <w:spacing w:after="0" w:line="277" w:lineRule="auto"/>
        <w:tabs>
          <w:tab w:leader="none" w:pos="17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trades on a national securities exchange or designated offshore securities market as defined in rule 902(b) under the Securities Act;</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is not subject to restrictive agreements with the issuer or other security holders; and</w:t>
      </w:r>
    </w:p>
    <w:p>
      <w:pPr>
        <w:spacing w:after="0" w:line="130" w:lineRule="exact"/>
        <w:rPr>
          <w:rFonts w:ascii="Arial" w:cs="Arial" w:eastAsia="Arial" w:hAnsi="Arial"/>
          <w:sz w:val="18"/>
          <w:szCs w:val="18"/>
          <w:color w:val="auto"/>
        </w:rPr>
      </w:pPr>
    </w:p>
    <w:p>
      <w:pPr>
        <w:ind w:left="1744" w:right="80" w:hanging="543"/>
        <w:spacing w:after="0" w:line="301" w:lineRule="auto"/>
        <w:tabs>
          <w:tab w:leader="none" w:pos="17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trades with sufficient volume and liquidity (findings as to which are documented by the Advisers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15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Wholly-Owned Investment Sub</w:t>
      </w:r>
      <w:r>
        <w:rPr>
          <w:rFonts w:ascii="Arial" w:cs="Arial" w:eastAsia="Arial" w:hAnsi="Arial"/>
          <w:sz w:val="17"/>
          <w:szCs w:val="17"/>
          <w:color w:val="auto"/>
        </w:rPr>
        <w:t>” means an entity (i) that is a wholly-owned subsidiary</w:t>
      </w:r>
      <w:r>
        <w:rPr>
          <w:rFonts w:ascii="Arial" w:cs="Arial" w:eastAsia="Arial" w:hAnsi="Arial"/>
          <w:sz w:val="14"/>
          <w:szCs w:val="14"/>
          <w:color w:val="auto"/>
        </w:rPr>
        <w:t>8</w:t>
      </w:r>
      <w:r>
        <w:rPr>
          <w:rFonts w:ascii="Arial" w:cs="Arial" w:eastAsia="Arial" w:hAnsi="Arial"/>
          <w:sz w:val="17"/>
          <w:szCs w:val="17"/>
          <w:color w:val="auto"/>
        </w:rPr>
        <w:t xml:space="preserve"> of a Regulated Fund (with such Regulated Fund at all times holding, beneficially and of record, directly or indirectly, 95% or more of the voting and economic interests); (ii) whose sole business purpose is to hold one or more investments on behalf of such Regulated Fund (and, in the case of an SBIC Subsidiary, maintain a license under the SBA Act and issue debentures guaranteed by the SBA); (iii) with respect to which such Regulated Fund’s Board has the sole authority to make all determinations with respect to the entity’s participation under the Conditions to this application; and (iv) (A) that would be an investment company but for Section 3(c)(1), 3(c)(5)(C), or 3(c)(7) of the Act, or (B) that qualifies as a real estate investment trust (“</w:t>
      </w:r>
      <w:r>
        <w:rPr>
          <w:rFonts w:ascii="Arial" w:cs="Arial" w:eastAsia="Arial" w:hAnsi="Arial"/>
          <w:sz w:val="17"/>
          <w:szCs w:val="17"/>
          <w:b w:val="1"/>
          <w:bCs w:val="1"/>
          <w:i w:val="1"/>
          <w:iCs w:val="1"/>
          <w:color w:val="auto"/>
        </w:rPr>
        <w:t>REIT</w:t>
      </w:r>
      <w:r>
        <w:rPr>
          <w:rFonts w:ascii="Arial" w:cs="Arial" w:eastAsia="Arial" w:hAnsi="Arial"/>
          <w:sz w:val="17"/>
          <w:szCs w:val="17"/>
          <w:color w:val="auto"/>
        </w:rPr>
        <w:t>”) within the meaning of Section 856 of the Internal Revenue Code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because substantially all of its assets would consist of real properties.</w:t>
      </w:r>
    </w:p>
    <w:p>
      <w:pPr>
        <w:spacing w:after="0" w:line="281" w:lineRule="exact"/>
        <w:rPr>
          <w:sz w:val="20"/>
          <w:szCs w:val="20"/>
          <w:color w:val="auto"/>
        </w:rPr>
      </w:pPr>
    </w:p>
    <w:p>
      <w:pPr>
        <w:ind w:left="364" w:hanging="364"/>
        <w:spacing w:after="0"/>
        <w:tabs>
          <w:tab w:leader="none" w:pos="36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APPLICANTS</w:t>
      </w:r>
    </w:p>
    <w:p>
      <w:pPr>
        <w:spacing w:after="0" w:line="135" w:lineRule="exact"/>
        <w:rPr>
          <w:sz w:val="20"/>
          <w:szCs w:val="20"/>
          <w:color w:val="auto"/>
        </w:rPr>
      </w:pPr>
    </w:p>
    <w:p>
      <w:pPr>
        <w:ind w:left="544" w:hanging="544"/>
        <w:spacing w:after="0"/>
        <w:tabs>
          <w:tab w:leader="none" w:pos="5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PennantPark Investment Corporation</w:t>
      </w:r>
    </w:p>
    <w:p>
      <w:pPr>
        <w:spacing w:after="0" w:line="225" w:lineRule="exact"/>
        <w:rPr>
          <w:sz w:val="20"/>
          <w:szCs w:val="20"/>
          <w:color w:val="auto"/>
        </w:rPr>
      </w:pPr>
    </w:p>
    <w:p>
      <w:pPr>
        <w:ind w:left="4" w:right="280" w:firstLine="440"/>
        <w:spacing w:after="0" w:line="311" w:lineRule="auto"/>
        <w:rPr>
          <w:sz w:val="20"/>
          <w:szCs w:val="20"/>
          <w:color w:val="auto"/>
        </w:rPr>
      </w:pPr>
      <w:r>
        <w:rPr>
          <w:rFonts w:ascii="Arial" w:cs="Arial" w:eastAsia="Arial" w:hAnsi="Arial"/>
          <w:sz w:val="16"/>
          <w:szCs w:val="16"/>
          <w:color w:val="auto"/>
        </w:rPr>
        <w:t>PNNT was organized as a Maryland corporation on January 11, 2007. PNNT is a closed-end, externally managed, non-diversified investment company that has elected to be regulated as a BDC. under the Act. PNNT has elected to be treated as a regulated investment company (“</w:t>
      </w:r>
      <w:r>
        <w:rPr>
          <w:rFonts w:ascii="Arial" w:cs="Arial" w:eastAsia="Arial" w:hAnsi="Arial"/>
          <w:sz w:val="16"/>
          <w:szCs w:val="16"/>
          <w:b w:val="1"/>
          <w:bCs w:val="1"/>
          <w:i w:val="1"/>
          <w:iCs w:val="1"/>
          <w:color w:val="auto"/>
        </w:rPr>
        <w:t>RIC</w:t>
      </w:r>
      <w:r>
        <w:rPr>
          <w:rFonts w:ascii="Arial" w:cs="Arial" w:eastAsia="Arial" w:hAnsi="Arial"/>
          <w:sz w:val="16"/>
          <w:szCs w:val="16"/>
          <w:color w:val="auto"/>
        </w:rPr>
        <w:t>”) under Subchapter M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intends to continue to qualify as a RIC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right="20" w:hanging="424"/>
        <w:spacing w:after="0" w:line="286" w:lineRule="auto"/>
        <w:tabs>
          <w:tab w:leader="none" w:pos="424" w:val="left"/>
        </w:tabs>
        <w:numPr>
          <w:ilvl w:val="0"/>
          <w:numId w:val="16"/>
        </w:numPr>
        <w:rPr>
          <w:rFonts w:ascii="Arial" w:cs="Arial" w:eastAsia="Arial" w:hAnsi="Arial"/>
          <w:sz w:val="13"/>
          <w:szCs w:val="13"/>
          <w:color w:val="auto"/>
        </w:rPr>
      </w:pPr>
      <w:r>
        <w:rPr>
          <w:rFonts w:ascii="Arial" w:cs="Arial" w:eastAsia="Arial" w:hAnsi="Arial"/>
          <w:sz w:val="16"/>
          <w:szCs w:val="16"/>
          <w:color w:val="auto"/>
        </w:rPr>
        <w:t>In the case of a Regulated Fund that is a registered closed-end fund, the Board members that make up the Required Majority will be determined as if the Regulated Fund were a BDC subject to Section 57(o). In the case of a BDC Downstream Fund with a board of directors (or the equivalent), the members that make up the Required Majority will be determined as if the BDC Downstream Fund were a BDC subject to Section 57(o). In the case of a BDC Downstream Fund with a transaction committee or advisory committee, the committee members that make up the Required</w:t>
      </w:r>
    </w:p>
    <w:p>
      <w:pPr>
        <w:spacing w:after="0" w:line="1" w:lineRule="exact"/>
        <w:rPr>
          <w:sz w:val="20"/>
          <w:szCs w:val="20"/>
          <w:color w:val="auto"/>
        </w:rPr>
      </w:pPr>
    </w:p>
    <w:p>
      <w:pPr>
        <w:ind w:left="424" w:right="620"/>
        <w:spacing w:after="0" w:line="249" w:lineRule="auto"/>
        <w:rPr>
          <w:sz w:val="20"/>
          <w:szCs w:val="20"/>
          <w:color w:val="auto"/>
        </w:rPr>
      </w:pPr>
      <w:r>
        <w:rPr>
          <w:rFonts w:ascii="Arial" w:cs="Arial" w:eastAsia="Arial" w:hAnsi="Arial"/>
          <w:sz w:val="18"/>
          <w:szCs w:val="18"/>
          <w:color w:val="auto"/>
        </w:rPr>
        <w:t>Majority will be determined as if the BDC Downstream Fund were a BDC subject to Section 57(o) and as if the committee members were directors of the fund.</w:t>
      </w:r>
    </w:p>
    <w:p>
      <w:pPr>
        <w:spacing w:after="0" w:line="1" w:lineRule="exact"/>
        <w:rPr>
          <w:sz w:val="20"/>
          <w:szCs w:val="20"/>
          <w:color w:val="auto"/>
        </w:rPr>
      </w:pPr>
    </w:p>
    <w:p>
      <w:pPr>
        <w:ind w:left="424" w:right="480" w:hanging="424"/>
        <w:spacing w:after="0" w:line="262" w:lineRule="auto"/>
        <w:tabs>
          <w:tab w:leader="none" w:pos="424" w:val="left"/>
        </w:tabs>
        <w:numPr>
          <w:ilvl w:val="0"/>
          <w:numId w:val="17"/>
        </w:numPr>
        <w:rPr>
          <w:rFonts w:ascii="Arial" w:cs="Arial" w:eastAsia="Arial" w:hAnsi="Arial"/>
          <w:sz w:val="15"/>
          <w:szCs w:val="15"/>
          <w:color w:val="auto"/>
        </w:rPr>
      </w:pPr>
      <w:r>
        <w:rPr>
          <w:rFonts w:ascii="Arial" w:cs="Arial" w:eastAsia="Arial" w:hAnsi="Arial"/>
          <w:sz w:val="18"/>
          <w:szCs w:val="18"/>
          <w:color w:val="auto"/>
        </w:rPr>
        <w:t>A “wholly-owned subsidiary” of a person is as defined in Section 2(a)(43) of the Act and means a company 95% or more of the outstanding voting securities of which are owned by such person.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5" w:name="page6"/>
    <w:bookmarkEnd w:id="5"/>
    <w:p>
      <w:pPr>
        <w:ind w:left="4" w:right="4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PNNT’s Objectives and Strategies are to generate both current income and capital appreciation through debt and equity investments. PNNT invests primarily in U.S. middle-market companies in the form of senior secured loans, mezzanine debt and equity investments.</w:t>
      </w:r>
    </w:p>
    <w:p>
      <w:pPr>
        <w:spacing w:after="0" w:line="146"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PNNT has a five-member board of directors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which four members are not “interested persons” of PNNT within the meaning of Section 2(a)(19) of the 1940 Act (the “Independent Directors”). The Board has delegated daily management and investment authority to PennantPark pursuant to an investment advisory agreement.</w:t>
      </w:r>
    </w:p>
    <w:p>
      <w:pPr>
        <w:spacing w:after="0" w:line="89" w:lineRule="exact"/>
        <w:rPr>
          <w:sz w:val="20"/>
          <w:szCs w:val="20"/>
          <w:color w:val="auto"/>
        </w:rPr>
      </w:pPr>
    </w:p>
    <w:p>
      <w:pPr>
        <w:ind w:left="544" w:hanging="544"/>
        <w:spacing w:after="0"/>
        <w:tabs>
          <w:tab w:leader="none" w:pos="5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PennantPark Floating Rate Capital Ltd.</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PFLT was organized as a Maryland corporation on October 28, 2010. PFLT is a closed-end, externally managed, non-diversified investment company that has elected to be regulated as a BDC under the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Arial" w:cs="Arial" w:eastAsia="Arial" w:hAnsi="Arial"/>
          <w:sz w:val="15"/>
          <w:szCs w:val="15"/>
          <w:color w:val="auto"/>
        </w:rPr>
        <w:t>4</w:t>
      </w:r>
      <w:r>
        <w:rPr>
          <w:rFonts w:ascii="Arial" w:cs="Arial" w:eastAsia="Arial" w:hAnsi="Arial"/>
          <w:sz w:val="18"/>
          <w:szCs w:val="18"/>
          <w:color w:val="auto"/>
        </w:rPr>
        <w:t xml:space="preserve"> PFLT maintains a five-member Board, of which four members are Independent Directors.</w:t>
      </w:r>
      <w:r>
        <w:rPr>
          <w:rFonts w:ascii="Arial" w:cs="Arial" w:eastAsia="Arial" w:hAnsi="Arial"/>
          <w:sz w:val="15"/>
          <w:szCs w:val="15"/>
          <w:color w:val="auto"/>
        </w:rPr>
        <w:t>5</w:t>
      </w:r>
    </w:p>
    <w:p>
      <w:pPr>
        <w:spacing w:after="0" w:line="93" w:lineRule="exact"/>
        <w:rPr>
          <w:sz w:val="20"/>
          <w:szCs w:val="20"/>
          <w:color w:val="auto"/>
        </w:rPr>
      </w:pPr>
    </w:p>
    <w:p>
      <w:pPr>
        <w:ind w:left="544" w:hanging="544"/>
        <w:spacing w:after="0"/>
        <w:tabs>
          <w:tab w:leader="none" w:pos="5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Existing Affiliated Funds</w:t>
      </w:r>
    </w:p>
    <w:p>
      <w:pPr>
        <w:spacing w:after="0" w:line="225"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The Existing Affiliated Funds are investment funds each of whose investment adviser and investment sub-adviser (if any) is an Adviser and each of which would be an investment company but for Section 3(c)(7) of the Act. A list of the Existing Affiliated Funds is included on Schedule A hereto.</w:t>
      </w:r>
    </w:p>
    <w:p>
      <w:pPr>
        <w:spacing w:after="0" w:line="29" w:lineRule="exact"/>
        <w:rPr>
          <w:sz w:val="20"/>
          <w:szCs w:val="20"/>
          <w:color w:val="auto"/>
        </w:rPr>
      </w:pPr>
    </w:p>
    <w:p>
      <w:pPr>
        <w:ind w:left="544" w:hanging="544"/>
        <w:spacing w:after="0"/>
        <w:tabs>
          <w:tab w:leader="none" w:pos="5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The PennantPark Proprietary Accounts</w:t>
      </w:r>
    </w:p>
    <w:p>
      <w:pPr>
        <w:spacing w:after="0" w:line="225" w:lineRule="exact"/>
        <w:rPr>
          <w:sz w:val="20"/>
          <w:szCs w:val="20"/>
          <w:color w:val="auto"/>
        </w:rPr>
      </w:pPr>
    </w:p>
    <w:p>
      <w:pPr>
        <w:ind w:left="4" w:right="440" w:firstLine="440"/>
        <w:spacing w:after="0" w:line="342" w:lineRule="auto"/>
        <w:rPr>
          <w:sz w:val="20"/>
          <w:szCs w:val="20"/>
          <w:color w:val="auto"/>
        </w:rPr>
      </w:pPr>
      <w:r>
        <w:rPr>
          <w:rFonts w:ascii="Arial" w:cs="Arial" w:eastAsia="Arial" w:hAnsi="Arial"/>
          <w:sz w:val="16"/>
          <w:szCs w:val="16"/>
          <w:color w:val="auto"/>
        </w:rPr>
        <w:t>The PennantPark Proprietary Accounts will hold various financial assets in a principal capacity. PennantPark has various business lines and affiliates that it may operate through wholly- or majority-owned subsidiaries. The existing PennantPark Proprietary Account is PennantPark.</w:t>
      </w:r>
    </w:p>
    <w:p>
      <w:pPr>
        <w:spacing w:after="0" w:line="228" w:lineRule="exact"/>
        <w:rPr>
          <w:sz w:val="20"/>
          <w:szCs w:val="20"/>
          <w:color w:val="auto"/>
        </w:rPr>
      </w:pPr>
    </w:p>
    <w:p>
      <w:pPr>
        <w:ind w:left="444" w:hanging="444"/>
        <w:spacing w:after="0"/>
        <w:tabs>
          <w:tab w:leader="none" w:pos="44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REQUESTED</w:t>
      </w:r>
    </w:p>
    <w:p>
      <w:pPr>
        <w:spacing w:after="0" w:line="121"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The Applicants respectfully request an Order of the Commission under Sections 17(d) and 57(i) and Rule 17d-1 thereunder to permit, subject to the terms and Conditions set forth below in this Application, a Regulated Fund and one or more other Regulated Funds and/or one or more Affiliated Funds to enter into Co-Investment Transactions with each other.</w:t>
      </w:r>
    </w:p>
    <w:p>
      <w:pPr>
        <w:spacing w:after="0" w:line="184" w:lineRule="exact"/>
        <w:rPr>
          <w:sz w:val="20"/>
          <w:szCs w:val="20"/>
          <w:color w:val="auto"/>
        </w:rPr>
      </w:pPr>
    </w:p>
    <w:p>
      <w:pPr>
        <w:ind w:left="4" w:right="120" w:firstLine="440"/>
        <w:spacing w:after="0" w:line="254" w:lineRule="auto"/>
        <w:rPr>
          <w:sz w:val="20"/>
          <w:szCs w:val="20"/>
          <w:color w:val="auto"/>
        </w:rPr>
      </w:pPr>
      <w:r>
        <w:rPr>
          <w:rFonts w:ascii="Arial" w:cs="Arial" w:eastAsia="Arial" w:hAnsi="Arial"/>
          <w:sz w:val="18"/>
          <w:szCs w:val="18"/>
          <w:color w:val="auto"/>
        </w:rPr>
        <w:t>The Regulated Funds and the Affiliated Funds seek relief to enter into Co-Investment Transactions because such Co-Investment Transactions would otherwise be prohibited by either or both of Section 17(d) or Section 57(a)(4) and the Rules under the Act without an exemptive order from the Commission.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100" w:lineRule="exact"/>
        <w:rPr>
          <w:sz w:val="20"/>
          <w:szCs w:val="20"/>
          <w:color w:val="auto"/>
        </w:rPr>
      </w:pPr>
    </w:p>
    <w:p>
      <w:pPr>
        <w:ind w:left="544" w:hanging="544"/>
        <w:spacing w:after="0"/>
        <w:tabs>
          <w:tab w:leader="none" w:pos="54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Applicants include PennantPark, which manages the Existing Regulated Funds and Existing Affiliated Funds, with aggregate assets under management of approximately $3.5 billion as of December 31, 2020. PennantPark manages the assets entrusted to it by its clients in accordance with its fiduciary duty to those clients and, in the case of the Existing Regulated Funds, the Act.</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4"/>
          </w:cols>
          <w:pgMar w:left="436" w:top="274" w:right="539" w:bottom="1440" w:gutter="0" w:footer="0" w:header="0"/>
        </w:sectPr>
      </w:pPr>
    </w:p>
    <w:bookmarkStart w:id="6" w:name="page7"/>
    <w:bookmarkEnd w:id="6"/>
    <w:p>
      <w:pPr>
        <w:jc w:val="both"/>
        <w:ind w:left="4" w:right="3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has established rigorous processes for allocating initial investment opportunities, opportunities for subsequent investments in an issuer and dispositions of securities holdings reasonably designed to treat all clients fairly and equitably.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63" w:lineRule="exact"/>
        <w:rPr>
          <w:sz w:val="20"/>
          <w:szCs w:val="20"/>
          <w:color w:val="auto"/>
        </w:rPr>
      </w:pPr>
    </w:p>
    <w:p>
      <w:pPr>
        <w:ind w:left="544" w:hanging="544"/>
        <w:spacing w:after="0"/>
        <w:tabs>
          <w:tab w:leader="none" w:pos="54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The Investment Process</w:t>
      </w:r>
    </w:p>
    <w:p>
      <w:pPr>
        <w:spacing w:after="0" w:line="225" w:lineRule="exact"/>
        <w:rPr>
          <w:sz w:val="20"/>
          <w:szCs w:val="20"/>
          <w:color w:val="auto"/>
        </w:rPr>
      </w:pPr>
    </w:p>
    <w:p>
      <w:pPr>
        <w:ind w:left="4" w:right="500" w:firstLine="440"/>
        <w:spacing w:after="0" w:line="263" w:lineRule="auto"/>
        <w:rPr>
          <w:sz w:val="20"/>
          <w:szCs w:val="20"/>
          <w:color w:val="auto"/>
        </w:rPr>
      </w:pPr>
      <w:r>
        <w:rPr>
          <w:rFonts w:ascii="Arial" w:cs="Arial" w:eastAsia="Arial" w:hAnsi="Arial"/>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89" w:lineRule="exact"/>
        <w:rPr>
          <w:sz w:val="20"/>
          <w:szCs w:val="20"/>
          <w:color w:val="auto"/>
        </w:rPr>
      </w:pPr>
    </w:p>
    <w:p>
      <w:pPr>
        <w:ind w:left="1744" w:hanging="543"/>
        <w:spacing w:after="0"/>
        <w:tabs>
          <w:tab w:leader="none" w:pos="17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Identification and Consideration of Investment Opportunities</w:t>
      </w:r>
    </w:p>
    <w:p>
      <w:pPr>
        <w:spacing w:after="0" w:line="22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Opportunities for Potential Co-Investment Transactions may arise when investment advisory personnel of an Adviser become aware of investment opportunities that may be appropriate for a Regulated Fund and one or more other Regulated Funds and/or one or more Affiliated Funds. If the requested Order is granted, the Advisers will establish, maintain and implement policies and procedures reasonably designed to ensure that, when such opportunities arise, the Advisers to the relevant Regulated Funds are promptly notified and receive the same information about the opportunity as any other Advisers considering the opportunity for their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Adviser’s investment committee to make its independent determination and recommendations under Conditions 1, 2(a), 6, 7, 8 and 9 (as applicable).</w:t>
      </w:r>
      <w:r>
        <w:rPr>
          <w:rFonts w:ascii="Arial" w:cs="Arial" w:eastAsia="Arial" w:hAnsi="Arial"/>
          <w:sz w:val="13"/>
          <w:szCs w:val="13"/>
          <w:color w:val="auto"/>
        </w:rPr>
        <w:t>9</w:t>
      </w:r>
      <w:r>
        <w:rPr>
          <w:rFonts w:ascii="Arial" w:cs="Arial" w:eastAsia="Arial" w:hAnsi="Arial"/>
          <w:sz w:val="16"/>
          <w:szCs w:val="16"/>
          <w:color w:val="auto"/>
        </w:rPr>
        <w:t xml:space="preserve"> In addition, the policies and procedures will specify the individuals or roles responsible for carrying out the policies and procedures, including ensuring that the Advisers receive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172"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Regulated Fund or Affiliated Funds.</w:t>
      </w:r>
    </w:p>
    <w:p>
      <w:pPr>
        <w:spacing w:after="0" w:line="70" w:lineRule="exact"/>
        <w:rPr>
          <w:sz w:val="20"/>
          <w:szCs w:val="20"/>
          <w:color w:val="auto"/>
        </w:rPr>
      </w:pPr>
    </w:p>
    <w:p>
      <w:pPr>
        <w:ind w:left="1744" w:hanging="543"/>
        <w:spacing w:after="0"/>
        <w:tabs>
          <w:tab w:leader="none" w:pos="174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Order Placement and Allocation</w:t>
      </w:r>
    </w:p>
    <w:p>
      <w:pPr>
        <w:spacing w:after="0" w:line="225" w:lineRule="exact"/>
        <w:rPr>
          <w:sz w:val="20"/>
          <w:szCs w:val="20"/>
          <w:color w:val="auto"/>
        </w:rPr>
      </w:pPr>
    </w:p>
    <w:p>
      <w:pPr>
        <w:ind w:left="4" w:right="820" w:firstLine="440"/>
        <w:spacing w:after="0" w:line="277"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the Adviser to a Regulated Fund deems the Regulated Fund’s participation in any Potential Co-Investment Transaction to be appropriate, it will formulate a recommendation regarding the proposed order amount for the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right="260" w:hanging="424"/>
        <w:spacing w:after="0" w:line="255" w:lineRule="auto"/>
        <w:tabs>
          <w:tab w:leader="none" w:pos="424"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Representatives from each Adviser to a Regulated Fund are members of each investment committee or otherwise entitled to participate in each meeting of any investment committee that is expected to approve or reject recommended investment opportunities falling within its Regulated Funds’ Objectives and Strategies and Board-Established Criteria. Accordingly, the policies and procedures may provide, for example, that an Adviser will receive the information required under Condition 1 in conjunction with its representatives’ participation in the relevant investment committee’s meetings. The allocation memorandum for each Potential Co-Investment Transaction will document the recommendations by the investment committee.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7" w:name="page8"/>
    <w:bookmarkEnd w:id="7"/>
    <w:p>
      <w:pPr>
        <w:ind w:left="4" w:right="20" w:firstLine="44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 Procedure</w:t>
      </w:r>
      <w:r>
        <w:rPr>
          <w:rFonts w:ascii="Arial" w:cs="Arial" w:eastAsia="Arial" w:hAnsi="Arial"/>
          <w:sz w:val="18"/>
          <w:szCs w:val="18"/>
          <w:color w:val="auto"/>
        </w:rPr>
        <w:t>. For each Regulated Fund and Affiliated Fund whose Adviser recommends participating in a Potential Co-Investment Transaction, such Adviser’s investment committee will approve an investment amount to be allocated to each Regulated Fund and/or Affiliated Fund participating in the Potential Co-Investment Transaction. Prior to the External Submission (as defined below), each proposed order amount may be reviewed and adjusted, in accordance with the applicable Adviser’s written allocation policies and procedures, by the applicable Adviser’s investment committee.</w:t>
      </w:r>
      <w:r>
        <w:rPr>
          <w:rFonts w:ascii="Arial" w:cs="Arial" w:eastAsia="Arial" w:hAnsi="Arial"/>
          <w:sz w:val="15"/>
          <w:szCs w:val="15"/>
          <w:color w:val="auto"/>
        </w:rPr>
        <w:t>10</w:t>
      </w:r>
      <w:r>
        <w:rPr>
          <w:rFonts w:ascii="Arial" w:cs="Arial" w:eastAsia="Arial" w:hAnsi="Arial"/>
          <w:sz w:val="18"/>
          <w:szCs w:val="18"/>
          <w:color w:val="auto"/>
        </w:rPr>
        <w:t xml:space="preserve"> The order of a Regulated Fund or Affiliated Fund resulting from this process is referred to as its “</w:t>
      </w:r>
      <w:r>
        <w:rPr>
          <w:rFonts w:ascii="Arial" w:cs="Arial" w:eastAsia="Arial" w:hAnsi="Arial"/>
          <w:sz w:val="18"/>
          <w:szCs w:val="18"/>
          <w:b w:val="1"/>
          <w:bCs w:val="1"/>
          <w:i w:val="1"/>
          <w:iCs w:val="1"/>
          <w:color w:val="auto"/>
        </w:rPr>
        <w:t>Internal Order</w:t>
      </w:r>
      <w:r>
        <w:rPr>
          <w:rFonts w:ascii="Arial" w:cs="Arial" w:eastAsia="Arial" w:hAnsi="Arial"/>
          <w:sz w:val="18"/>
          <w:szCs w:val="18"/>
          <w:color w:val="auto"/>
        </w:rPr>
        <w:t>”. The Internal Order will be submitted for approval by the Required Majority of any participating Regulated Funds in accordance with the Conditions and as discussed in section III.A.1.c. below.</w:t>
      </w:r>
    </w:p>
    <w:p>
      <w:pPr>
        <w:spacing w:after="0" w:line="195"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If the aggregate Internal Orders for a Potential Co-Investment Transaction do not exceed the size of the investment opportunity immediately prior to the submission of the orders to the underwriter, broker, dealer or issuer, as applicable (the “</w:t>
      </w:r>
      <w:r>
        <w:rPr>
          <w:rFonts w:ascii="Arial" w:cs="Arial" w:eastAsia="Arial" w:hAnsi="Arial"/>
          <w:sz w:val="17"/>
          <w:szCs w:val="17"/>
          <w:b w:val="1"/>
          <w:bCs w:val="1"/>
          <w:i w:val="1"/>
          <w:iCs w:val="1"/>
          <w:color w:val="auto"/>
        </w:rPr>
        <w:t>External Submission</w:t>
      </w:r>
      <w:r>
        <w:rPr>
          <w:rFonts w:ascii="Arial" w:cs="Arial" w:eastAsia="Arial" w:hAnsi="Arial"/>
          <w:sz w:val="17"/>
          <w:szCs w:val="17"/>
          <w:color w:val="auto"/>
        </w:rPr>
        <w:t>”),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pro rata on the basis of the size of the Internal Orders.</w:t>
      </w:r>
      <w:r>
        <w:rPr>
          <w:rFonts w:ascii="Arial" w:cs="Arial" w:eastAsia="Arial" w:hAnsi="Arial"/>
          <w:sz w:val="14"/>
          <w:szCs w:val="14"/>
          <w:color w:val="auto"/>
        </w:rPr>
        <w:t>11</w:t>
      </w:r>
      <w:r>
        <w:rPr>
          <w:rFonts w:ascii="Arial" w:cs="Arial" w:eastAsia="Arial" w:hAnsi="Arial"/>
          <w:sz w:val="17"/>
          <w:szCs w:val="17"/>
          <w:color w:val="auto"/>
        </w:rPr>
        <w:t xml:space="preserve"> 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The Board of the Regulated Fund will then either approve or disapprove of the investment opportunity in accordance with Condition 2, 6, 7, 8 or 9, as applicable.</w:t>
      </w:r>
    </w:p>
    <w:p>
      <w:pPr>
        <w:spacing w:after="0" w:line="18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Applicants represent that the Advisers’ allocation review process is a robust process designed as part of their overall compliance policies and procedures to ensure that every client is treated fairly and that the Advisers are following their allocation policies. The entire allocation process is monitored and reviewed by the compliance team, led by the chief compliance officer, and approved by the Board of each Regulated Fund as it applies to such Regulated Fund.</w:t>
      </w:r>
    </w:p>
    <w:p>
      <w:pPr>
        <w:spacing w:after="0" w:line="92" w:lineRule="exact"/>
        <w:rPr>
          <w:sz w:val="20"/>
          <w:szCs w:val="20"/>
          <w:color w:val="auto"/>
        </w:rPr>
      </w:pPr>
    </w:p>
    <w:p>
      <w:pPr>
        <w:ind w:left="1744" w:hanging="543"/>
        <w:spacing w:after="0"/>
        <w:tabs>
          <w:tab w:leader="none" w:pos="174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Approval of Potential Co-Investment Transactions</w:t>
      </w:r>
    </w:p>
    <w:p>
      <w:pPr>
        <w:spacing w:after="0" w:line="225"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84"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In the case of a BDC Downstream Fund with an Independent Party consisting of a transaction committee or advisory committee, the individuals on the committee would possess experience and training comparable to that of the directors of the parent Regulated Fund and sufficient to permit them to make informed decisions on behalf of the applicable BDC Downstream Fund. Applicants represent that the Independent Parties of the BDC Downstream Funds would be bound (by law or by contract) by fiduciary duties comparable to those applicable to the directors of the parent Regulated Fund, including a duty to act in the best interests of their respective funds when approving transactions. These duties would apply in the case of all Potential Co-Investment Transactions, including transactions that could present a conflict of interest.</w:t>
      </w:r>
    </w:p>
    <w:p>
      <w:pPr>
        <w:spacing w:after="0" w:line="178"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Further, Applicants believe that the existence of differing routes of approval between the BDC Downstream Funds and other Regulated Funds would not result in Applicants investing through the BDC Downstream Funds in order to avoid obtaining the approval of a Regulated Fund’s Board. Each Regulated Fund and BDC Downstream Fund has its own Objectives and Strategies and may have its own Board-Established Criteria, the implementation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4"/>
          <w:szCs w:val="14"/>
          <w:color w:val="auto"/>
        </w:rPr>
      </w:pPr>
      <w:r>
        <w:rPr>
          <w:rFonts w:ascii="Arial" w:cs="Arial" w:eastAsia="Arial" w:hAnsi="Arial"/>
          <w:sz w:val="17"/>
          <w:szCs w:val="17"/>
          <w:color w:val="auto"/>
        </w:rPr>
        <w:t>The reason for any such adjustment to a proposed order amount will be documented in writing and preserved in the records of each Adviser</w:t>
      </w:r>
    </w:p>
    <w:p>
      <w:pPr>
        <w:spacing w:after="0" w:line="34" w:lineRule="exact"/>
        <w:rPr>
          <w:rFonts w:ascii="Arial" w:cs="Arial" w:eastAsia="Arial" w:hAnsi="Arial"/>
          <w:sz w:val="14"/>
          <w:szCs w:val="14"/>
          <w:color w:val="auto"/>
        </w:rPr>
      </w:pPr>
    </w:p>
    <w:p>
      <w:pPr>
        <w:ind w:left="424" w:right="20" w:hanging="424"/>
        <w:spacing w:after="0" w:line="253" w:lineRule="auto"/>
        <w:tabs>
          <w:tab w:leader="none" w:pos="424" w:val="left"/>
        </w:tabs>
        <w:numPr>
          <w:ilvl w:val="0"/>
          <w:numId w:val="28"/>
        </w:numPr>
        <w:rPr>
          <w:rFonts w:ascii="Arial" w:cs="Arial" w:eastAsia="Arial" w:hAnsi="Arial"/>
          <w:sz w:val="15"/>
          <w:szCs w:val="15"/>
          <w:color w:val="auto"/>
        </w:rPr>
      </w:pPr>
      <w:r>
        <w:rPr>
          <w:rFonts w:ascii="Arial" w:cs="Arial" w:eastAsia="Arial" w:hAnsi="Arial"/>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8" w:name="page9"/>
    <w:bookmarkEnd w:id="8"/>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depends on the specific circumstances of the entity’s portfolio at the time an investment opportunity is presented. As noted above, consistent with its duty to its BDC Downstream Funds, the Independent Party must reach a conclusion on whether or not an investment is in the best interest of its relevant BDC Downstream Funds. An investment made solely to avoid an approval requirement at the Regulated Fund level should not be viewed as in the best interest of the entity in question and, thus, would not be approved by the Independent Party.</w:t>
      </w:r>
    </w:p>
    <w:p>
      <w:pPr>
        <w:spacing w:after="0" w:line="171"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76" w:lineRule="exact"/>
        <w:rPr>
          <w:sz w:val="20"/>
          <w:szCs w:val="20"/>
          <w:color w:val="auto"/>
        </w:rPr>
      </w:pPr>
    </w:p>
    <w:p>
      <w:pPr>
        <w:ind w:left="544" w:hanging="544"/>
        <w:spacing w:after="0"/>
        <w:tabs>
          <w:tab w:leader="none" w:pos="5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Delayed Settlement</w:t>
      </w:r>
    </w:p>
    <w:p>
      <w:pPr>
        <w:spacing w:after="0" w:line="225"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business days after the settlement date for the Regulated Fund, and vice versa.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business days of each other.</w:t>
      </w:r>
    </w:p>
    <w:p>
      <w:pPr>
        <w:spacing w:after="0" w:line="83" w:lineRule="exact"/>
        <w:rPr>
          <w:sz w:val="20"/>
          <w:szCs w:val="20"/>
          <w:color w:val="auto"/>
        </w:rPr>
      </w:pPr>
    </w:p>
    <w:p>
      <w:pPr>
        <w:ind w:left="544" w:hanging="544"/>
        <w:spacing w:after="0"/>
        <w:tabs>
          <w:tab w:leader="none" w:pos="54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Permitted Follow-On Investments and Approval of Follow-On Investments</w:t>
      </w:r>
    </w:p>
    <w:p>
      <w:pPr>
        <w:spacing w:after="0" w:line="225" w:lineRule="exact"/>
        <w:rPr>
          <w:sz w:val="20"/>
          <w:szCs w:val="20"/>
          <w:color w:val="auto"/>
        </w:rPr>
      </w:pPr>
    </w:p>
    <w:p>
      <w:pPr>
        <w:jc w:val="both"/>
        <w:ind w:left="4" w:right="360" w:firstLine="440"/>
        <w:spacing w:after="0" w:line="301" w:lineRule="auto"/>
        <w:rPr>
          <w:sz w:val="20"/>
          <w:szCs w:val="20"/>
          <w:color w:val="auto"/>
        </w:rPr>
      </w:pPr>
      <w:r>
        <w:rPr>
          <w:rFonts w:ascii="Arial" w:cs="Arial" w:eastAsia="Arial" w:hAnsi="Arial"/>
          <w:sz w:val="16"/>
          <w:szCs w:val="16"/>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w:t>
      </w:r>
    </w:p>
    <w:p>
      <w:pPr>
        <w:spacing w:after="0" w:line="157"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“Standard Review Follow-Ons.”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“Enhanced Review Follow-Ons.”</w:t>
      </w:r>
    </w:p>
    <w:p>
      <w:pPr>
        <w:spacing w:after="0" w:line="84" w:lineRule="exact"/>
        <w:rPr>
          <w:sz w:val="20"/>
          <w:szCs w:val="20"/>
          <w:color w:val="auto"/>
        </w:rPr>
      </w:pPr>
    </w:p>
    <w:p>
      <w:pPr>
        <w:ind w:left="1744" w:hanging="543"/>
        <w:spacing w:after="0"/>
        <w:tabs>
          <w:tab w:leader="none" w:pos="17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225" w:lineRule="exact"/>
        <w:rPr>
          <w:sz w:val="20"/>
          <w:szCs w:val="20"/>
          <w:color w:val="auto"/>
        </w:rPr>
      </w:pPr>
    </w:p>
    <w:p>
      <w:pPr>
        <w:ind w:left="4" w:right="280" w:firstLine="440"/>
        <w:spacing w:after="0" w:line="308" w:lineRule="auto"/>
        <w:rPr>
          <w:sz w:val="20"/>
          <w:szCs w:val="20"/>
          <w:color w:val="auto"/>
        </w:rPr>
      </w:pPr>
      <w:r>
        <w:rPr>
          <w:rFonts w:ascii="Arial" w:cs="Arial" w:eastAsia="Arial" w:hAnsi="Arial"/>
          <w:sz w:val="17"/>
          <w:szCs w:val="17"/>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4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70"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Pro Rata Follow-On Investment</w:t>
      </w:r>
      <w:r>
        <w:rPr>
          <w:rFonts w:ascii="Arial" w:cs="Arial" w:eastAsia="Arial" w:hAnsi="Arial"/>
          <w:sz w:val="16"/>
          <w:szCs w:val="16"/>
          <w:color w:val="auto"/>
        </w:rPr>
        <w:t>” is a Follow-On Investment (i) in which the participation of each Affiliated Fund and each Regulated Fund is proportionate to its outstanding investments in the issuer or security, as appropriate,</w:t>
      </w:r>
      <w:r>
        <w:rPr>
          <w:rFonts w:ascii="Arial" w:cs="Arial" w:eastAsia="Arial" w:hAnsi="Arial"/>
          <w:sz w:val="13"/>
          <w:szCs w:val="13"/>
          <w:color w:val="auto"/>
        </w:rPr>
        <w:t>12</w:t>
      </w:r>
      <w:r>
        <w:rPr>
          <w:rFonts w:ascii="Arial" w:cs="Arial" w:eastAsia="Arial" w:hAnsi="Arial"/>
          <w:sz w:val="16"/>
          <w:szCs w:val="16"/>
          <w:color w:val="auto"/>
        </w:rPr>
        <w:t xml:space="preserve"> immediately preceding the Follow-On Investment, and (ii) in the case of a Regulated Fund, a majority of the Board has approved the Regulated Fund’s participation in the pro rata Follow-On Investments as being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26, below.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9" w:name="page10"/>
    <w:bookmarkEnd w:id="9"/>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best interests of the Regulated Fund. The Regulated Fund’s Board may refuse to approve, or at any time rescind, suspend or qualify, their approval of Pro Rata Follow-On Investments, in which case all subsequent Follow-On Investments will be submitted to the Regulated Fund’s Eligible Directors in accordance with Condition 8(c).</w:t>
      </w:r>
    </w:p>
    <w:p>
      <w:pPr>
        <w:spacing w:after="0" w:line="184" w:lineRule="exact"/>
        <w:rPr>
          <w:sz w:val="20"/>
          <w:szCs w:val="20"/>
          <w:color w:val="auto"/>
        </w:rPr>
      </w:pPr>
    </w:p>
    <w:p>
      <w:pPr>
        <w:ind w:left="4" w:right="500" w:firstLine="440"/>
        <w:spacing w:after="0" w:line="311"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Non-Negotiated Follow-On Investment</w:t>
      </w:r>
      <w:r>
        <w:rPr>
          <w:rFonts w:ascii="Arial" w:cs="Arial" w:eastAsia="Arial" w:hAnsi="Arial"/>
          <w:sz w:val="16"/>
          <w:szCs w:val="16"/>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49"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89" w:lineRule="exact"/>
        <w:rPr>
          <w:sz w:val="20"/>
          <w:szCs w:val="20"/>
          <w:color w:val="auto"/>
        </w:rPr>
      </w:pPr>
    </w:p>
    <w:p>
      <w:pPr>
        <w:ind w:left="1744" w:hanging="543"/>
        <w:spacing w:after="0"/>
        <w:tabs>
          <w:tab w:leader="none" w:pos="174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72" w:lineRule="exact"/>
        <w:rPr>
          <w:sz w:val="20"/>
          <w:szCs w:val="20"/>
          <w:color w:val="auto"/>
        </w:rPr>
      </w:pPr>
    </w:p>
    <w:p>
      <w:pPr>
        <w:ind w:left="544" w:hanging="544"/>
        <w:spacing w:after="0"/>
        <w:tabs>
          <w:tab w:leader="none" w:pos="5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Dispositions</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and Affiliated Funds and in accordance with procedures set forth in the proposed Conditions to the Order and discussed below.</w:t>
      </w:r>
    </w:p>
    <w:p>
      <w:pPr>
        <w:spacing w:after="0" w:line="187"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“Standard Review Dispositions”)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“Enhanced Review Dispositions”) would be subject to the same “onboarding process” discussed in Section III.A.4.b. below, and governed by Condition 7.</w:t>
      </w:r>
    </w:p>
    <w:p>
      <w:pPr>
        <w:spacing w:after="0" w:line="100" w:lineRule="exact"/>
        <w:rPr>
          <w:sz w:val="20"/>
          <w:szCs w:val="20"/>
          <w:color w:val="auto"/>
        </w:rPr>
      </w:pPr>
    </w:p>
    <w:p>
      <w:pPr>
        <w:ind w:left="1744" w:hanging="543"/>
        <w:spacing w:after="0"/>
        <w:tabs>
          <w:tab w:leader="none" w:pos="17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225" w:lineRule="exact"/>
        <w:rPr>
          <w:sz w:val="20"/>
          <w:szCs w:val="20"/>
          <w:color w:val="auto"/>
        </w:rPr>
      </w:pPr>
    </w:p>
    <w:p>
      <w:pPr>
        <w:ind w:left="4" w:right="660" w:firstLine="440"/>
        <w:spacing w:after="0" w:line="342" w:lineRule="auto"/>
        <w:rPr>
          <w:sz w:val="20"/>
          <w:szCs w:val="20"/>
          <w:color w:val="auto"/>
        </w:rPr>
      </w:pPr>
      <w:r>
        <w:rPr>
          <w:rFonts w:ascii="Arial" w:cs="Arial" w:eastAsia="Arial" w:hAnsi="Arial"/>
          <w:sz w:val="16"/>
          <w:szCs w:val="16"/>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24" w:lineRule="exact"/>
        <w:rPr>
          <w:sz w:val="20"/>
          <w:szCs w:val="20"/>
          <w:color w:val="auto"/>
        </w:rPr>
      </w:pPr>
    </w:p>
    <w:p>
      <w:pPr>
        <w:jc w:val="center"/>
        <w:ind w:right="56"/>
        <w:spacing w:after="0" w:line="342" w:lineRule="auto"/>
        <w:rPr>
          <w:sz w:val="20"/>
          <w:szCs w:val="20"/>
          <w:color w:val="auto"/>
        </w:rPr>
      </w:pPr>
      <w:r>
        <w:rPr>
          <w:rFonts w:ascii="Arial" w:cs="Arial" w:eastAsia="Arial" w:hAnsi="Arial"/>
          <w:sz w:val="16"/>
          <w:szCs w:val="16"/>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24"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Pro Rata Disposition</w:t>
      </w:r>
      <w:r>
        <w:rPr>
          <w:rFonts w:ascii="Arial" w:cs="Arial" w:eastAsia="Arial" w:hAnsi="Arial"/>
          <w:sz w:val="18"/>
          <w:szCs w:val="18"/>
          <w:color w:val="auto"/>
        </w:rPr>
        <w:t>” is a Disposition (i) in which the participation of each Affiliated Fund and each Regulated Fund is proportionate to its outstanding investment in the security subject to Disposition immediately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0" w:name="page11"/>
    <w:bookmarkEnd w:id="10"/>
    <w:p>
      <w:pPr>
        <w:jc w:val="both"/>
        <w:ind w:left="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preceding the Disposition;</w:t>
      </w:r>
      <w:r>
        <w:rPr>
          <w:rFonts w:ascii="Arial" w:cs="Arial" w:eastAsia="Arial" w:hAnsi="Arial"/>
          <w:sz w:val="13"/>
          <w:szCs w:val="13"/>
          <w:color w:val="auto"/>
        </w:rPr>
        <w:t>13</w:t>
      </w:r>
      <w:r>
        <w:rPr>
          <w:rFonts w:ascii="Arial" w:cs="Arial" w:eastAsia="Arial" w:hAnsi="Arial"/>
          <w:sz w:val="16"/>
          <w:szCs w:val="16"/>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49"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In the case of a Tradable Security, approval of the required majority is not required for the Disposition if: (x) the Disposition is not to the issuer or any affiliated person of the issuer;</w:t>
      </w:r>
      <w:r>
        <w:rPr>
          <w:rFonts w:ascii="Arial" w:cs="Arial" w:eastAsia="Arial" w:hAnsi="Arial"/>
          <w:sz w:val="15"/>
          <w:szCs w:val="15"/>
          <w:color w:val="auto"/>
        </w:rPr>
        <w:t>14</w:t>
      </w:r>
      <w:r>
        <w:rPr>
          <w:rFonts w:ascii="Arial" w:cs="Arial" w:eastAsia="Arial" w:hAnsi="Arial"/>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92" w:lineRule="exact"/>
        <w:rPr>
          <w:sz w:val="20"/>
          <w:szCs w:val="20"/>
          <w:color w:val="auto"/>
        </w:rPr>
      </w:pPr>
    </w:p>
    <w:p>
      <w:pPr>
        <w:ind w:left="1744" w:hanging="543"/>
        <w:spacing w:after="0"/>
        <w:tabs>
          <w:tab w:leader="none" w:pos="174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p>
    <w:p>
      <w:pPr>
        <w:spacing w:after="0" w:line="225"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investment in a given issuer, the participating Regulated Funds and Affiliated Funds need only complete the onboarding process for the first Co-Investment Transaction, which may be an Enhanced Review Follow-On or an Enhanced Review Disposition.</w:t>
      </w:r>
      <w:r>
        <w:rPr>
          <w:rFonts w:ascii="Arial" w:cs="Arial" w:eastAsia="Arial" w:hAnsi="Arial"/>
          <w:sz w:val="13"/>
          <w:szCs w:val="13"/>
          <w:color w:val="auto"/>
        </w:rPr>
        <w:t>15</w:t>
      </w:r>
      <w:r>
        <w:rPr>
          <w:rFonts w:ascii="Arial" w:cs="Arial" w:eastAsia="Arial" w:hAnsi="Arial"/>
          <w:sz w:val="16"/>
          <w:szCs w:val="16"/>
          <w:color w:val="auto"/>
        </w:rPr>
        <w:t xml:space="preserve"> Subsequent Co-Investment Transactions with respect to the issuer will be governed by Condition 6 or 8 under the standard review process.</w:t>
      </w:r>
    </w:p>
    <w:p>
      <w:pPr>
        <w:spacing w:after="0" w:line="70" w:lineRule="exact"/>
        <w:rPr>
          <w:sz w:val="20"/>
          <w:szCs w:val="20"/>
          <w:color w:val="auto"/>
        </w:rPr>
      </w:pPr>
    </w:p>
    <w:p>
      <w:pPr>
        <w:ind w:left="544" w:hanging="544"/>
        <w:spacing w:after="0"/>
        <w:tabs>
          <w:tab w:leader="none" w:pos="5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Use of Wholly-Owned Investment Subs</w:t>
      </w:r>
    </w:p>
    <w:p>
      <w:pPr>
        <w:spacing w:after="0" w:line="225"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61"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Applicants note that an entity could not be both a Wholly-Owned Investment Sub and a BDC Downstream Fund because, in the former case, the Board of the parent Regulated Fund makes any determinations regarding the subsidiary’s investments while, in the latter case, the Independent Party makes such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24, below.</w:t>
      </w:r>
    </w:p>
    <w:p>
      <w:pPr>
        <w:spacing w:after="0" w:line="23" w:lineRule="exact"/>
        <w:rPr>
          <w:rFonts w:ascii="Arial" w:cs="Arial" w:eastAsia="Arial" w:hAnsi="Arial"/>
          <w:sz w:val="15"/>
          <w:szCs w:val="15"/>
          <w:color w:val="auto"/>
        </w:rPr>
      </w:pPr>
    </w:p>
    <w:p>
      <w:pPr>
        <w:ind w:left="424" w:right="100" w:hanging="424"/>
        <w:spacing w:after="0" w:line="281" w:lineRule="auto"/>
        <w:tabs>
          <w:tab w:leader="none" w:pos="424" w:val="left"/>
        </w:tabs>
        <w:numPr>
          <w:ilvl w:val="0"/>
          <w:numId w:val="38"/>
        </w:numPr>
        <w:rPr>
          <w:rFonts w:ascii="Arial" w:cs="Arial" w:eastAsia="Arial" w:hAnsi="Arial"/>
          <w:sz w:val="13"/>
          <w:szCs w:val="13"/>
          <w:color w:val="auto"/>
        </w:rPr>
      </w:pPr>
      <w:r>
        <w:rPr>
          <w:rFonts w:ascii="Arial" w:cs="Arial" w:eastAsia="Arial" w:hAnsi="Arial"/>
          <w:sz w:val="16"/>
          <w:szCs w:val="16"/>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(i.e., cash) to pay down long term liabilities.</w:t>
      </w:r>
    </w:p>
    <w:p>
      <w:pPr>
        <w:spacing w:after="0" w:line="1" w:lineRule="exact"/>
        <w:rPr>
          <w:rFonts w:ascii="Arial" w:cs="Arial" w:eastAsia="Arial" w:hAnsi="Arial"/>
          <w:sz w:val="13"/>
          <w:szCs w:val="13"/>
          <w:color w:val="auto"/>
        </w:rPr>
      </w:pPr>
    </w:p>
    <w:p>
      <w:pPr>
        <w:ind w:left="424" w:right="60" w:hanging="424"/>
        <w:spacing w:after="0" w:line="269" w:lineRule="auto"/>
        <w:tabs>
          <w:tab w:leader="none" w:pos="424" w:val="left"/>
        </w:tabs>
        <w:numPr>
          <w:ilvl w:val="0"/>
          <w:numId w:val="38"/>
        </w:numPr>
        <w:rPr>
          <w:rFonts w:ascii="Arial" w:cs="Arial" w:eastAsia="Arial" w:hAnsi="Arial"/>
          <w:sz w:val="14"/>
          <w:szCs w:val="14"/>
          <w:color w:val="auto"/>
        </w:rPr>
      </w:pPr>
      <w:r>
        <w:rPr>
          <w:rFonts w:ascii="Arial" w:cs="Arial" w:eastAsia="Arial" w:hAnsi="Arial"/>
          <w:sz w:val="17"/>
          <w:szCs w:val="17"/>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(i.e.,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11" w:name="page12"/>
    <w:bookmarkEnd w:id="11"/>
    <w:p>
      <w:pPr>
        <w:ind w:left="544" w:hanging="544"/>
        <w:spacing w:after="0"/>
        <w:tabs>
          <w:tab w:leader="none" w:pos="5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w:t>
      </w:r>
    </w:p>
    <w:p>
      <w:pPr>
        <w:spacing w:after="0" w:line="131" w:lineRule="exact"/>
        <w:rPr>
          <w:sz w:val="20"/>
          <w:szCs w:val="20"/>
          <w:color w:val="auto"/>
        </w:rPr>
      </w:pPr>
    </w:p>
    <w:p>
      <w:pPr>
        <w:ind w:left="544" w:hanging="544"/>
        <w:spacing w:after="0"/>
        <w:tabs>
          <w:tab w:leader="none" w:pos="5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17(d) and Section 57(a)(4)</w:t>
      </w:r>
    </w:p>
    <w:p>
      <w:pPr>
        <w:spacing w:after="0" w:line="22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71" w:lineRule="exact"/>
        <w:rPr>
          <w:sz w:val="20"/>
          <w:szCs w:val="20"/>
          <w:color w:val="auto"/>
        </w:rPr>
      </w:pPr>
    </w:p>
    <w:p>
      <w:pPr>
        <w:ind w:left="4" w:right="120" w:firstLine="440"/>
        <w:spacing w:after="0" w:line="342" w:lineRule="auto"/>
        <w:rPr>
          <w:sz w:val="20"/>
          <w:szCs w:val="20"/>
          <w:color w:val="auto"/>
        </w:rPr>
      </w:pPr>
      <w:r>
        <w:rPr>
          <w:rFonts w:ascii="Arial" w:cs="Arial" w:eastAsia="Arial" w:hAnsi="Arial"/>
          <w:sz w:val="16"/>
          <w:szCs w:val="16"/>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29" w:lineRule="exact"/>
        <w:rPr>
          <w:sz w:val="20"/>
          <w:szCs w:val="20"/>
          <w:color w:val="auto"/>
        </w:rPr>
      </w:pPr>
    </w:p>
    <w:p>
      <w:pPr>
        <w:ind w:left="1424" w:right="460" w:hanging="439"/>
        <w:spacing w:after="0" w:line="277" w:lineRule="auto"/>
        <w:tabs>
          <w:tab w:leader="none" w:pos="1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forgoing pursuant to Section 2(a)(3)(C); or</w:t>
      </w:r>
    </w:p>
    <w:p>
      <w:pPr>
        <w:spacing w:after="0" w:line="75" w:lineRule="exact"/>
        <w:rPr>
          <w:rFonts w:ascii="Arial" w:cs="Arial" w:eastAsia="Arial" w:hAnsi="Arial"/>
          <w:sz w:val="18"/>
          <w:szCs w:val="18"/>
          <w:color w:val="auto"/>
        </w:rPr>
      </w:pPr>
    </w:p>
    <w:p>
      <w:pPr>
        <w:ind w:left="1424" w:right="140" w:hanging="439"/>
        <w:spacing w:after="0" w:line="279" w:lineRule="auto"/>
        <w:tabs>
          <w:tab w:leader="none" w:pos="14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Arial" w:cs="Arial" w:eastAsia="Arial" w:hAnsi="Arial"/>
          <w:sz w:val="14"/>
          <w:szCs w:val="14"/>
          <w:color w:val="auto"/>
        </w:rPr>
        <w:t>16</w:t>
      </w:r>
      <w:r>
        <w:rPr>
          <w:rFonts w:ascii="Arial" w:cs="Arial" w:eastAsia="Arial" w:hAnsi="Arial"/>
          <w:sz w:val="17"/>
          <w:szCs w:val="17"/>
          <w:color w:val="auto"/>
        </w:rPr>
        <w:t xml:space="preserve"> or any person who is an affiliated person of any of the forgoing within the meaning of Section 2(a)(3)(C) or (D).</w:t>
      </w:r>
    </w:p>
    <w:p>
      <w:pPr>
        <w:spacing w:after="0" w:line="17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Pursuant to the foregoing application of Section 57(a)(4), BDC Downstream Funds on the one hand and other Regulated Funds and Affiliated Funds on the other, may not co-invest absent an exemptive order because the BDC Downstream Funds are controlled by a BDC and the Affiliated Funds and other Regulated Funds are included in Section 57(b).</w:t>
      </w:r>
    </w:p>
    <w:p>
      <w:pPr>
        <w:spacing w:after="0" w:line="184"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ind w:left="424" w:right="60" w:hanging="424"/>
        <w:spacing w:after="0" w:line="255" w:lineRule="auto"/>
        <w:tabs>
          <w:tab w:leader="none" w:pos="424" w:val="left"/>
        </w:tabs>
        <w:numPr>
          <w:ilvl w:val="0"/>
          <w:numId w:val="42"/>
        </w:numPr>
        <w:rPr>
          <w:rFonts w:ascii="Arial" w:cs="Arial" w:eastAsia="Arial" w:hAnsi="Arial"/>
          <w:sz w:val="15"/>
          <w:szCs w:val="15"/>
          <w:color w:val="auto"/>
        </w:rPr>
      </w:pPr>
      <w:r>
        <w:rPr>
          <w:rFonts w:ascii="Arial" w:cs="Arial" w:eastAsia="Arial" w:hAnsi="Arial"/>
          <w:sz w:val="18"/>
          <w:szCs w:val="18"/>
          <w:color w:val="auto"/>
        </w:rPr>
        <w:t>Also excluded from this category by Rule 57b-1 is any person who would otherwise be included (a) solely because that person is directly or indirectly controlled by a business development company, or (b) solely because that person is, within the meaning of Section 2(a)(3)(C) or (D), an affiliated person of a person described in (a) above.</w:t>
      </w:r>
    </w:p>
    <w:p>
      <w:pPr>
        <w:spacing w:after="0" w:line="2" w:lineRule="exact"/>
        <w:rPr>
          <w:rFonts w:ascii="Arial" w:cs="Arial" w:eastAsia="Arial" w:hAnsi="Arial"/>
          <w:sz w:val="15"/>
          <w:szCs w:val="15"/>
          <w:color w:val="auto"/>
        </w:rPr>
      </w:pPr>
    </w:p>
    <w:p>
      <w:pPr>
        <w:ind w:left="424" w:right="120" w:hanging="424"/>
        <w:spacing w:after="0" w:line="253" w:lineRule="auto"/>
        <w:tabs>
          <w:tab w:leader="none" w:pos="424" w:val="left"/>
        </w:tabs>
        <w:numPr>
          <w:ilvl w:val="0"/>
          <w:numId w:val="42"/>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auto"/>
        </w:rPr>
        <w:t>e.g</w:t>
      </w:r>
      <w:r>
        <w:rPr>
          <w:rFonts w:ascii="Arial" w:cs="Arial" w:eastAsia="Arial" w:hAnsi="Arial"/>
          <w:sz w:val="18"/>
          <w:szCs w:val="18"/>
          <w:color w:val="auto"/>
        </w:rPr>
        <w:t>., SEC Rel. No. IC-4697 (Sept. 8, 1966) (“For purposes of Section 2(a)(3)(C), affiliation based upon control would depend on the facts of the given situation, including such factors as extensive interlocks of officers, directors or key personnel, common investment advisers or underwriters, etc.”); Lazard Freres Asset Management,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2" w:name="page13"/>
    <w:bookmarkEnd w:id="12"/>
    <w:p>
      <w:pPr>
        <w:ind w:left="544" w:hanging="544"/>
        <w:spacing w:after="0"/>
        <w:tabs>
          <w:tab w:leader="none" w:pos="54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17d-1</w:t>
      </w:r>
    </w:p>
    <w:p>
      <w:pPr>
        <w:spacing w:after="0" w:line="22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8"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171" w:lineRule="exact"/>
        <w:rPr>
          <w:sz w:val="20"/>
          <w:szCs w:val="20"/>
          <w:color w:val="auto"/>
        </w:rPr>
      </w:pPr>
    </w:p>
    <w:p>
      <w:pPr>
        <w:ind w:left="4" w:right="160" w:firstLine="440"/>
        <w:spacing w:after="0" w:line="285" w:lineRule="auto"/>
        <w:rPr>
          <w:sz w:val="20"/>
          <w:szCs w:val="20"/>
          <w:color w:val="auto"/>
        </w:rPr>
      </w:pPr>
      <w:r>
        <w:rPr>
          <w:rFonts w:ascii="Arial" w:cs="Arial" w:eastAsia="Arial" w:hAnsi="Arial"/>
          <w:sz w:val="16"/>
          <w:szCs w:val="16"/>
          <w:color w:val="auto"/>
        </w:rPr>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13"/>
          <w:szCs w:val="13"/>
          <w:color w:val="auto"/>
        </w:rPr>
        <w:t>18</w:t>
      </w:r>
      <w:r>
        <w:rPr>
          <w:rFonts w:ascii="Arial" w:cs="Arial" w:eastAsia="Arial" w:hAnsi="Arial"/>
          <w:sz w:val="16"/>
          <w:szCs w:val="16"/>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w:t>
      </w:r>
    </w:p>
    <w:p>
      <w:pPr>
        <w:spacing w:after="0" w:line="1" w:lineRule="exact"/>
        <w:rPr>
          <w:sz w:val="20"/>
          <w:szCs w:val="20"/>
          <w:color w:val="auto"/>
        </w:rPr>
      </w:pPr>
    </w:p>
    <w:p>
      <w:pPr>
        <w:ind w:left="4" w:right="20"/>
        <w:spacing w:after="0" w:line="256" w:lineRule="auto"/>
        <w:rPr>
          <w:sz w:val="20"/>
          <w:szCs w:val="20"/>
          <w:color w:val="auto"/>
        </w:rPr>
      </w:pPr>
      <w:r>
        <w:rPr>
          <w:rFonts w:ascii="Arial" w:cs="Arial" w:eastAsia="Arial" w:hAnsi="Arial"/>
          <w:sz w:val="18"/>
          <w:szCs w:val="18"/>
          <w:color w:val="auto"/>
        </w:rPr>
        <w:t>participants.”</w:t>
      </w:r>
      <w:r>
        <w:rPr>
          <w:rFonts w:ascii="Arial" w:cs="Arial" w:eastAsia="Arial" w:hAnsi="Arial"/>
          <w:sz w:val="15"/>
          <w:szCs w:val="15"/>
          <w:color w:val="auto"/>
        </w:rPr>
        <w:t>19</w:t>
      </w:r>
      <w:r>
        <w:rPr>
          <w:rFonts w:ascii="Arial" w:cs="Arial" w:eastAsia="Arial" w:hAnsi="Arial"/>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Arial" w:cs="Arial" w:eastAsia="Arial" w:hAnsi="Arial"/>
          <w:sz w:val="15"/>
          <w:szCs w:val="15"/>
          <w:color w:val="auto"/>
        </w:rPr>
        <w:t>20</w:t>
      </w:r>
    </w:p>
    <w:p>
      <w:pPr>
        <w:spacing w:after="0" w:line="189"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76" w:lineRule="exact"/>
        <w:rPr>
          <w:sz w:val="20"/>
          <w:szCs w:val="20"/>
          <w:color w:val="auto"/>
        </w:rPr>
      </w:pPr>
    </w:p>
    <w:p>
      <w:pPr>
        <w:ind w:left="544" w:hanging="544"/>
        <w:spacing w:after="0"/>
        <w:tabs>
          <w:tab w:leader="none" w:pos="5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Co-Investment Transactions are prohibited by Rule 17d-1 and either or both of Sections 17(d) and 57(a)(4) without a prior exemptive order of the Commission, to the extent that the Affiliated Funds and the Regulated Funds participating in such transactions fall within the category of persons described by Rule 17d-1, Section 17(d) and/or Section 57(b), as modified by Rule 57b-1 thereunder, as applicable, vis-à-vis each participating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3"/>
          <w:szCs w:val="13"/>
          <w:color w:val="auto"/>
        </w:rPr>
      </w:pPr>
      <w:r>
        <w:rPr>
          <w:rFonts w:ascii="Arial" w:cs="Arial" w:eastAsia="Arial" w:hAnsi="Arial"/>
          <w:sz w:val="16"/>
          <w:szCs w:val="16"/>
          <w:u w:val="single" w:color="auto"/>
          <w:color w:val="auto"/>
        </w:rPr>
        <w:t>See Protecting Investors: A Half-Century of Investment Company Regulation</w:t>
      </w:r>
      <w:r>
        <w:rPr>
          <w:rFonts w:ascii="Arial" w:cs="Arial" w:eastAsia="Arial" w:hAnsi="Arial"/>
          <w:sz w:val="16"/>
          <w:szCs w:val="16"/>
          <w:color w:val="auto"/>
        </w:rPr>
        <w:t>, 1504 Fed. Sec. L. Rep., Extra Edition (May 29, 1992) at 488 et seq.</w:t>
      </w:r>
    </w:p>
    <w:p>
      <w:pPr>
        <w:spacing w:after="0" w:line="46" w:lineRule="exact"/>
        <w:rPr>
          <w:rFonts w:ascii="Arial" w:cs="Arial" w:eastAsia="Arial" w:hAnsi="Arial"/>
          <w:sz w:val="13"/>
          <w:szCs w:val="13"/>
          <w:color w:val="auto"/>
        </w:rPr>
      </w:pPr>
    </w:p>
    <w:p>
      <w:pPr>
        <w:ind w:left="424" w:hanging="424"/>
        <w:spacing w:after="0"/>
        <w:tabs>
          <w:tab w:leader="none" w:pos="424" w:val="left"/>
        </w:tabs>
        <w:numPr>
          <w:ilvl w:val="0"/>
          <w:numId w:val="45"/>
        </w:numPr>
        <w:rPr>
          <w:rFonts w:ascii="Arial" w:cs="Arial" w:eastAsia="Arial" w:hAnsi="Arial"/>
          <w:sz w:val="14"/>
          <w:szCs w:val="14"/>
          <w:color w:val="auto"/>
        </w:rPr>
      </w:pPr>
      <w:r>
        <w:rPr>
          <w:rFonts w:ascii="Arial" w:cs="Arial" w:eastAsia="Arial" w:hAnsi="Arial"/>
          <w:sz w:val="17"/>
          <w:szCs w:val="17"/>
          <w:u w:val="single" w:color="auto"/>
          <w:color w:val="auto"/>
        </w:rPr>
        <w:t>Securities and Exchange Commission v. Talley Industries, Inc</w:t>
      </w:r>
      <w:r>
        <w:rPr>
          <w:rFonts w:ascii="Arial" w:cs="Arial" w:eastAsia="Arial" w:hAnsi="Arial"/>
          <w:sz w:val="17"/>
          <w:szCs w:val="17"/>
          <w:color w:val="auto"/>
        </w:rPr>
        <w:t xml:space="preserve">., 399 F.2d 396, 405 (2d Cir. 1968), </w:t>
      </w:r>
      <w:r>
        <w:rPr>
          <w:rFonts w:ascii="Arial" w:cs="Arial" w:eastAsia="Arial" w:hAnsi="Arial"/>
          <w:sz w:val="17"/>
          <w:szCs w:val="17"/>
          <w:u w:val="single" w:color="auto"/>
          <w:color w:val="auto"/>
        </w:rPr>
        <w:t>cert</w:t>
      </w:r>
      <w:r>
        <w:rPr>
          <w:rFonts w:ascii="Arial" w:cs="Arial" w:eastAsia="Arial" w:hAnsi="Arial"/>
          <w:sz w:val="17"/>
          <w:szCs w:val="17"/>
          <w:color w:val="auto"/>
        </w:rPr>
        <w:t xml:space="preserve">. </w:t>
      </w:r>
      <w:r>
        <w:rPr>
          <w:rFonts w:ascii="Arial" w:cs="Arial" w:eastAsia="Arial" w:hAnsi="Arial"/>
          <w:sz w:val="17"/>
          <w:szCs w:val="17"/>
          <w:u w:val="single" w:color="auto"/>
          <w:color w:val="auto"/>
        </w:rPr>
        <w:t>denied</w:t>
      </w:r>
      <w:r>
        <w:rPr>
          <w:rFonts w:ascii="Arial" w:cs="Arial" w:eastAsia="Arial" w:hAnsi="Arial"/>
          <w:sz w:val="17"/>
          <w:szCs w:val="17"/>
          <w:color w:val="auto"/>
        </w:rPr>
        <w:t>, 393 U.S. 1015 (1969).</w:t>
      </w:r>
    </w:p>
    <w:p>
      <w:pPr>
        <w:spacing w:after="0" w:line="20" w:lineRule="exact"/>
        <w:rPr>
          <w:rFonts w:ascii="Arial" w:cs="Arial" w:eastAsia="Arial" w:hAnsi="Arial"/>
          <w:sz w:val="14"/>
          <w:szCs w:val="14"/>
          <w:color w:val="auto"/>
        </w:rPr>
      </w:pPr>
    </w:p>
    <w:p>
      <w:pPr>
        <w:ind w:left="424" w:hanging="424"/>
        <w:spacing w:after="0"/>
        <w:tabs>
          <w:tab w:leader="none" w:pos="424" w:val="left"/>
        </w:tabs>
        <w:numPr>
          <w:ilvl w:val="0"/>
          <w:numId w:val="45"/>
        </w:numPr>
        <w:rPr>
          <w:rFonts w:ascii="Arial" w:cs="Arial" w:eastAsia="Arial" w:hAnsi="Arial"/>
          <w:sz w:val="15"/>
          <w:szCs w:val="15"/>
          <w:color w:val="auto"/>
        </w:rPr>
      </w:pPr>
      <w:r>
        <w:rPr>
          <w:rFonts w:ascii="Arial" w:cs="Arial" w:eastAsia="Arial" w:hAnsi="Arial"/>
          <w:sz w:val="18"/>
          <w:szCs w:val="18"/>
          <w:color w:val="auto"/>
        </w:rPr>
        <w:t>H.Rep. No. 96-1341, 96th Cong., 2d Sess. 45 (1980) reprinted in 1980 U.S.C.C.A.N. 4827.</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3" w:name="page14"/>
    <w:bookmarkEnd w:id="13"/>
    <w:p>
      <w:pPr>
        <w:ind w:left="4" w:right="6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participating Regulated Funds and Affiliated Funds may be deemed to be affiliated persons vis-à-vis a Regulated Fund within the meaning of Section 2(a)(3) by reason of common control because (i) an Adviser, that is either PennantPark or an entity that controls, is controlled by, or under common control with PennantPark, will be the investment adviser (and sub-adviser, if any) to each of the Regulated Funds and the Affiliated Funds; (ii) PennantPark is the Adviser to, and may be deemed to control, the Existing Regulated Funds; and an Adviser will be the investment adviser and sub-adviser to, and may be deemed to control, any Future Regulated Fund; (iii) each BDC Downstream Fund will be deemed to be controlled by its BDC parent and/or its BDC parent’s Adviser; and (iv) the Advisers are under common control. Thus, each Regulated Fund and each Affiliated Fund may be deemed to be a person related to a Regulated Fund or BDC Downstream Fund in a manner described by Section 57(b) (or Section 17(d) in the case of Regulated Funds that are registered under the Act) and therefore would be prohibited by Section 57(a)(4) (or Section 17(d) in the case of Regulated Funds that are registered under the Act) and Rule 17d-1 from participating in Co-Investment Transactions without the Order.</w:t>
      </w:r>
    </w:p>
    <w:p>
      <w:pPr>
        <w:spacing w:after="0" w:line="166"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Further, because the BDC Downstream Funds and Wholly-Owned Investment Subs are controlled by the Regulated Funds, the BDC Downstream Funds and Wholly-Owned Investment Subs are subject to Section 57(a)(4) (or Section 17(d) in the case of Wholly-Owned Investment Subs controlled by Regulated Funds that are registered under the Act), and thus also subject to the provisions of Rule 17d-1, and therefore would be prohibited from participating in Co-Investment Transactions without the Order.</w:t>
      </w:r>
    </w:p>
    <w:p>
      <w:pPr>
        <w:spacing w:after="0" w:line="18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In addition, because the PennantPark Proprietary Accounts will be controlled by an Adviser or its affiliates and, therefore, may be under common control with the Existing Regulated Funds, PennantPark, and any Future Regulated Funds, the PennantPark Proprietary Accounts could be deemed to be persons related to the Regulated Funds (or a company controlled by the Regulated Funds) in a manner described by Section 17(d) or 57(b) and also prohibited from participating in the Co-Investment Program.</w:t>
      </w:r>
    </w:p>
    <w:p>
      <w:pPr>
        <w:spacing w:after="0" w:line="92" w:lineRule="exact"/>
        <w:rPr>
          <w:sz w:val="20"/>
          <w:szCs w:val="20"/>
          <w:color w:val="auto"/>
        </w:rPr>
      </w:pPr>
    </w:p>
    <w:p>
      <w:pPr>
        <w:ind w:left="544" w:hanging="544"/>
        <w:spacing w:after="0"/>
        <w:tabs>
          <w:tab w:leader="none" w:pos="54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Precedents</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Commission has issued numerous exemptive orders under the Act permitting registered investment companies and BDCs to co-invest with affiliated persons, including precedents involving proprietary accounts.</w:t>
      </w:r>
      <w:r>
        <w:rPr>
          <w:rFonts w:ascii="Arial" w:cs="Arial" w:eastAsia="Arial" w:hAnsi="Arial"/>
          <w:sz w:val="15"/>
          <w:szCs w:val="15"/>
          <w:color w:val="auto"/>
        </w:rPr>
        <w:t>21</w:t>
      </w:r>
      <w:r>
        <w:rPr>
          <w:rFonts w:ascii="Arial" w:cs="Arial" w:eastAsia="Arial" w:hAnsi="Arial"/>
          <w:sz w:val="18"/>
          <w:szCs w:val="18"/>
          <w:color w:val="auto"/>
        </w:rPr>
        <w:t xml:space="preserve"> Applicants submit that the allocation procedures set forth in the Conditions for relief are consistent with and expand the range of investor protections found in the orders we cite.</w:t>
      </w:r>
    </w:p>
    <w:p>
      <w:pPr>
        <w:spacing w:after="0" w:line="288"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u w:val="single" w:color="auto"/>
          <w:color w:val="auto"/>
        </w:rPr>
        <w:t>STATEMENT IN SUPPORT OF RELIEF REQUESTED</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8"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0" w:lineRule="exact"/>
        <w:rPr>
          <w:sz w:val="20"/>
          <w:szCs w:val="20"/>
          <w:color w:val="auto"/>
        </w:rPr>
      </w:pPr>
    </w:p>
    <w:p>
      <w:pPr>
        <w:ind w:left="424" w:right="60" w:hanging="424"/>
        <w:spacing w:after="0" w:line="286" w:lineRule="auto"/>
        <w:tabs>
          <w:tab w:leader="none" w:pos="424" w:val="left"/>
        </w:tabs>
        <w:numPr>
          <w:ilvl w:val="0"/>
          <w:numId w:val="47"/>
        </w:numPr>
        <w:rPr>
          <w:rFonts w:ascii="Arial" w:cs="Arial" w:eastAsia="Arial" w:hAnsi="Arial"/>
          <w:sz w:val="13"/>
          <w:szCs w:val="13"/>
          <w:color w:val="auto"/>
        </w:rPr>
      </w:pPr>
      <w:r>
        <w:rPr>
          <w:rFonts w:ascii="Arial" w:cs="Arial" w:eastAsia="Arial" w:hAnsi="Arial"/>
          <w:sz w:val="16"/>
          <w:szCs w:val="16"/>
          <w:u w:val="single" w:color="auto"/>
          <w:color w:val="auto"/>
        </w:rPr>
        <w:t>See, e.g.</w:t>
      </w:r>
      <w:r>
        <w:rPr>
          <w:rFonts w:ascii="Arial" w:cs="Arial" w:eastAsia="Arial" w:hAnsi="Arial"/>
          <w:sz w:val="16"/>
          <w:szCs w:val="16"/>
          <w:color w:val="auto"/>
        </w:rPr>
        <w:t xml:space="preserve">, </w:t>
      </w:r>
      <w:r>
        <w:rPr>
          <w:rFonts w:ascii="Arial" w:cs="Arial" w:eastAsia="Arial" w:hAnsi="Arial"/>
          <w:sz w:val="16"/>
          <w:szCs w:val="16"/>
          <w:u w:val="single" w:color="auto"/>
          <w:color w:val="auto"/>
        </w:rPr>
        <w:t>Bain Capital Specialty Finance Inc., et al</w:t>
      </w:r>
      <w:r>
        <w:rPr>
          <w:rFonts w:ascii="Arial" w:cs="Arial" w:eastAsia="Arial" w:hAnsi="Arial"/>
          <w:sz w:val="16"/>
          <w:szCs w:val="16"/>
          <w:color w:val="auto"/>
        </w:rPr>
        <w:t xml:space="preserve">., (File No. 812-15222) Release No. 34422 (November 22, 2021) (notice), Release No. 34445 (December 20, 2021) (order), </w:t>
      </w:r>
      <w:r>
        <w:rPr>
          <w:rFonts w:ascii="Arial" w:cs="Arial" w:eastAsia="Arial" w:hAnsi="Arial"/>
          <w:sz w:val="16"/>
          <w:szCs w:val="16"/>
          <w:u w:val="single" w:color="auto"/>
          <w:color w:val="auto"/>
        </w:rPr>
        <w:t>Blackstone/GSO Floating Rate Enhanced Income Fund, et al.</w:t>
      </w:r>
      <w:r>
        <w:rPr>
          <w:rFonts w:ascii="Arial" w:cs="Arial" w:eastAsia="Arial" w:hAnsi="Arial"/>
          <w:sz w:val="16"/>
          <w:szCs w:val="16"/>
          <w:color w:val="auto"/>
        </w:rPr>
        <w:t xml:space="preserve">, (File No. 812-15135) Release No. 34412 (November 1, 2021) (notice), Release No. 34427 (November 29, 2021) (order), </w:t>
      </w:r>
      <w:r>
        <w:rPr>
          <w:rFonts w:ascii="Arial" w:cs="Arial" w:eastAsia="Arial" w:hAnsi="Arial"/>
          <w:sz w:val="16"/>
          <w:szCs w:val="16"/>
          <w:u w:val="single" w:color="auto"/>
          <w:color w:val="auto"/>
        </w:rPr>
        <w:t>Pomona Investment Fund, et al.</w:t>
      </w:r>
      <w:r>
        <w:rPr>
          <w:rFonts w:ascii="Arial" w:cs="Arial" w:eastAsia="Arial" w:hAnsi="Arial"/>
          <w:sz w:val="16"/>
          <w:szCs w:val="16"/>
          <w:color w:val="auto"/>
        </w:rPr>
        <w:t xml:space="preserve">, (File No. 812-15218) Release No. 34374 (September 14, 2021) (notice), Release No. 34398 (October 13, 2021) (order), </w:t>
      </w:r>
      <w:r>
        <w:rPr>
          <w:rFonts w:ascii="Arial" w:cs="Arial" w:eastAsia="Arial" w:hAnsi="Arial"/>
          <w:sz w:val="16"/>
          <w:szCs w:val="16"/>
          <w:u w:val="single" w:color="auto"/>
          <w:color w:val="auto"/>
        </w:rPr>
        <w:t>Commonwealth Credit Partners BDC I, Inc. et al.</w:t>
      </w:r>
      <w:r>
        <w:rPr>
          <w:rFonts w:ascii="Arial" w:cs="Arial" w:eastAsia="Arial" w:hAnsi="Arial"/>
          <w:sz w:val="16"/>
          <w:szCs w:val="16"/>
          <w:color w:val="auto"/>
        </w:rPr>
        <w:t>, (File</w:t>
      </w:r>
    </w:p>
    <w:p>
      <w:pPr>
        <w:spacing w:after="0" w:line="1" w:lineRule="exact"/>
        <w:rPr>
          <w:rFonts w:ascii="Arial" w:cs="Arial" w:eastAsia="Arial" w:hAnsi="Arial"/>
          <w:sz w:val="13"/>
          <w:szCs w:val="13"/>
          <w:color w:val="auto"/>
        </w:rPr>
      </w:pPr>
    </w:p>
    <w:p>
      <w:pPr>
        <w:ind w:left="424" w:right="260"/>
        <w:spacing w:after="0" w:line="290" w:lineRule="auto"/>
        <w:rPr>
          <w:rFonts w:ascii="Arial" w:cs="Arial" w:eastAsia="Arial" w:hAnsi="Arial"/>
          <w:sz w:val="13"/>
          <w:szCs w:val="13"/>
          <w:color w:val="auto"/>
        </w:rPr>
      </w:pPr>
      <w:r>
        <w:rPr>
          <w:rFonts w:ascii="Arial" w:cs="Arial" w:eastAsia="Arial" w:hAnsi="Arial"/>
          <w:sz w:val="17"/>
          <w:szCs w:val="17"/>
          <w:color w:val="auto"/>
        </w:rPr>
        <w:t xml:space="preserve">No. 812-15195) Release No. 34325 (July 7, 2021) (notice), Release No. 34347 (October 2, 2021) (order), </w:t>
      </w:r>
      <w:r>
        <w:rPr>
          <w:rFonts w:ascii="Arial" w:cs="Arial" w:eastAsia="Arial" w:hAnsi="Arial"/>
          <w:sz w:val="17"/>
          <w:szCs w:val="17"/>
          <w:u w:val="single" w:color="auto"/>
          <w:color w:val="auto"/>
        </w:rPr>
        <w:t>First Eagle Alternative Capital BDC,</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 et al.</w:t>
      </w:r>
      <w:r>
        <w:rPr>
          <w:rFonts w:ascii="Arial" w:cs="Arial" w:eastAsia="Arial" w:hAnsi="Arial"/>
          <w:sz w:val="17"/>
          <w:szCs w:val="17"/>
          <w:color w:val="auto"/>
        </w:rPr>
        <w:t>, (File No. 812-15151) Release No. 34301 (June 6, 2021) (notice), Release No. 34300 (July 13, 2021) (order).</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4" w:name="page15"/>
    <w:bookmarkEnd w:id="14"/>
    <w:p>
      <w:pPr>
        <w:ind w:left="544" w:hanging="544"/>
        <w:spacing w:after="0"/>
        <w:tabs>
          <w:tab w:leader="none" w:pos="5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Potential Benefits</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84" w:lineRule="exact"/>
        <w:rPr>
          <w:sz w:val="20"/>
          <w:szCs w:val="20"/>
          <w:color w:val="auto"/>
        </w:rPr>
      </w:pPr>
    </w:p>
    <w:p>
      <w:pPr>
        <w:ind w:left="4" w:right="220" w:firstLine="440"/>
        <w:spacing w:after="0" w:line="287" w:lineRule="auto"/>
        <w:rPr>
          <w:sz w:val="20"/>
          <w:szCs w:val="20"/>
          <w:color w:val="auto"/>
        </w:rPr>
      </w:pPr>
      <w:r>
        <w:rPr>
          <w:rFonts w:ascii="Arial" w:cs="Arial" w:eastAsia="Arial" w:hAnsi="Arial"/>
          <w:sz w:val="16"/>
          <w:szCs w:val="16"/>
          <w:color w:val="auto"/>
        </w:rPr>
        <w:t>Each Regulated Fund and its shareholders will benefit from the ability to participate in Co-Investment Transactions. The Board, including the Required Majority, of each Regulated Fund has determined that it is in the best interests of the Regulated Fund to participate in Co-Investment Transactions because, among other matters, (i) the Regulated Fund should be able to participate in a larger number and greater variety of transactions;</w:t>
      </w:r>
    </w:p>
    <w:p>
      <w:pPr>
        <w:spacing w:after="0" w:line="2" w:lineRule="exact"/>
        <w:rPr>
          <w:sz w:val="20"/>
          <w:szCs w:val="20"/>
          <w:color w:val="auto"/>
        </w:rPr>
      </w:pPr>
    </w:p>
    <w:p>
      <w:pPr>
        <w:ind w:left="4" w:right="60" w:hanging="4"/>
        <w:spacing w:after="0" w:line="290" w:lineRule="auto"/>
        <w:tabs>
          <w:tab w:leader="none" w:pos="2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69" w:lineRule="exact"/>
        <w:rPr>
          <w:sz w:val="20"/>
          <w:szCs w:val="20"/>
          <w:color w:val="auto"/>
        </w:rPr>
      </w:pPr>
    </w:p>
    <w:p>
      <w:pPr>
        <w:ind w:left="544" w:hanging="544"/>
        <w:spacing w:after="0"/>
        <w:tabs>
          <w:tab w:leader="none" w:pos="54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Protective Representations and Conditions</w:t>
      </w:r>
    </w:p>
    <w:p>
      <w:pPr>
        <w:spacing w:after="0" w:line="22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65"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92"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Applicants also believe that the participation by the Regulated Funds in Non-Negotiated Follow-On Investments and in Dispositions of Tradable Securities without the approval of a Required Majority is consistent with the provisions, policies and purposes of the Act as there is no opportunity for overreaching by affiliates.</w:t>
      </w:r>
    </w:p>
    <w:p>
      <w:pPr>
        <w:spacing w:after="0" w:line="184" w:lineRule="exact"/>
        <w:rPr>
          <w:sz w:val="20"/>
          <w:szCs w:val="20"/>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If an Adviser, its principals, or any person controlling, controlled by, or under common control with the Adviser or its principals, and the Affiliated Funds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own in the aggregate more than 25 percent of the outstanding voting shares of a Regulated Fund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then the Holders will vote such Shares as required under Condition 15.</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5" w:name="page16"/>
    <w:bookmarkEnd w:id="15"/>
    <w:p>
      <w:pPr>
        <w:ind w:left="4"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57"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w:t>
      </w:r>
    </w:p>
    <w:p>
      <w:pPr>
        <w:ind w:left="4" w:right="60" w:hanging="4"/>
        <w:spacing w:after="0" w:line="255" w:lineRule="auto"/>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294" w:lineRule="exact"/>
        <w:rPr>
          <w:sz w:val="20"/>
          <w:szCs w:val="20"/>
          <w:color w:val="auto"/>
        </w:rPr>
      </w:pPr>
    </w:p>
    <w:p>
      <w:pPr>
        <w:ind w:left="324" w:hanging="324"/>
        <w:spacing w:after="0"/>
        <w:tabs>
          <w:tab w:leader="none" w:pos="3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131" w:lineRule="exact"/>
        <w:rPr>
          <w:sz w:val="20"/>
          <w:szCs w:val="20"/>
          <w:color w:val="auto"/>
        </w:rPr>
      </w:pPr>
    </w:p>
    <w:p>
      <w:pPr>
        <w:ind w:left="544" w:hanging="544"/>
        <w:spacing w:after="0"/>
        <w:tabs>
          <w:tab w:leader="none" w:pos="5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Identification and Referral of Potential Co-Investment Transactions</w:t>
      </w:r>
    </w:p>
    <w:p>
      <w:pPr>
        <w:spacing w:after="0" w:line="225" w:lineRule="exact"/>
        <w:rPr>
          <w:rFonts w:ascii="Arial" w:cs="Arial" w:eastAsia="Arial" w:hAnsi="Arial"/>
          <w:sz w:val="18"/>
          <w:szCs w:val="18"/>
          <w:color w:val="auto"/>
        </w:rPr>
      </w:pPr>
    </w:p>
    <w:p>
      <w:pPr>
        <w:ind w:left="4" w:right="200" w:firstLine="436"/>
        <w:spacing w:after="0" w:line="263" w:lineRule="auto"/>
        <w:tabs>
          <w:tab w:leader="none" w:pos="82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83" w:lineRule="exact"/>
        <w:rPr>
          <w:rFonts w:ascii="Arial" w:cs="Arial" w:eastAsia="Arial" w:hAnsi="Arial"/>
          <w:sz w:val="18"/>
          <w:szCs w:val="18"/>
          <w:color w:val="auto"/>
        </w:rPr>
      </w:pPr>
    </w:p>
    <w:p>
      <w:pPr>
        <w:ind w:left="4" w:right="20" w:firstLine="436"/>
        <w:spacing w:after="0" w:line="342" w:lineRule="auto"/>
        <w:tabs>
          <w:tab w:leader="none" w:pos="831" w:val="left"/>
        </w:tabs>
        <w:numPr>
          <w:ilvl w:val="1"/>
          <w:numId w:val="53"/>
        </w:numPr>
        <w:rPr>
          <w:rFonts w:ascii="Arial" w:cs="Arial" w:eastAsia="Arial" w:hAnsi="Arial"/>
          <w:sz w:val="16"/>
          <w:szCs w:val="16"/>
          <w:color w:val="auto"/>
        </w:rPr>
      </w:pPr>
      <w:r>
        <w:rPr>
          <w:rFonts w:ascii="Arial" w:cs="Arial" w:eastAsia="Arial" w:hAnsi="Arial"/>
          <w:sz w:val="16"/>
          <w:szCs w:val="16"/>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29" w:lineRule="exact"/>
        <w:rPr>
          <w:rFonts w:ascii="Arial" w:cs="Arial" w:eastAsia="Arial" w:hAnsi="Arial"/>
          <w:sz w:val="16"/>
          <w:szCs w:val="16"/>
          <w:color w:val="auto"/>
        </w:rPr>
      </w:pPr>
    </w:p>
    <w:p>
      <w:pPr>
        <w:ind w:left="544" w:hanging="544"/>
        <w:spacing w:after="0"/>
        <w:tabs>
          <w:tab w:leader="none" w:pos="5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Board Approvals of Co-Investment Transactions</w:t>
      </w:r>
    </w:p>
    <w:p>
      <w:pPr>
        <w:spacing w:after="0" w:line="225" w:lineRule="exact"/>
        <w:rPr>
          <w:rFonts w:ascii="Arial" w:cs="Arial" w:eastAsia="Arial" w:hAnsi="Arial"/>
          <w:sz w:val="18"/>
          <w:szCs w:val="18"/>
          <w:color w:val="auto"/>
        </w:rPr>
      </w:pPr>
    </w:p>
    <w:p>
      <w:pPr>
        <w:ind w:left="4" w:right="40" w:firstLine="436"/>
        <w:spacing w:after="0" w:line="277" w:lineRule="auto"/>
        <w:tabs>
          <w:tab w:leader="none" w:pos="824"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70" w:lineRule="exact"/>
        <w:rPr>
          <w:rFonts w:ascii="Arial" w:cs="Arial" w:eastAsia="Arial" w:hAnsi="Arial"/>
          <w:sz w:val="18"/>
          <w:szCs w:val="18"/>
          <w:color w:val="auto"/>
        </w:rPr>
      </w:pPr>
    </w:p>
    <w:p>
      <w:pPr>
        <w:ind w:left="4" w:firstLine="436"/>
        <w:spacing w:after="0" w:line="296" w:lineRule="auto"/>
        <w:tabs>
          <w:tab w:leader="none" w:pos="834"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pro rata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61" w:lineRule="exact"/>
        <w:rPr>
          <w:rFonts w:ascii="Arial" w:cs="Arial" w:eastAsia="Arial" w:hAnsi="Arial"/>
          <w:sz w:val="16"/>
          <w:szCs w:val="16"/>
          <w:color w:val="auto"/>
        </w:rPr>
      </w:pPr>
    </w:p>
    <w:p>
      <w:pPr>
        <w:ind w:left="4" w:right="100" w:firstLine="436"/>
        <w:spacing w:after="0" w:line="275" w:lineRule="auto"/>
        <w:tabs>
          <w:tab w:leader="none" w:pos="814" w:val="left"/>
        </w:tabs>
        <w:numPr>
          <w:ilvl w:val="1"/>
          <w:numId w:val="53"/>
        </w:numPr>
        <w:rPr>
          <w:rFonts w:ascii="Arial" w:cs="Arial" w:eastAsia="Arial" w:hAnsi="Arial"/>
          <w:sz w:val="17"/>
          <w:szCs w:val="17"/>
          <w:color w:val="auto"/>
        </w:rPr>
      </w:pPr>
      <w:r>
        <w:rPr>
          <w:rFonts w:ascii="Arial" w:cs="Arial" w:eastAsia="Arial" w:hAnsi="Arial"/>
          <w:sz w:val="17"/>
          <w:szCs w:val="17"/>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68" w:lineRule="exact"/>
        <w:rPr>
          <w:rFonts w:ascii="Arial" w:cs="Arial" w:eastAsia="Arial" w:hAnsi="Arial"/>
          <w:sz w:val="17"/>
          <w:szCs w:val="17"/>
          <w:color w:val="auto"/>
        </w:rPr>
      </w:pPr>
    </w:p>
    <w:p>
      <w:pPr>
        <w:ind w:left="444" w:right="20" w:firstLine="419"/>
        <w:spacing w:after="0" w:line="308" w:lineRule="auto"/>
        <w:tabs>
          <w:tab w:leader="none" w:pos="1217" w:val="left"/>
        </w:tabs>
        <w:numPr>
          <w:ilvl w:val="2"/>
          <w:numId w:val="53"/>
        </w:numPr>
        <w:rPr>
          <w:rFonts w:ascii="Arial" w:cs="Arial" w:eastAsia="Arial" w:hAnsi="Arial"/>
          <w:sz w:val="17"/>
          <w:szCs w:val="17"/>
          <w:color w:val="auto"/>
        </w:rPr>
      </w:pPr>
      <w:r>
        <w:rPr>
          <w:rFonts w:ascii="Arial" w:cs="Arial" w:eastAsia="Arial" w:hAnsi="Arial"/>
          <w:sz w:val="17"/>
          <w:szCs w:val="17"/>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38" w:lineRule="exact"/>
        <w:rPr>
          <w:rFonts w:ascii="Arial" w:cs="Arial" w:eastAsia="Arial" w:hAnsi="Arial"/>
          <w:sz w:val="17"/>
          <w:szCs w:val="17"/>
          <w:color w:val="auto"/>
        </w:rPr>
      </w:pPr>
    </w:p>
    <w:p>
      <w:pPr>
        <w:ind w:left="1264" w:hanging="401"/>
        <w:spacing w:after="0"/>
        <w:tabs>
          <w:tab w:leader="none" w:pos="1264"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17" w:lineRule="exact"/>
        <w:rPr>
          <w:rFonts w:ascii="Arial" w:cs="Arial" w:eastAsia="Arial" w:hAnsi="Arial"/>
          <w:sz w:val="18"/>
          <w:szCs w:val="18"/>
          <w:color w:val="auto"/>
        </w:rPr>
      </w:pPr>
    </w:p>
    <w:p>
      <w:pPr>
        <w:ind w:left="2244" w:hanging="429"/>
        <w:spacing w:after="0"/>
        <w:tabs>
          <w:tab w:leader="none" w:pos="2244" w:val="left"/>
        </w:tabs>
        <w:numPr>
          <w:ilvl w:val="3"/>
          <w:numId w:val="53"/>
        </w:numPr>
        <w:rPr>
          <w:rFonts w:ascii="Arial" w:cs="Arial" w:eastAsia="Arial" w:hAnsi="Arial"/>
          <w:sz w:val="18"/>
          <w:szCs w:val="18"/>
          <w:color w:val="auto"/>
        </w:rPr>
      </w:pPr>
      <w:r>
        <w:rPr>
          <w:rFonts w:ascii="Arial" w:cs="Arial" w:eastAsia="Arial" w:hAnsi="Arial"/>
          <w:sz w:val="18"/>
          <w:szCs w:val="18"/>
          <w:color w:val="auto"/>
        </w:rPr>
        <w:t>the interests of the Regulated Fund’s equity holders; and</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4" w:right="519" w:bottom="1440" w:gutter="0" w:footer="0" w:header="0"/>
        </w:sectPr>
      </w:pPr>
    </w:p>
    <w:bookmarkStart w:id="16" w:name="page17"/>
    <w:bookmarkEnd w:id="16"/>
    <w:p>
      <w:pPr>
        <w:ind w:left="2244" w:hanging="429"/>
        <w:spacing w:after="0"/>
        <w:tabs>
          <w:tab w:leader="none" w:pos="2244" w:val="left"/>
        </w:tabs>
        <w:numPr>
          <w:ilvl w:val="2"/>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Regulated Fund’s then-current Objectives and Strategies;</w:t>
      </w:r>
    </w:p>
    <w:p>
      <w:pPr>
        <w:spacing w:after="0" w:line="117" w:lineRule="exact"/>
        <w:rPr>
          <w:rFonts w:ascii="Arial" w:cs="Arial" w:eastAsia="Arial" w:hAnsi="Arial"/>
          <w:sz w:val="18"/>
          <w:szCs w:val="18"/>
          <w:color w:val="auto"/>
        </w:rPr>
      </w:pPr>
    </w:p>
    <w:p>
      <w:pPr>
        <w:ind w:left="444" w:right="40" w:firstLine="419"/>
        <w:spacing w:after="0" w:line="291" w:lineRule="auto"/>
        <w:tabs>
          <w:tab w:leader="none" w:pos="1317"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investment by any other Regulated Fund(s) or Affiliated Fund(s) would not disadvantage the Regulated Fund, and participation by the Regulated Fund would not be on a basis different from, or less advantageous than, that of any other Regulated Fund(s) or Affiliated</w:t>
      </w:r>
    </w:p>
    <w:p>
      <w:pPr>
        <w:ind w:left="444" w:right="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Fund(s) participating in the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Required Majority shall not be prohibited from reaching the conclusions required by this Condition 2(c)(iii) if:</w:t>
      </w:r>
    </w:p>
    <w:p>
      <w:pPr>
        <w:spacing w:after="0" w:line="77" w:lineRule="exact"/>
        <w:rPr>
          <w:rFonts w:ascii="Arial" w:cs="Arial" w:eastAsia="Arial" w:hAnsi="Arial"/>
          <w:sz w:val="16"/>
          <w:szCs w:val="16"/>
          <w:color w:val="auto"/>
        </w:rPr>
      </w:pPr>
    </w:p>
    <w:p>
      <w:pPr>
        <w:ind w:left="1424" w:right="100" w:firstLine="391"/>
        <w:spacing w:after="0" w:line="275" w:lineRule="auto"/>
        <w:tabs>
          <w:tab w:leader="none" w:pos="2237"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settlement date for another Regulated Fund or an Affiliated Fund in a Co-Investment Transaction is later than the settlement date for the Regulated Fund by no more than ten business days or earlier than the settlement date for the Regulated Fund by no more than ten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business days of each other; or</w:t>
      </w:r>
    </w:p>
    <w:p>
      <w:pPr>
        <w:spacing w:after="0" w:line="68" w:lineRule="exact"/>
        <w:rPr>
          <w:rFonts w:ascii="Arial" w:cs="Arial" w:eastAsia="Arial" w:hAnsi="Arial"/>
          <w:sz w:val="17"/>
          <w:szCs w:val="17"/>
          <w:color w:val="auto"/>
        </w:rPr>
      </w:pPr>
    </w:p>
    <w:p>
      <w:pPr>
        <w:ind w:left="1424" w:right="40" w:firstLine="391"/>
        <w:spacing w:after="0" w:line="287" w:lineRule="auto"/>
        <w:tabs>
          <w:tab w:leader="none" w:pos="2227" w:val="left"/>
        </w:tabs>
        <w:numPr>
          <w:ilvl w:val="2"/>
          <w:numId w:val="55"/>
        </w:numPr>
        <w:rPr>
          <w:rFonts w:ascii="Arial" w:cs="Arial" w:eastAsia="Arial" w:hAnsi="Arial"/>
          <w:sz w:val="16"/>
          <w:szCs w:val="16"/>
          <w:color w:val="auto"/>
        </w:rPr>
      </w:pPr>
      <w:r>
        <w:rPr>
          <w:rFonts w:ascii="Arial" w:cs="Arial" w:eastAsia="Arial" w:hAnsi="Arial"/>
          <w:sz w:val="16"/>
          <w:szCs w:val="16"/>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and</w:t>
      </w:r>
    </w:p>
    <w:p>
      <w:pPr>
        <w:spacing w:after="0" w:line="63" w:lineRule="exact"/>
        <w:rPr>
          <w:rFonts w:ascii="Arial" w:cs="Arial" w:eastAsia="Arial" w:hAnsi="Arial"/>
          <w:sz w:val="16"/>
          <w:szCs w:val="16"/>
          <w:color w:val="auto"/>
        </w:rPr>
      </w:pPr>
    </w:p>
    <w:p>
      <w:pPr>
        <w:ind w:left="444" w:firstLine="419"/>
        <w:spacing w:after="0" w:line="257" w:lineRule="auto"/>
        <w:tabs>
          <w:tab w:leader="none" w:pos="13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proposed investment by the Regulated Fund will not involve compensation, remuneration or a direct or indirect</w:t>
      </w:r>
      <w:r>
        <w:rPr>
          <w:rFonts w:ascii="Arial" w:cs="Arial" w:eastAsia="Arial" w:hAnsi="Arial"/>
          <w:sz w:val="15"/>
          <w:szCs w:val="15"/>
          <w:color w:val="auto"/>
        </w:rPr>
        <w:t>22</w:t>
      </w:r>
      <w:r>
        <w:rPr>
          <w:rFonts w:ascii="Arial" w:cs="Arial" w:eastAsia="Arial" w:hAnsi="Arial"/>
          <w:sz w:val="18"/>
          <w:szCs w:val="18"/>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 (C) indirectly, as a result of an interest in the securities issued by one of the parties to the Co-Investment Transaction, or (D) in the case of fees or other compensation described in Condition 2(c)(iii)(B)(z).</w:t>
      </w:r>
    </w:p>
    <w:p>
      <w:pPr>
        <w:spacing w:after="0" w:line="93" w:lineRule="exact"/>
        <w:rPr>
          <w:rFonts w:ascii="Arial" w:cs="Arial" w:eastAsia="Arial" w:hAnsi="Arial"/>
          <w:sz w:val="18"/>
          <w:szCs w:val="18"/>
          <w:color w:val="auto"/>
        </w:rPr>
      </w:pPr>
    </w:p>
    <w:p>
      <w:pPr>
        <w:ind w:left="544" w:hanging="544"/>
        <w:spacing w:after="0"/>
        <w:tabs>
          <w:tab w:leader="none" w:pos="5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Right to Decline.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Each Regulated Fund has the right to decline to participate in any Potential Co-Investment Transaction or to invest less than the amount proposed.</w:t>
      </w:r>
    </w:p>
    <w:p>
      <w:pPr>
        <w:spacing w:after="0" w:line="154" w:lineRule="exact"/>
        <w:rPr>
          <w:sz w:val="20"/>
          <w:szCs w:val="20"/>
          <w:color w:val="auto"/>
        </w:rPr>
      </w:pPr>
    </w:p>
    <w:p>
      <w:pPr>
        <w:ind w:left="544" w:hanging="544"/>
        <w:spacing w:after="0"/>
        <w:tabs>
          <w:tab w:leader="none" w:pos="5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General Limitation.</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Except for Follow-On Investments made in accordance with Conditions 8 and 9 below,</w:t>
      </w:r>
      <w:r>
        <w:rPr>
          <w:rFonts w:ascii="Arial" w:cs="Arial" w:eastAsia="Arial" w:hAnsi="Arial"/>
          <w:sz w:val="15"/>
          <w:szCs w:val="15"/>
          <w:color w:val="auto"/>
        </w:rPr>
        <w:t>23</w:t>
      </w:r>
      <w:r>
        <w:rPr>
          <w:rFonts w:ascii="Arial" w:cs="Arial" w:eastAsia="Arial" w:hAnsi="Arial"/>
          <w:sz w:val="18"/>
          <w:szCs w:val="18"/>
          <w:color w:val="auto"/>
        </w:rPr>
        <w:t xml:space="preserve"> a Regulated Fund will not invest in reliance on the Order in any issuer in which a Related Party has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380" w:hanging="424"/>
        <w:spacing w:after="0" w:line="258" w:lineRule="auto"/>
        <w:tabs>
          <w:tab w:leader="none" w:pos="424" w:val="left"/>
        </w:tabs>
        <w:numPr>
          <w:ilvl w:val="0"/>
          <w:numId w:val="58"/>
        </w:numPr>
        <w:rPr>
          <w:rFonts w:ascii="Arial" w:cs="Arial" w:eastAsia="Arial" w:hAnsi="Arial"/>
          <w:sz w:val="15"/>
          <w:szCs w:val="15"/>
          <w:color w:val="auto"/>
        </w:rPr>
      </w:pPr>
      <w:r>
        <w:rPr>
          <w:rFonts w:ascii="Arial" w:cs="Arial" w:eastAsia="Arial" w:hAnsi="Arial"/>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58"/>
        </w:numPr>
        <w:rPr>
          <w:rFonts w:ascii="Arial" w:cs="Arial" w:eastAsia="Arial" w:hAnsi="Arial"/>
          <w:sz w:val="13"/>
          <w:szCs w:val="13"/>
          <w:color w:val="auto"/>
        </w:rPr>
      </w:pPr>
      <w:r>
        <w:rPr>
          <w:rFonts w:ascii="Arial" w:cs="Arial" w:eastAsia="Arial" w:hAnsi="Arial"/>
          <w:sz w:val="16"/>
          <w:szCs w:val="16"/>
          <w:color w:val="auto"/>
        </w:rPr>
        <w:t>This exception applies only to Follow-On Investments by a Regulated Fund in issuers in which that Regulated Fund already holds investments.</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7" w:name="page18"/>
    <w:bookmarkEnd w:id="17"/>
    <w:p>
      <w:pPr>
        <w:ind w:left="544" w:hanging="544"/>
        <w:spacing w:after="0"/>
        <w:tabs>
          <w:tab w:leader="none" w:pos="54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Same Terms and Conditions</w:t>
      </w:r>
      <w:r>
        <w:rPr>
          <w:rFonts w:ascii="Arial" w:cs="Arial" w:eastAsia="Arial" w:hAnsi="Arial"/>
          <w:sz w:val="18"/>
          <w:szCs w:val="18"/>
          <w:i w:val="1"/>
          <w:iCs w:val="1"/>
          <w:u w:val="single" w:color="auto"/>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100" w:lineRule="exact"/>
        <w:rPr>
          <w:sz w:val="20"/>
          <w:szCs w:val="20"/>
          <w:color w:val="auto"/>
        </w:rPr>
      </w:pPr>
    </w:p>
    <w:p>
      <w:pPr>
        <w:ind w:left="544" w:hanging="544"/>
        <w:spacing w:after="0"/>
        <w:tabs>
          <w:tab w:leader="none" w:pos="54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225" w:lineRule="exact"/>
        <w:rPr>
          <w:rFonts w:ascii="Arial" w:cs="Arial" w:eastAsia="Arial" w:hAnsi="Arial"/>
          <w:sz w:val="18"/>
          <w:szCs w:val="18"/>
          <w:color w:val="auto"/>
        </w:rPr>
      </w:pPr>
    </w:p>
    <w:p>
      <w:pPr>
        <w:ind w:left="4" w:right="160" w:firstLine="436"/>
        <w:spacing w:after="0" w:line="308" w:lineRule="auto"/>
        <w:tabs>
          <w:tab w:leader="none" w:pos="824"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If any Regulated Fund or Affiliated Fund elects to sell, exchange or otherwise dispose of an interest in a security and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Regulated Funds and Affiliated Funds have previously participated in a Co-Investment Transaction with respect to the issuer, then:</w:t>
      </w:r>
    </w:p>
    <w:p>
      <w:pPr>
        <w:spacing w:after="0" w:line="38" w:lineRule="exact"/>
        <w:rPr>
          <w:rFonts w:ascii="Arial" w:cs="Arial" w:eastAsia="Arial" w:hAnsi="Arial"/>
          <w:sz w:val="17"/>
          <w:szCs w:val="17"/>
          <w:color w:val="auto"/>
        </w:rPr>
      </w:pPr>
    </w:p>
    <w:p>
      <w:pPr>
        <w:ind w:left="444" w:right="140" w:firstLine="419"/>
        <w:spacing w:after="0" w:line="277" w:lineRule="auto"/>
        <w:tabs>
          <w:tab w:leader="none" w:pos="1217"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w:t>
      </w:r>
      <w:r>
        <w:rPr>
          <w:rFonts w:ascii="Arial" w:cs="Arial" w:eastAsia="Arial" w:hAnsi="Arial"/>
          <w:sz w:val="15"/>
          <w:szCs w:val="15"/>
          <w:color w:val="auto"/>
        </w:rPr>
        <w:t>24</w:t>
      </w:r>
      <w:r>
        <w:rPr>
          <w:rFonts w:ascii="Arial" w:cs="Arial" w:eastAsia="Arial" w:hAnsi="Arial"/>
          <w:sz w:val="18"/>
          <w:szCs w:val="18"/>
          <w:color w:val="auto"/>
        </w:rPr>
        <w:t xml:space="preserve"> will notify each Regulated Fund that holds an investment in the issuer of the proposed Disposition at the earliest practical time; and</w:t>
      </w:r>
    </w:p>
    <w:p>
      <w:pPr>
        <w:spacing w:after="0" w:line="62" w:lineRule="exact"/>
        <w:rPr>
          <w:rFonts w:ascii="Arial" w:cs="Arial" w:eastAsia="Arial" w:hAnsi="Arial"/>
          <w:sz w:val="18"/>
          <w:szCs w:val="18"/>
          <w:color w:val="auto"/>
        </w:rPr>
      </w:pPr>
    </w:p>
    <w:p>
      <w:pPr>
        <w:ind w:left="444" w:right="40" w:firstLine="419"/>
        <w:spacing w:after="0" w:line="277" w:lineRule="auto"/>
        <w:tabs>
          <w:tab w:leader="none" w:pos="1267"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w:t>
      </w:r>
    </w:p>
    <w:p>
      <w:pPr>
        <w:spacing w:after="0" w:line="170" w:lineRule="exact"/>
        <w:rPr>
          <w:rFonts w:ascii="Arial" w:cs="Arial" w:eastAsia="Arial" w:hAnsi="Arial"/>
          <w:sz w:val="18"/>
          <w:szCs w:val="18"/>
          <w:color w:val="auto"/>
        </w:rPr>
      </w:pPr>
    </w:p>
    <w:p>
      <w:pPr>
        <w:ind w:left="4" w:right="40" w:firstLine="436"/>
        <w:spacing w:after="0" w:line="277" w:lineRule="auto"/>
        <w:tabs>
          <w:tab w:leader="none" w:pos="834"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Same Terms and Conditions</w:t>
      </w:r>
      <w:r>
        <w:rPr>
          <w:rFonts w:ascii="Arial" w:cs="Arial" w:eastAsia="Arial" w:hAnsi="Arial"/>
          <w:sz w:val="18"/>
          <w:szCs w:val="18"/>
          <w:color w:val="auto"/>
        </w:rPr>
        <w:t>. Each Regulated Fund will have the right to participate in such Disposition on a proportionate basis, at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price and on the same terms and conditions as those applicable to the Affiliated Funds and any other Regulated Fund.</w:t>
      </w:r>
    </w:p>
    <w:p>
      <w:pPr>
        <w:spacing w:after="0" w:line="170" w:lineRule="exact"/>
        <w:rPr>
          <w:rFonts w:ascii="Arial" w:cs="Arial" w:eastAsia="Arial" w:hAnsi="Arial"/>
          <w:sz w:val="18"/>
          <w:szCs w:val="18"/>
          <w:color w:val="auto"/>
        </w:rPr>
      </w:pPr>
    </w:p>
    <w:p>
      <w:pPr>
        <w:ind w:left="4" w:right="380" w:firstLine="436"/>
        <w:spacing w:after="0" w:line="277" w:lineRule="auto"/>
        <w:tabs>
          <w:tab w:leader="none" w:pos="824"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No Board Approval Required</w:t>
      </w:r>
      <w:r>
        <w:rPr>
          <w:rFonts w:ascii="Arial" w:cs="Arial" w:eastAsia="Arial" w:hAnsi="Arial"/>
          <w:sz w:val="18"/>
          <w:szCs w:val="18"/>
          <w:color w:val="auto"/>
        </w:rPr>
        <w:t>. A Regulated Fund may participate in such a Disposition without obtaining prior approval of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if:</w:t>
      </w:r>
    </w:p>
    <w:p>
      <w:pPr>
        <w:spacing w:after="0" w:line="62" w:lineRule="exact"/>
        <w:rPr>
          <w:rFonts w:ascii="Arial" w:cs="Arial" w:eastAsia="Arial" w:hAnsi="Arial"/>
          <w:sz w:val="18"/>
          <w:szCs w:val="18"/>
          <w:color w:val="auto"/>
        </w:rPr>
      </w:pPr>
    </w:p>
    <w:p>
      <w:pPr>
        <w:ind w:left="444" w:right="40" w:firstLine="419"/>
        <w:spacing w:after="0" w:line="257" w:lineRule="auto"/>
        <w:tabs>
          <w:tab w:leader="none" w:pos="1217" w:val="left"/>
        </w:tabs>
        <w:numPr>
          <w:ilvl w:val="2"/>
          <w:numId w:val="60"/>
        </w:numPr>
        <w:rPr>
          <w:rFonts w:ascii="Arial" w:cs="Arial" w:eastAsia="Arial" w:hAnsi="Arial"/>
          <w:sz w:val="18"/>
          <w:szCs w:val="18"/>
          <w:color w:val="auto"/>
        </w:rPr>
      </w:pPr>
      <w:r>
        <w:rPr>
          <w:rFonts w:ascii="Arial" w:cs="Arial" w:eastAsia="Arial" w:hAnsi="Arial"/>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Arial" w:cs="Arial" w:eastAsia="Arial" w:hAnsi="Arial"/>
          <w:sz w:val="15"/>
          <w:szCs w:val="15"/>
          <w:color w:val="auto"/>
        </w:rPr>
        <w:t>25</w:t>
      </w:r>
      <w:r>
        <w:rPr>
          <w:rFonts w:ascii="Arial" w:cs="Arial" w:eastAsia="Arial" w:hAnsi="Arial"/>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79" w:lineRule="exact"/>
        <w:rPr>
          <w:rFonts w:ascii="Arial" w:cs="Arial" w:eastAsia="Arial" w:hAnsi="Arial"/>
          <w:sz w:val="18"/>
          <w:szCs w:val="18"/>
          <w:color w:val="auto"/>
        </w:rPr>
      </w:pPr>
    </w:p>
    <w:p>
      <w:pPr>
        <w:ind w:left="444" w:right="380" w:firstLine="419"/>
        <w:spacing w:after="0" w:line="263" w:lineRule="auto"/>
        <w:tabs>
          <w:tab w:leader="none" w:pos="1267" w:val="left"/>
        </w:tabs>
        <w:numPr>
          <w:ilvl w:val="2"/>
          <w:numId w:val="60"/>
        </w:numPr>
        <w:rPr>
          <w:rFonts w:ascii="Arial" w:cs="Arial" w:eastAsia="Arial" w:hAnsi="Arial"/>
          <w:sz w:val="18"/>
          <w:szCs w:val="18"/>
          <w:color w:val="auto"/>
        </w:rPr>
      </w:pPr>
      <w:r>
        <w:rPr>
          <w:rFonts w:ascii="Arial" w:cs="Arial" w:eastAsia="Arial" w:hAnsi="Arial"/>
          <w:sz w:val="18"/>
          <w:szCs w:val="18"/>
          <w:color w:val="auto"/>
        </w:rPr>
        <w:t>each security is a Tradable Security and (A) the Disposition is not to the issuer or any affiliated person of the issuer; and (B) the security is sold for cash in a transaction in which the only term negotiated by or on behalf of the participating Regulated Funds and Affiliated Funds is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120" w:hanging="424"/>
        <w:spacing w:after="0" w:line="258" w:lineRule="auto"/>
        <w:tabs>
          <w:tab w:leader="none" w:pos="424" w:val="left"/>
        </w:tabs>
        <w:numPr>
          <w:ilvl w:val="0"/>
          <w:numId w:val="61"/>
        </w:numPr>
        <w:rPr>
          <w:rFonts w:ascii="Arial" w:cs="Arial" w:eastAsia="Arial" w:hAnsi="Arial"/>
          <w:sz w:val="15"/>
          <w:szCs w:val="15"/>
          <w:color w:val="auto"/>
        </w:rPr>
      </w:pPr>
      <w:r>
        <w:rPr>
          <w:rFonts w:ascii="Arial" w:cs="Arial" w:eastAsia="Arial" w:hAnsi="Arial"/>
          <w:sz w:val="18"/>
          <w:szCs w:val="18"/>
          <w:color w:val="auto"/>
        </w:rPr>
        <w:t>Any PennantPark Proprietary Account that is not advised by an Adviser is itself deemed to be an Adviser for purposes of Conditions 6(a)(i), 7(a) (i), 8(a)(i) and 9(a)(i).</w:t>
      </w:r>
    </w:p>
    <w:p>
      <w:pPr>
        <w:spacing w:after="0" w:line="1" w:lineRule="exact"/>
        <w:rPr>
          <w:rFonts w:ascii="Arial" w:cs="Arial" w:eastAsia="Arial" w:hAnsi="Arial"/>
          <w:sz w:val="15"/>
          <w:szCs w:val="15"/>
          <w:color w:val="auto"/>
        </w:rPr>
      </w:pPr>
    </w:p>
    <w:p>
      <w:pPr>
        <w:ind w:left="424" w:right="640" w:hanging="424"/>
        <w:spacing w:after="0" w:line="260" w:lineRule="auto"/>
        <w:tabs>
          <w:tab w:leader="none" w:pos="424" w:val="left"/>
        </w:tabs>
        <w:numPr>
          <w:ilvl w:val="0"/>
          <w:numId w:val="61"/>
        </w:numPr>
        <w:rPr>
          <w:rFonts w:ascii="Arial" w:cs="Arial" w:eastAsia="Arial" w:hAnsi="Arial"/>
          <w:sz w:val="15"/>
          <w:szCs w:val="15"/>
          <w:color w:val="auto"/>
        </w:rPr>
      </w:pPr>
      <w:r>
        <w:rPr>
          <w:rFonts w:ascii="Arial" w:cs="Arial" w:eastAsia="Arial" w:hAnsi="Arial"/>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8" w:name="page19"/>
    <w:bookmarkEnd w:id="18"/>
    <w:p>
      <w:pPr>
        <w:ind w:left="4" w:right="20" w:firstLine="436"/>
        <w:spacing w:after="0" w:line="263" w:lineRule="auto"/>
        <w:tabs>
          <w:tab w:leader="none" w:pos="834"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Board Approval</w:t>
      </w:r>
      <w:r>
        <w:rPr>
          <w:rFonts w:ascii="Arial" w:cs="Arial" w:eastAsia="Arial" w:hAnsi="Arial"/>
          <w:sz w:val="18"/>
          <w:szCs w:val="18"/>
          <w:color w:val="auto"/>
        </w:rPr>
        <w:t>. In all other cases, the Adviser will provide its written recommendation as to the Regulated Fund’s participation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Eligible Directors and the Regulated Fund will participate in such Disposition solely to the extent that a Required Majority determines that it is in the Regulated Fund’s best interests.</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r>
        <w:rPr>
          <w:rFonts w:ascii="Arial" w:cs="Arial" w:eastAsia="Arial" w:hAnsi="Arial"/>
          <w:sz w:val="18"/>
          <w:szCs w:val="18"/>
          <w:i w:val="1"/>
          <w:iCs w:val="1"/>
          <w:u w:val="single" w:color="auto"/>
          <w:color w:val="auto"/>
        </w:rPr>
        <w:t>.</w:t>
      </w:r>
    </w:p>
    <w:p>
      <w:pPr>
        <w:spacing w:after="0" w:line="225" w:lineRule="exact"/>
        <w:rPr>
          <w:rFonts w:ascii="Arial" w:cs="Arial" w:eastAsia="Arial" w:hAnsi="Arial"/>
          <w:sz w:val="18"/>
          <w:szCs w:val="18"/>
          <w:color w:val="auto"/>
        </w:rPr>
      </w:pPr>
    </w:p>
    <w:p>
      <w:pPr>
        <w:jc w:val="both"/>
        <w:ind w:left="4" w:right="120" w:firstLine="436"/>
        <w:spacing w:after="0" w:line="263" w:lineRule="auto"/>
        <w:tabs>
          <w:tab w:leader="none" w:pos="824"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any Regulated Fund or Affiliated Fund elects to sell, exchange or otherwise dispose of a Pre-Boarding Investment in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Co-Investment Transaction and the Regulated Funds and Affiliated Funds have not previously participated in a Co-Investment Transaction with respect to the issuer:</w:t>
      </w:r>
    </w:p>
    <w:p>
      <w:pPr>
        <w:spacing w:after="0" w:line="75" w:lineRule="exact"/>
        <w:rPr>
          <w:rFonts w:ascii="Arial" w:cs="Arial" w:eastAsia="Arial" w:hAnsi="Arial"/>
          <w:sz w:val="18"/>
          <w:szCs w:val="18"/>
          <w:color w:val="auto"/>
        </w:rPr>
      </w:pPr>
    </w:p>
    <w:p>
      <w:pPr>
        <w:ind w:left="444" w:right="340" w:firstLine="419"/>
        <w:spacing w:after="0" w:line="277" w:lineRule="auto"/>
        <w:tabs>
          <w:tab w:leader="none" w:pos="121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 will notify each Regulated Fund that holds an investment in the issuer of the proposed Disposition at the earliest practical time;</w:t>
      </w:r>
    </w:p>
    <w:p>
      <w:pPr>
        <w:spacing w:after="0" w:line="62" w:lineRule="exact"/>
        <w:rPr>
          <w:rFonts w:ascii="Arial" w:cs="Arial" w:eastAsia="Arial" w:hAnsi="Arial"/>
          <w:sz w:val="18"/>
          <w:szCs w:val="18"/>
          <w:color w:val="auto"/>
        </w:rPr>
      </w:pPr>
    </w:p>
    <w:p>
      <w:pPr>
        <w:ind w:left="444" w:right="80" w:firstLine="419"/>
        <w:spacing w:after="0" w:line="277" w:lineRule="auto"/>
        <w:tabs>
          <w:tab w:leader="none" w:pos="126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 and</w:t>
      </w:r>
    </w:p>
    <w:p>
      <w:pPr>
        <w:spacing w:after="0" w:line="62" w:lineRule="exact"/>
        <w:rPr>
          <w:rFonts w:ascii="Arial" w:cs="Arial" w:eastAsia="Arial" w:hAnsi="Arial"/>
          <w:sz w:val="18"/>
          <w:szCs w:val="18"/>
          <w:color w:val="auto"/>
        </w:rPr>
      </w:pPr>
    </w:p>
    <w:p>
      <w:pPr>
        <w:ind w:left="444" w:right="100" w:firstLine="419"/>
        <w:spacing w:after="0" w:line="263" w:lineRule="auto"/>
        <w:tabs>
          <w:tab w:leader="none" w:pos="131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ind w:left="4" w:right="380" w:firstLine="436"/>
        <w:spacing w:after="0" w:line="308" w:lineRule="auto"/>
        <w:tabs>
          <w:tab w:leader="none" w:pos="834"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Enhanced Board Approval</w:t>
      </w:r>
      <w:r>
        <w:rPr>
          <w:rFonts w:ascii="Arial" w:cs="Arial" w:eastAsia="Arial" w:hAnsi="Arial"/>
          <w:sz w:val="17"/>
          <w:szCs w:val="17"/>
          <w:color w:val="auto"/>
        </w:rPr>
        <w:t>. The Adviser will provide its written recommendation as to the Regulated Fund’s participation to the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the Regulated Fund will participate in such Disposition solely to the extent that a Required Majority determines that:</w:t>
      </w:r>
    </w:p>
    <w:p>
      <w:pPr>
        <w:spacing w:after="0" w:line="38" w:lineRule="exact"/>
        <w:rPr>
          <w:rFonts w:ascii="Arial" w:cs="Arial" w:eastAsia="Arial" w:hAnsi="Arial"/>
          <w:sz w:val="17"/>
          <w:szCs w:val="17"/>
          <w:color w:val="auto"/>
        </w:rPr>
      </w:pPr>
    </w:p>
    <w:p>
      <w:pPr>
        <w:ind w:left="1204" w:hanging="341"/>
        <w:spacing w:after="0"/>
        <w:tabs>
          <w:tab w:leader="none" w:pos="1204"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Disposition complies with Condition 2(c)(i), (ii), (iii)(A), and (iv); and</w:t>
      </w:r>
    </w:p>
    <w:p>
      <w:pPr>
        <w:spacing w:after="0" w:line="117" w:lineRule="exact"/>
        <w:rPr>
          <w:rFonts w:ascii="Arial" w:cs="Arial" w:eastAsia="Arial" w:hAnsi="Arial"/>
          <w:sz w:val="18"/>
          <w:szCs w:val="18"/>
          <w:color w:val="auto"/>
        </w:rPr>
      </w:pPr>
    </w:p>
    <w:p>
      <w:pPr>
        <w:ind w:left="444" w:right="180" w:firstLine="419"/>
        <w:spacing w:after="0" w:line="277" w:lineRule="auto"/>
        <w:tabs>
          <w:tab w:leader="none" w:pos="126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making and holding of the Pre-Boarding Investments were not prohibited by Section 57 or Rule 17d-1, as applicable, and records the basis for the finding in the Board minutes.</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Additional Requirements: </w:t>
      </w:r>
      <w:r>
        <w:rPr>
          <w:rFonts w:ascii="Arial" w:cs="Arial" w:eastAsia="Arial" w:hAnsi="Arial"/>
          <w:sz w:val="18"/>
          <w:szCs w:val="18"/>
          <w:color w:val="auto"/>
        </w:rPr>
        <w:t>The Disposition may only be completed in reliance on the Order if:</w:t>
      </w:r>
    </w:p>
    <w:p>
      <w:pPr>
        <w:spacing w:after="0" w:line="117" w:lineRule="exact"/>
        <w:rPr>
          <w:rFonts w:ascii="Arial" w:cs="Arial" w:eastAsia="Arial" w:hAnsi="Arial"/>
          <w:sz w:val="18"/>
          <w:szCs w:val="18"/>
          <w:color w:val="auto"/>
        </w:rPr>
      </w:pPr>
    </w:p>
    <w:p>
      <w:pPr>
        <w:ind w:left="444" w:right="120" w:firstLine="419"/>
        <w:spacing w:after="0" w:line="308" w:lineRule="auto"/>
        <w:tabs>
          <w:tab w:leader="none" w:pos="1217" w:val="left"/>
        </w:tabs>
        <w:numPr>
          <w:ilvl w:val="2"/>
          <w:numId w:val="63"/>
        </w:numPr>
        <w:rPr>
          <w:rFonts w:ascii="Arial" w:cs="Arial" w:eastAsia="Arial" w:hAnsi="Arial"/>
          <w:sz w:val="17"/>
          <w:szCs w:val="17"/>
          <w:color w:val="auto"/>
        </w:rPr>
      </w:pPr>
      <w:r>
        <w:rPr>
          <w:rFonts w:ascii="Arial" w:cs="Arial" w:eastAsia="Arial" w:hAnsi="Arial"/>
          <w:sz w:val="17"/>
          <w:szCs w:val="17"/>
          <w:i w:val="1"/>
          <w:iCs w:val="1"/>
          <w:color w:val="auto"/>
        </w:rPr>
        <w:t>Same Terms and Conditions</w:t>
      </w:r>
      <w:r>
        <w:rPr>
          <w:rFonts w:ascii="Arial" w:cs="Arial" w:eastAsia="Arial" w:hAnsi="Arial"/>
          <w:sz w:val="17"/>
          <w:szCs w:val="17"/>
          <w:color w:val="auto"/>
        </w:rPr>
        <w:t>. Each Regulated Fund has the right to participate in such Disposition on a proportionate basis, at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price and on the same terms and Conditions as those applicable to the Affiliated Funds and any other Regulated Fund;</w:t>
      </w:r>
    </w:p>
    <w:p>
      <w:pPr>
        <w:spacing w:after="0" w:line="38" w:lineRule="exact"/>
        <w:rPr>
          <w:rFonts w:ascii="Arial" w:cs="Arial" w:eastAsia="Arial" w:hAnsi="Arial"/>
          <w:sz w:val="17"/>
          <w:szCs w:val="17"/>
          <w:color w:val="auto"/>
        </w:rPr>
      </w:pPr>
    </w:p>
    <w:p>
      <w:pPr>
        <w:ind w:left="1264" w:hanging="401"/>
        <w:spacing w:after="0"/>
        <w:tabs>
          <w:tab w:leader="none" w:pos="1264" w:val="left"/>
        </w:tabs>
        <w:numPr>
          <w:ilvl w:val="2"/>
          <w:numId w:val="63"/>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 Investments;</w:t>
      </w:r>
    </w:p>
    <w:p>
      <w:pPr>
        <w:spacing w:after="0" w:line="128" w:lineRule="exact"/>
        <w:rPr>
          <w:rFonts w:ascii="Arial" w:cs="Arial" w:eastAsia="Arial" w:hAnsi="Arial"/>
          <w:sz w:val="17"/>
          <w:szCs w:val="17"/>
          <w:color w:val="auto"/>
        </w:rPr>
      </w:pPr>
    </w:p>
    <w:p>
      <w:pPr>
        <w:ind w:left="444" w:right="460" w:firstLine="419"/>
        <w:spacing w:after="0" w:line="277" w:lineRule="auto"/>
        <w:tabs>
          <w:tab w:leader="none" w:pos="1317" w:val="left"/>
        </w:tabs>
        <w:numPr>
          <w:ilvl w:val="2"/>
          <w:numId w:val="63"/>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 Pre-Boarding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not prohibited by Section 57 (as modified by Rule 57b-1) or Rule 17d-1, as applicable;</w:t>
      </w:r>
    </w:p>
    <w:p>
      <w:pPr>
        <w:spacing w:after="0" w:line="62" w:lineRule="exact"/>
        <w:rPr>
          <w:rFonts w:ascii="Arial" w:cs="Arial" w:eastAsia="Arial" w:hAnsi="Arial"/>
          <w:sz w:val="18"/>
          <w:szCs w:val="18"/>
          <w:color w:val="auto"/>
        </w:rPr>
      </w:pPr>
    </w:p>
    <w:p>
      <w:pPr>
        <w:ind w:left="444" w:firstLine="419"/>
        <w:spacing w:after="0" w:line="291" w:lineRule="auto"/>
        <w:tabs>
          <w:tab w:leader="none" w:pos="1307" w:val="left"/>
        </w:tabs>
        <w:numPr>
          <w:ilvl w:val="2"/>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Multiple Classes of Securities. </w:t>
      </w:r>
      <w:r>
        <w:rPr>
          <w:rFonts w:ascii="Arial" w:cs="Arial" w:eastAsia="Arial" w:hAnsi="Arial"/>
          <w:sz w:val="16"/>
          <w:szCs w:val="16"/>
          <w:color w:val="auto"/>
        </w:rPr>
        <w:t>All Regulated Funds and Affiliated Funds that hold Pre-Boarding Investments in the issuer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w:t>
      </w:r>
      <w:r>
        <w:rPr>
          <w:rFonts w:ascii="Arial" w:cs="Arial" w:eastAsia="Arial" w:hAnsi="Arial"/>
          <w:sz w:val="13"/>
          <w:szCs w:val="13"/>
          <w:color w:val="auto"/>
        </w:rPr>
        <w:t>26</w:t>
      </w:r>
      <w:r>
        <w:rPr>
          <w:rFonts w:ascii="Arial" w:cs="Arial" w:eastAsia="Arial" w:hAnsi="Arial"/>
          <w:sz w:val="16"/>
          <w:szCs w:val="16"/>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715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ind w:left="424" w:right="140" w:hanging="424"/>
        <w:spacing w:after="0" w:line="286" w:lineRule="auto"/>
        <w:tabs>
          <w:tab w:leader="none" w:pos="424" w:val="left"/>
        </w:tabs>
        <w:numPr>
          <w:ilvl w:val="0"/>
          <w:numId w:val="64"/>
        </w:numPr>
        <w:rPr>
          <w:rFonts w:ascii="Arial" w:cs="Arial" w:eastAsia="Arial" w:hAnsi="Arial"/>
          <w:sz w:val="14"/>
          <w:szCs w:val="14"/>
          <w:color w:val="auto"/>
        </w:rPr>
      </w:pPr>
      <w:r>
        <w:rPr>
          <w:rFonts w:ascii="Arial" w:cs="Arial" w:eastAsia="Arial" w:hAnsi="Arial"/>
          <w:sz w:val="17"/>
          <w:szCs w:val="17"/>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19" w:name="page20"/>
    <w:bookmarkEnd w:id="19"/>
    <w:p>
      <w:pPr>
        <w:ind w:left="444" w:right="160" w:firstLine="419"/>
        <w:spacing w:after="0" w:line="342" w:lineRule="auto"/>
        <w:tabs>
          <w:tab w:leader="none" w:pos="1257" w:val="left"/>
        </w:tabs>
        <w:numPr>
          <w:ilvl w:val="2"/>
          <w:numId w:val="6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control</w:t>
      </w:r>
      <w:r>
        <w:rPr>
          <w:rFonts w:ascii="Arial" w:cs="Arial" w:eastAsia="Arial" w:hAnsi="Arial"/>
          <w:sz w:val="16"/>
          <w:szCs w:val="16"/>
          <w:color w:val="auto"/>
        </w:rPr>
        <w:t>. The Affiliated Funds, the other Regulated Funds and their affiliated persons (within the meaning of Section 2(a)(3)(C)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Act), individually or in the aggregate, do not control the issuer of the securities (within the meaning of Section 2(a)(9) of the Act).</w:t>
      </w:r>
    </w:p>
    <w:p>
      <w:pPr>
        <w:spacing w:after="0" w:line="29" w:lineRule="exact"/>
        <w:rPr>
          <w:rFonts w:ascii="Arial" w:cs="Arial" w:eastAsia="Arial" w:hAnsi="Arial"/>
          <w:sz w:val="16"/>
          <w:szCs w:val="16"/>
          <w:color w:val="auto"/>
        </w:rPr>
      </w:pPr>
    </w:p>
    <w:p>
      <w:pPr>
        <w:ind w:left="544" w:hanging="544"/>
        <w:spacing w:after="0"/>
        <w:tabs>
          <w:tab w:leader="none" w:pos="5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225" w:lineRule="exact"/>
        <w:rPr>
          <w:rFonts w:ascii="Arial" w:cs="Arial" w:eastAsia="Arial" w:hAnsi="Arial"/>
          <w:sz w:val="18"/>
          <w:szCs w:val="18"/>
          <w:color w:val="auto"/>
        </w:rPr>
      </w:pPr>
    </w:p>
    <w:p>
      <w:pPr>
        <w:ind w:left="4" w:right="560" w:firstLine="436"/>
        <w:spacing w:after="0" w:line="342" w:lineRule="auto"/>
        <w:tabs>
          <w:tab w:leader="none" w:pos="824"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If any Regulated Fund or Affiliated Fund desires to make a Follow-On Investment in an issuer and the Regulated Funds and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Funds holding investments in the issuer previously participated in a Co-Investment Transaction with respect to the issuer:</w:t>
      </w:r>
    </w:p>
    <w:p>
      <w:pPr>
        <w:spacing w:after="0" w:line="15" w:lineRule="exact"/>
        <w:rPr>
          <w:rFonts w:ascii="Arial" w:cs="Arial" w:eastAsia="Arial" w:hAnsi="Arial"/>
          <w:sz w:val="16"/>
          <w:szCs w:val="16"/>
          <w:color w:val="auto"/>
        </w:rPr>
      </w:pPr>
    </w:p>
    <w:p>
      <w:pPr>
        <w:ind w:left="444" w:right="480" w:firstLine="419"/>
        <w:spacing w:after="0" w:line="277" w:lineRule="auto"/>
        <w:tabs>
          <w:tab w:leader="none" w:pos="1217"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 and</w:t>
      </w:r>
    </w:p>
    <w:p>
      <w:pPr>
        <w:spacing w:after="0" w:line="62" w:lineRule="exact"/>
        <w:rPr>
          <w:sz w:val="20"/>
          <w:szCs w:val="20"/>
          <w:color w:val="auto"/>
        </w:rPr>
      </w:pPr>
    </w:p>
    <w:p>
      <w:pPr>
        <w:ind w:left="444" w:right="620" w:firstLine="419"/>
        <w:spacing w:after="0" w:line="277" w:lineRule="auto"/>
        <w:tabs>
          <w:tab w:leader="none" w:pos="1267"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70" w:lineRule="exact"/>
        <w:rPr>
          <w:rFonts w:ascii="Arial" w:cs="Arial" w:eastAsia="Arial" w:hAnsi="Arial"/>
          <w:sz w:val="18"/>
          <w:szCs w:val="18"/>
          <w:color w:val="auto"/>
        </w:rPr>
      </w:pPr>
    </w:p>
    <w:p>
      <w:pPr>
        <w:ind w:left="4" w:right="500" w:firstLine="436"/>
        <w:spacing w:after="0" w:line="277" w:lineRule="auto"/>
        <w:tabs>
          <w:tab w:leader="none" w:pos="834"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No Board Approval Required</w:t>
      </w:r>
      <w:r>
        <w:rPr>
          <w:rFonts w:ascii="Arial" w:cs="Arial" w:eastAsia="Arial" w:hAnsi="Arial"/>
          <w:sz w:val="18"/>
          <w:szCs w:val="18"/>
          <w:color w:val="auto"/>
        </w:rPr>
        <w:t>. A Regulated Fund may participate in the Follow-On Investment without obtaining prior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Majority if:</w:t>
      </w:r>
    </w:p>
    <w:p>
      <w:pPr>
        <w:spacing w:after="0" w:line="62" w:lineRule="exact"/>
        <w:rPr>
          <w:rFonts w:ascii="Arial" w:cs="Arial" w:eastAsia="Arial" w:hAnsi="Arial"/>
          <w:sz w:val="18"/>
          <w:szCs w:val="18"/>
          <w:color w:val="auto"/>
        </w:rPr>
      </w:pPr>
    </w:p>
    <w:p>
      <w:pPr>
        <w:ind w:left="444" w:right="40" w:firstLine="419"/>
        <w:spacing w:after="0" w:line="259" w:lineRule="auto"/>
        <w:tabs>
          <w:tab w:leader="none" w:pos="121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the proposed participation of each Regulated Fund and each Affiliated Fund in such investment is proportionate to its outstanding investments in the issuer or the security at issue, as appropriate,</w:t>
      </w:r>
      <w:r>
        <w:rPr>
          <w:rFonts w:ascii="Arial" w:cs="Arial" w:eastAsia="Arial" w:hAnsi="Arial"/>
          <w:sz w:val="15"/>
          <w:szCs w:val="15"/>
          <w:color w:val="auto"/>
        </w:rPr>
        <w:t>27</w:t>
      </w:r>
      <w:r>
        <w:rPr>
          <w:rFonts w:ascii="Arial" w:cs="Arial" w:eastAsia="Arial" w:hAnsi="Arial"/>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79" w:lineRule="exact"/>
        <w:rPr>
          <w:sz w:val="20"/>
          <w:szCs w:val="20"/>
          <w:color w:val="auto"/>
        </w:rPr>
      </w:pPr>
    </w:p>
    <w:p>
      <w:pPr>
        <w:ind w:left="1264" w:hanging="401"/>
        <w:spacing w:after="0"/>
        <w:tabs>
          <w:tab w:leader="none" w:pos="12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it is a Non-Negotiated Follow-On Investment.</w:t>
      </w:r>
    </w:p>
    <w:p>
      <w:pPr>
        <w:spacing w:after="0" w:line="225" w:lineRule="exact"/>
        <w:rPr>
          <w:rFonts w:ascii="Arial" w:cs="Arial" w:eastAsia="Arial" w:hAnsi="Arial"/>
          <w:sz w:val="18"/>
          <w:szCs w:val="18"/>
          <w:color w:val="auto"/>
        </w:rPr>
      </w:pPr>
    </w:p>
    <w:p>
      <w:pPr>
        <w:ind w:left="4" w:right="60" w:firstLine="436"/>
        <w:spacing w:after="0" w:line="275" w:lineRule="auto"/>
        <w:tabs>
          <w:tab w:leader="none" w:pos="824"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Standard Board Approval</w:t>
      </w:r>
      <w:r>
        <w:rPr>
          <w:rFonts w:ascii="Arial" w:cs="Arial" w:eastAsia="Arial" w:hAnsi="Arial"/>
          <w:sz w:val="17"/>
          <w:szCs w:val="17"/>
          <w:color w:val="auto"/>
        </w:rPr>
        <w:t>. In all other cases, the Adviser will provide its written recommendation as to the Regulated Fund’s participation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24" w:hanging="424"/>
        <w:spacing w:after="0" w:line="293" w:lineRule="auto"/>
        <w:tabs>
          <w:tab w:leader="none" w:pos="424" w:val="left"/>
        </w:tabs>
        <w:numPr>
          <w:ilvl w:val="0"/>
          <w:numId w:val="71"/>
        </w:numPr>
        <w:rPr>
          <w:rFonts w:ascii="Arial" w:cs="Arial" w:eastAsia="Arial" w:hAnsi="Arial"/>
          <w:sz w:val="13"/>
          <w:szCs w:val="13"/>
          <w:color w:val="auto"/>
        </w:rPr>
      </w:pPr>
      <w:r>
        <w:rPr>
          <w:rFonts w:ascii="Arial" w:cs="Arial" w:eastAsia="Arial" w:hAnsi="Arial"/>
          <w:sz w:val="16"/>
          <w:szCs w:val="16"/>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20" w:name="page21"/>
    <w:bookmarkEnd w:id="20"/>
    <w:p>
      <w:pPr>
        <w:ind w:left="824" w:hanging="384"/>
        <w:spacing w:after="0"/>
        <w:tabs>
          <w:tab w:leader="none" w:pos="824"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Allocation</w:t>
      </w:r>
      <w:r>
        <w:rPr>
          <w:rFonts w:ascii="Arial" w:cs="Arial" w:eastAsia="Arial" w:hAnsi="Arial"/>
          <w:sz w:val="18"/>
          <w:szCs w:val="18"/>
          <w:color w:val="auto"/>
        </w:rPr>
        <w:t>. If, with respect to any such Follow-On Investment:</w:t>
      </w:r>
    </w:p>
    <w:p>
      <w:pPr>
        <w:spacing w:after="0" w:line="117" w:lineRule="exact"/>
        <w:rPr>
          <w:rFonts w:ascii="Arial" w:cs="Arial" w:eastAsia="Arial" w:hAnsi="Arial"/>
          <w:sz w:val="18"/>
          <w:szCs w:val="18"/>
          <w:color w:val="auto"/>
        </w:rPr>
      </w:pPr>
    </w:p>
    <w:p>
      <w:pPr>
        <w:ind w:left="444" w:right="120" w:firstLine="419"/>
        <w:spacing w:after="0" w:line="263" w:lineRule="auto"/>
        <w:tabs>
          <w:tab w:leader="none" w:pos="121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75" w:lineRule="exact"/>
        <w:rPr>
          <w:rFonts w:ascii="Arial" w:cs="Arial" w:eastAsia="Arial" w:hAnsi="Arial"/>
          <w:sz w:val="18"/>
          <w:szCs w:val="18"/>
          <w:color w:val="auto"/>
        </w:rPr>
      </w:pPr>
    </w:p>
    <w:p>
      <w:pPr>
        <w:ind w:left="444" w:right="80" w:firstLine="419"/>
        <w:spacing w:after="0" w:line="277" w:lineRule="auto"/>
        <w:tabs>
          <w:tab w:leader="none" w:pos="126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aggregate amount recommended by the Advisers to be invested in the Follow-On Investment by the participating Regulated Funds and any participating Affiliated Funds, collectively, exceeds the amount of the investment opportunity,</w:t>
      </w:r>
    </w:p>
    <w:p>
      <w:pPr>
        <w:spacing w:after="0" w:line="170" w:lineRule="exact"/>
        <w:rPr>
          <w:sz w:val="20"/>
          <w:szCs w:val="20"/>
          <w:color w:val="auto"/>
        </w:rPr>
      </w:pPr>
    </w:p>
    <w:p>
      <w:pPr>
        <w:ind w:left="4" w:right="1060"/>
        <w:spacing w:after="0" w:line="277" w:lineRule="auto"/>
        <w:rPr>
          <w:sz w:val="20"/>
          <w:szCs w:val="20"/>
          <w:color w:val="auto"/>
        </w:rPr>
      </w:pPr>
      <w:r>
        <w:rPr>
          <w:rFonts w:ascii="Arial" w:cs="Arial" w:eastAsia="Arial" w:hAnsi="Arial"/>
          <w:sz w:val="18"/>
          <w:szCs w:val="18"/>
          <w:color w:val="auto"/>
        </w:rPr>
        <w:t>then the Follow-On Investment opportunity will be allocated among them pro rata based on the size of the Internal Orders, as described in section III.A.1.b. above.</w:t>
      </w:r>
    </w:p>
    <w:p>
      <w:pPr>
        <w:spacing w:after="0" w:line="170" w:lineRule="exact"/>
        <w:rPr>
          <w:sz w:val="20"/>
          <w:szCs w:val="20"/>
          <w:color w:val="auto"/>
        </w:rPr>
      </w:pPr>
    </w:p>
    <w:p>
      <w:pPr>
        <w:ind w:left="4" w:right="60" w:firstLine="436"/>
        <w:spacing w:after="0" w:line="277" w:lineRule="auto"/>
        <w:tabs>
          <w:tab w:leader="none" w:pos="824"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Other Conditions</w:t>
      </w:r>
      <w:r>
        <w:rPr>
          <w:rFonts w:ascii="Arial" w:cs="Arial" w:eastAsia="Arial" w:hAnsi="Arial"/>
          <w:sz w:val="18"/>
          <w:szCs w:val="18"/>
          <w:color w:val="auto"/>
        </w:rPr>
        <w:t>. The acquisition of Follow-On Investments as permitted by this Condition will be considered a Co-Investment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and subject to the other Conditions set forth in this application.</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225" w:lineRule="exact"/>
        <w:rPr>
          <w:rFonts w:ascii="Arial" w:cs="Arial" w:eastAsia="Arial" w:hAnsi="Arial"/>
          <w:sz w:val="18"/>
          <w:szCs w:val="18"/>
          <w:color w:val="auto"/>
        </w:rPr>
      </w:pPr>
    </w:p>
    <w:p>
      <w:pPr>
        <w:ind w:left="4" w:right="300" w:firstLine="436"/>
        <w:spacing w:after="0" w:line="263" w:lineRule="auto"/>
        <w:tabs>
          <w:tab w:leader="none" w:pos="824"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any Regulated Fund or Affiliated Fund desires to make a Follow-On Investment in an issuer that is a Potential Co-Investment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the Regulated Funds and Affiliated Funds holding investments in the issuer have not previously participated in a Co-Investment Transaction with respect to the issuer:</w:t>
      </w:r>
    </w:p>
    <w:p>
      <w:pPr>
        <w:spacing w:after="0" w:line="75" w:lineRule="exact"/>
        <w:rPr>
          <w:rFonts w:ascii="Arial" w:cs="Arial" w:eastAsia="Arial" w:hAnsi="Arial"/>
          <w:sz w:val="18"/>
          <w:szCs w:val="18"/>
          <w:color w:val="auto"/>
        </w:rPr>
      </w:pPr>
    </w:p>
    <w:p>
      <w:pPr>
        <w:ind w:left="444" w:right="500" w:firstLine="419"/>
        <w:spacing w:after="0" w:line="277" w:lineRule="auto"/>
        <w:tabs>
          <w:tab w:leader="none" w:pos="121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62" w:lineRule="exact"/>
        <w:rPr>
          <w:rFonts w:ascii="Arial" w:cs="Arial" w:eastAsia="Arial" w:hAnsi="Arial"/>
          <w:sz w:val="18"/>
          <w:szCs w:val="18"/>
          <w:color w:val="auto"/>
        </w:rPr>
      </w:pPr>
    </w:p>
    <w:p>
      <w:pPr>
        <w:ind w:left="444" w:right="640" w:firstLine="419"/>
        <w:spacing w:after="0" w:line="277" w:lineRule="auto"/>
        <w:tabs>
          <w:tab w:leader="none" w:pos="126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 and</w:t>
      </w:r>
    </w:p>
    <w:p>
      <w:pPr>
        <w:spacing w:after="0" w:line="62" w:lineRule="exact"/>
        <w:rPr>
          <w:rFonts w:ascii="Arial" w:cs="Arial" w:eastAsia="Arial" w:hAnsi="Arial"/>
          <w:sz w:val="18"/>
          <w:szCs w:val="18"/>
          <w:color w:val="auto"/>
        </w:rPr>
      </w:pPr>
    </w:p>
    <w:p>
      <w:pPr>
        <w:ind w:left="444" w:right="80" w:firstLine="419"/>
        <w:spacing w:after="0" w:line="263" w:lineRule="auto"/>
        <w:tabs>
          <w:tab w:leader="none" w:pos="131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ind w:left="4" w:firstLine="436"/>
        <w:spacing w:after="0" w:line="293" w:lineRule="auto"/>
        <w:tabs>
          <w:tab w:leader="none" w:pos="834"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Enhanced Board Approval</w:t>
      </w:r>
      <w:r>
        <w:rPr>
          <w:rFonts w:ascii="Arial" w:cs="Arial" w:eastAsia="Arial" w:hAnsi="Arial"/>
          <w:sz w:val="16"/>
          <w:szCs w:val="16"/>
          <w:color w:val="auto"/>
        </w:rPr>
        <w:t>. The Adviser will provide its written recommendation as to the Regulated Fund’s participation to the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64" w:lineRule="exact"/>
        <w:rPr>
          <w:rFonts w:ascii="Arial" w:cs="Arial" w:eastAsia="Arial" w:hAnsi="Arial"/>
          <w:sz w:val="16"/>
          <w:szCs w:val="16"/>
          <w:color w:val="auto"/>
        </w:rPr>
      </w:pPr>
    </w:p>
    <w:p>
      <w:pPr>
        <w:ind w:left="824" w:hanging="384"/>
        <w:spacing w:after="0"/>
        <w:tabs>
          <w:tab w:leader="none" w:pos="824"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Additional Requirements</w:t>
      </w:r>
      <w:r>
        <w:rPr>
          <w:rFonts w:ascii="Arial" w:cs="Arial" w:eastAsia="Arial" w:hAnsi="Arial"/>
          <w:sz w:val="18"/>
          <w:szCs w:val="18"/>
          <w:color w:val="auto"/>
        </w:rPr>
        <w:t>. The Follow-On Investment may only be completed in reliance on the Order if:</w:t>
      </w:r>
    </w:p>
    <w:p>
      <w:pPr>
        <w:spacing w:after="0" w:line="117" w:lineRule="exact"/>
        <w:rPr>
          <w:rFonts w:ascii="Arial" w:cs="Arial" w:eastAsia="Arial" w:hAnsi="Arial"/>
          <w:sz w:val="18"/>
          <w:szCs w:val="18"/>
          <w:color w:val="auto"/>
        </w:rPr>
      </w:pPr>
    </w:p>
    <w:p>
      <w:pPr>
        <w:ind w:left="1204" w:hanging="341"/>
        <w:spacing w:after="0"/>
        <w:tabs>
          <w:tab w:leader="none" w:pos="1204" w:val="left"/>
        </w:tabs>
        <w:numPr>
          <w:ilvl w:val="2"/>
          <w:numId w:val="74"/>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 Investments;</w:t>
      </w:r>
    </w:p>
    <w:p>
      <w:pPr>
        <w:spacing w:after="0" w:line="128" w:lineRule="exact"/>
        <w:rPr>
          <w:rFonts w:ascii="Arial" w:cs="Arial" w:eastAsia="Arial" w:hAnsi="Arial"/>
          <w:sz w:val="17"/>
          <w:szCs w:val="17"/>
          <w:color w:val="auto"/>
        </w:rPr>
      </w:pPr>
    </w:p>
    <w:p>
      <w:pPr>
        <w:ind w:left="444" w:right="500" w:firstLine="419"/>
        <w:spacing w:after="0" w:line="277" w:lineRule="auto"/>
        <w:tabs>
          <w:tab w:leader="none" w:pos="1267"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 Pre-Boarding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not prohibited by Section 57 (as modified by Rule 57b-1) or Rule 17d-1, as applicable;</w:t>
      </w:r>
    </w:p>
    <w:p>
      <w:pPr>
        <w:spacing w:after="0" w:line="62" w:lineRule="exact"/>
        <w:rPr>
          <w:rFonts w:ascii="Arial" w:cs="Arial" w:eastAsia="Arial" w:hAnsi="Arial"/>
          <w:sz w:val="18"/>
          <w:szCs w:val="18"/>
          <w:color w:val="auto"/>
        </w:rPr>
      </w:pPr>
    </w:p>
    <w:p>
      <w:pPr>
        <w:ind w:left="444" w:right="120" w:firstLine="419"/>
        <w:spacing w:after="0" w:line="263" w:lineRule="auto"/>
        <w:tabs>
          <w:tab w:leader="none" w:pos="1317"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Multiple Classes of Securities</w:t>
      </w:r>
      <w:r>
        <w:rPr>
          <w:rFonts w:ascii="Arial" w:cs="Arial" w:eastAsia="Arial" w:hAnsi="Arial"/>
          <w:sz w:val="18"/>
          <w:szCs w:val="18"/>
          <w:color w:val="auto"/>
        </w:rPr>
        <w:t>. All Regulated Funds and Affiliated Funds that hold Pre-Boarding Investments in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before the time of completion of the Co-Investment Transaction hold the same security or securities of the issuer. For the purpose of determining whether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1" w:name="page22"/>
    <w:bookmarkEnd w:id="21"/>
    <w:p>
      <w:pPr>
        <w:ind w:left="444"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53" w:lineRule="exact"/>
        <w:rPr>
          <w:sz w:val="20"/>
          <w:szCs w:val="20"/>
          <w:color w:val="auto"/>
        </w:rPr>
      </w:pPr>
    </w:p>
    <w:p>
      <w:pPr>
        <w:ind w:left="444" w:right="140" w:firstLine="419"/>
        <w:spacing w:after="0" w:line="342" w:lineRule="auto"/>
        <w:tabs>
          <w:tab w:leader="none" w:pos="1307" w:val="left"/>
        </w:tabs>
        <w:numPr>
          <w:ilvl w:val="2"/>
          <w:numId w:val="75"/>
        </w:numPr>
        <w:rPr>
          <w:rFonts w:ascii="Arial" w:cs="Arial" w:eastAsia="Arial" w:hAnsi="Arial"/>
          <w:sz w:val="16"/>
          <w:szCs w:val="16"/>
          <w:color w:val="auto"/>
        </w:rPr>
      </w:pPr>
      <w:r>
        <w:rPr>
          <w:rFonts w:ascii="Arial" w:cs="Arial" w:eastAsia="Arial" w:hAnsi="Arial"/>
          <w:sz w:val="16"/>
          <w:szCs w:val="16"/>
          <w:i w:val="1"/>
          <w:iCs w:val="1"/>
          <w:color w:val="auto"/>
        </w:rPr>
        <w:t>No control</w:t>
      </w:r>
      <w:r>
        <w:rPr>
          <w:rFonts w:ascii="Arial" w:cs="Arial" w:eastAsia="Arial" w:hAnsi="Arial"/>
          <w:sz w:val="16"/>
          <w:szCs w:val="16"/>
          <w:color w:val="auto"/>
        </w:rPr>
        <w:t>. The Affiliated Funds, the other Regulated Funds and their affiliated persons (within the meaning of Section 2(a)(3)(C)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Act), individually or in the aggregate, do not control the issuer of the securities (within the meaning of Section 2(a)(9) of the Act).</w:t>
      </w:r>
    </w:p>
    <w:p>
      <w:pPr>
        <w:spacing w:after="0" w:line="123" w:lineRule="exact"/>
        <w:rPr>
          <w:rFonts w:ascii="Arial" w:cs="Arial" w:eastAsia="Arial" w:hAnsi="Arial"/>
          <w:sz w:val="16"/>
          <w:szCs w:val="16"/>
          <w:color w:val="auto"/>
        </w:rPr>
      </w:pPr>
    </w:p>
    <w:p>
      <w:pPr>
        <w:ind w:left="824" w:hanging="384"/>
        <w:spacing w:after="0"/>
        <w:tabs>
          <w:tab w:leader="none" w:pos="824"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Allocation</w:t>
      </w:r>
      <w:r>
        <w:rPr>
          <w:rFonts w:ascii="Arial" w:cs="Arial" w:eastAsia="Arial" w:hAnsi="Arial"/>
          <w:sz w:val="18"/>
          <w:szCs w:val="18"/>
          <w:color w:val="auto"/>
        </w:rPr>
        <w:t>. If, with respect to any such Follow-On Investment:</w:t>
      </w:r>
    </w:p>
    <w:p>
      <w:pPr>
        <w:spacing w:after="0" w:line="117" w:lineRule="exact"/>
        <w:rPr>
          <w:rFonts w:ascii="Arial" w:cs="Arial" w:eastAsia="Arial" w:hAnsi="Arial"/>
          <w:sz w:val="18"/>
          <w:szCs w:val="18"/>
          <w:color w:val="auto"/>
        </w:rPr>
      </w:pPr>
    </w:p>
    <w:p>
      <w:pPr>
        <w:ind w:left="444" w:right="120" w:firstLine="419"/>
        <w:spacing w:after="0" w:line="263" w:lineRule="auto"/>
        <w:tabs>
          <w:tab w:leader="none" w:pos="1217"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75" w:lineRule="exact"/>
        <w:rPr>
          <w:rFonts w:ascii="Arial" w:cs="Arial" w:eastAsia="Arial" w:hAnsi="Arial"/>
          <w:sz w:val="18"/>
          <w:szCs w:val="18"/>
          <w:color w:val="auto"/>
        </w:rPr>
      </w:pPr>
    </w:p>
    <w:p>
      <w:pPr>
        <w:ind w:left="444" w:firstLine="419"/>
        <w:spacing w:after="0" w:line="286" w:lineRule="auto"/>
        <w:tabs>
          <w:tab w:leader="none" w:pos="1267" w:val="left"/>
        </w:tabs>
        <w:numPr>
          <w:ilvl w:val="2"/>
          <w:numId w:val="76"/>
        </w:numPr>
        <w:rPr>
          <w:rFonts w:ascii="Arial" w:cs="Arial" w:eastAsia="Arial" w:hAnsi="Arial"/>
          <w:sz w:val="17"/>
          <w:szCs w:val="17"/>
          <w:color w:val="auto"/>
        </w:rPr>
      </w:pPr>
      <w:r>
        <w:rPr>
          <w:rFonts w:ascii="Arial" w:cs="Arial" w:eastAsia="Arial" w:hAnsi="Arial"/>
          <w:sz w:val="17"/>
          <w:szCs w:val="17"/>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the size of the Internal Orders, as described in section III.A.1.b. above.</w:t>
      </w:r>
    </w:p>
    <w:p>
      <w:pPr>
        <w:spacing w:after="0" w:line="165" w:lineRule="exact"/>
        <w:rPr>
          <w:rFonts w:ascii="Arial" w:cs="Arial" w:eastAsia="Arial" w:hAnsi="Arial"/>
          <w:sz w:val="17"/>
          <w:szCs w:val="17"/>
          <w:color w:val="auto"/>
        </w:rPr>
      </w:pPr>
    </w:p>
    <w:p>
      <w:pPr>
        <w:ind w:left="4" w:right="60" w:firstLine="436"/>
        <w:spacing w:after="0" w:line="277" w:lineRule="auto"/>
        <w:tabs>
          <w:tab w:leader="none" w:pos="824"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Other Conditions</w:t>
      </w:r>
      <w:r>
        <w:rPr>
          <w:rFonts w:ascii="Arial" w:cs="Arial" w:eastAsia="Arial" w:hAnsi="Arial"/>
          <w:sz w:val="18"/>
          <w:szCs w:val="18"/>
          <w:color w:val="auto"/>
        </w:rPr>
        <w:t>. The acquisition of Follow-On Investments as permitted by this Condition will be considered a Co-Investment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and subject to the other Conditions set forth in this application.</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Board Reporting, Compliance and Annual Re-Approval</w:t>
      </w:r>
    </w:p>
    <w:p>
      <w:pPr>
        <w:spacing w:after="0" w:line="225" w:lineRule="exact"/>
        <w:rPr>
          <w:rFonts w:ascii="Arial" w:cs="Arial" w:eastAsia="Arial" w:hAnsi="Arial"/>
          <w:sz w:val="18"/>
          <w:szCs w:val="18"/>
          <w:color w:val="auto"/>
        </w:rPr>
      </w:pPr>
    </w:p>
    <w:p>
      <w:pPr>
        <w:ind w:left="4" w:right="60" w:firstLine="436"/>
        <w:spacing w:after="0" w:line="269" w:lineRule="auto"/>
        <w:tabs>
          <w:tab w:leader="none" w:pos="824" w:val="left"/>
        </w:tabs>
        <w:numPr>
          <w:ilvl w:val="1"/>
          <w:numId w:val="77"/>
        </w:numPr>
        <w:rPr>
          <w:rFonts w:ascii="Arial" w:cs="Arial" w:eastAsia="Arial" w:hAnsi="Arial"/>
          <w:sz w:val="17"/>
          <w:szCs w:val="17"/>
          <w:color w:val="auto"/>
        </w:rPr>
      </w:pPr>
      <w:r>
        <w:rPr>
          <w:rFonts w:ascii="Arial" w:cs="Arial" w:eastAsia="Arial" w:hAnsi="Arial"/>
          <w:sz w:val="17"/>
          <w:szCs w:val="17"/>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of the Affiliated Funds during the preceding quarter that fell within the Regulated Fund’s then-current Objectives and Strategies and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85" w:lineRule="exact"/>
        <w:rPr>
          <w:rFonts w:ascii="Arial" w:cs="Arial" w:eastAsia="Arial" w:hAnsi="Arial"/>
          <w:sz w:val="17"/>
          <w:szCs w:val="17"/>
          <w:color w:val="auto"/>
        </w:rPr>
      </w:pPr>
    </w:p>
    <w:p>
      <w:pPr>
        <w:ind w:left="4" w:right="340" w:firstLine="436"/>
        <w:spacing w:after="0" w:line="277" w:lineRule="auto"/>
        <w:tabs>
          <w:tab w:leader="none" w:pos="824"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70" w:lineRule="exact"/>
        <w:rPr>
          <w:rFonts w:ascii="Arial" w:cs="Arial" w:eastAsia="Arial" w:hAnsi="Arial"/>
          <w:sz w:val="18"/>
          <w:szCs w:val="18"/>
          <w:color w:val="auto"/>
        </w:rPr>
      </w:pPr>
    </w:p>
    <w:p>
      <w:pPr>
        <w:ind w:left="4" w:right="360" w:firstLine="436"/>
        <w:spacing w:after="0" w:line="301" w:lineRule="auto"/>
        <w:tabs>
          <w:tab w:leader="none" w:pos="824" w:val="left"/>
        </w:tabs>
        <w:numPr>
          <w:ilvl w:val="1"/>
          <w:numId w:val="77"/>
        </w:numPr>
        <w:rPr>
          <w:rFonts w:ascii="Arial" w:cs="Arial" w:eastAsia="Arial" w:hAnsi="Arial"/>
          <w:sz w:val="16"/>
          <w:szCs w:val="16"/>
          <w:color w:val="auto"/>
        </w:rPr>
      </w:pPr>
      <w:r>
        <w:rPr>
          <w:rFonts w:ascii="Arial" w:cs="Arial" w:eastAsia="Arial" w:hAnsi="Arial"/>
          <w:sz w:val="16"/>
          <w:szCs w:val="16"/>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 In the case of a BDC Downstream Fund that does not have a chief compliance officer, the chief compliance officer of the BDC that controls the BDC Downstream Fund will prepare the report for the relevant Independent Party.</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2" w:name="page23"/>
    <w:bookmarkEnd w:id="22"/>
    <w:p>
      <w:pPr>
        <w:ind w:left="4" w:right="620" w:firstLine="436"/>
        <w:spacing w:after="0" w:line="308" w:lineRule="auto"/>
        <w:tabs>
          <w:tab w:leader="none" w:pos="831" w:val="left"/>
        </w:tabs>
        <w:numPr>
          <w:ilvl w:val="1"/>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Independent Directors (including the non-interested members of each Independent Party) will consider at least annually whether continued participation in new and existing Co-Investment Transactions is in the Regulated Fund’s best interests.</w:t>
      </w:r>
    </w:p>
    <w:p>
      <w:pPr>
        <w:spacing w:after="0" w:line="51" w:lineRule="exact"/>
        <w:rPr>
          <w:rFonts w:ascii="Arial" w:cs="Arial" w:eastAsia="Arial" w:hAnsi="Arial"/>
          <w:sz w:val="17"/>
          <w:szCs w:val="17"/>
          <w:color w:val="auto"/>
        </w:rPr>
      </w:pPr>
    </w:p>
    <w:p>
      <w:pPr>
        <w:ind w:left="544" w:hanging="544"/>
        <w:spacing w:after="0"/>
        <w:tabs>
          <w:tab w:leader="none" w:pos="54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Record Keeping.</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76" w:lineRule="exact"/>
        <w:rPr>
          <w:sz w:val="20"/>
          <w:szCs w:val="20"/>
          <w:color w:val="auto"/>
        </w:rPr>
      </w:pPr>
    </w:p>
    <w:p>
      <w:pPr>
        <w:ind w:left="544" w:hanging="544"/>
        <w:spacing w:after="0"/>
        <w:tabs>
          <w:tab w:leader="none" w:pos="54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Director Independence.</w:t>
      </w:r>
    </w:p>
    <w:p>
      <w:pPr>
        <w:spacing w:after="0" w:line="225" w:lineRule="exact"/>
        <w:rPr>
          <w:sz w:val="20"/>
          <w:szCs w:val="20"/>
          <w:color w:val="auto"/>
        </w:rPr>
      </w:pPr>
    </w:p>
    <w:p>
      <w:pPr>
        <w:ind w:left="4" w:right="300" w:firstLine="440"/>
        <w:spacing w:after="0" w:line="308" w:lineRule="auto"/>
        <w:rPr>
          <w:sz w:val="20"/>
          <w:szCs w:val="20"/>
          <w:color w:val="auto"/>
        </w:rPr>
      </w:pPr>
      <w:r>
        <w:rPr>
          <w:rFonts w:ascii="Arial" w:cs="Arial" w:eastAsia="Arial" w:hAnsi="Arial"/>
          <w:sz w:val="17"/>
          <w:szCs w:val="17"/>
          <w:color w:val="auto"/>
        </w:rPr>
        <w:t>No Independent Director (including the non-interested members of any Independent Party) of a Regulated Fund will also be a director, general partner, managing member or principal, or otherwise be an “affiliated person” (as defined in the Act) of any Affiliated Fund.</w:t>
      </w:r>
    </w:p>
    <w:p>
      <w:pPr>
        <w:spacing w:after="0" w:line="52" w:lineRule="exact"/>
        <w:rPr>
          <w:sz w:val="20"/>
          <w:szCs w:val="20"/>
          <w:color w:val="auto"/>
        </w:rPr>
      </w:pPr>
    </w:p>
    <w:p>
      <w:pPr>
        <w:ind w:left="544" w:hanging="544"/>
        <w:spacing w:after="0"/>
        <w:tabs>
          <w:tab w:leader="none" w:pos="54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225" w:lineRule="exact"/>
        <w:rPr>
          <w:sz w:val="20"/>
          <w:szCs w:val="20"/>
          <w:color w:val="auto"/>
        </w:rPr>
      </w:pPr>
    </w:p>
    <w:p>
      <w:pPr>
        <w:ind w:left="4" w:right="180" w:firstLine="440"/>
        <w:spacing w:after="0" w:line="301" w:lineRule="auto"/>
        <w:rPr>
          <w:sz w:val="20"/>
          <w:szCs w:val="20"/>
          <w:color w:val="auto"/>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63" w:lineRule="exact"/>
        <w:rPr>
          <w:sz w:val="20"/>
          <w:szCs w:val="20"/>
          <w:color w:val="auto"/>
        </w:rPr>
      </w:pPr>
    </w:p>
    <w:p>
      <w:pPr>
        <w:ind w:left="544" w:hanging="544"/>
        <w:spacing w:after="0"/>
        <w:tabs>
          <w:tab w:leader="none" w:pos="54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w:t>
      </w:r>
      <w:r>
        <w:rPr>
          <w:rFonts w:ascii="Arial" w:cs="Arial" w:eastAsia="Arial" w:hAnsi="Arial"/>
          <w:sz w:val="15"/>
          <w:szCs w:val="15"/>
          <w:color w:val="auto"/>
        </w:rPr>
        <w:t>28</w:t>
      </w:r>
    </w:p>
    <w:p>
      <w:pPr>
        <w:spacing w:after="0" w:line="22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Advisers, the Affiliated Funds, the other Regulated Funds or any affiliated person of the Affiliated Funds or the Regulated Funds will receive any additional compensation or remuneration of any kind as a result of or in connection with a Co-Investment Transaction other than</w:t>
      </w:r>
    </w:p>
    <w:p>
      <w:pPr>
        <w:spacing w:after="0" w:line="2" w:lineRule="exact"/>
        <w:rPr>
          <w:sz w:val="20"/>
          <w:szCs w:val="20"/>
          <w:color w:val="auto"/>
        </w:rPr>
      </w:pPr>
    </w:p>
    <w:p>
      <w:pPr>
        <w:ind w:left="4" w:right="20" w:hanging="4"/>
        <w:spacing w:after="0" w:line="253" w:lineRule="auto"/>
        <w:tabs>
          <w:tab w:leader="none" w:pos="219"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the Regulated Funds and the Affiliated Funds, the pro rata transaction fees described above and fees or other compensation described in Condition 2(c)(iii)(B)(z), (ii) brokerage or underwriting compensation permitted by Section 17(e) or 57(k), or (iii) in the case of the Advisers, investment advisory compensation paid in accordance with investment advisory agreements between the applicable Regulated Fund(s) or Affiliated Fund(s) and its Adviser.</w:t>
      </w:r>
    </w:p>
    <w:p>
      <w:pPr>
        <w:spacing w:after="0" w:line="98" w:lineRule="exact"/>
        <w:rPr>
          <w:sz w:val="20"/>
          <w:szCs w:val="20"/>
          <w:color w:val="auto"/>
        </w:rPr>
      </w:pPr>
    </w:p>
    <w:p>
      <w:pPr>
        <w:ind w:left="544" w:hanging="544"/>
        <w:spacing w:after="0"/>
        <w:tabs>
          <w:tab w:leader="none" w:pos="5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Independence.</w:t>
      </w:r>
    </w:p>
    <w:p>
      <w:pPr>
        <w:spacing w:after="0" w:line="225"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If the Holders own in the aggregate more than 25 percent of the Shares of a Regulated Fund, then the Holders will vote such Shares in the percentages as the Regulated Fund’s other shareholders (not including the Holders) when voting on (1) the election of directors; (2) the removal of one or more directors; or (3) any other matter under either the Act or applicable State law affecting the Board’s composition, size or manner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right="140" w:hanging="424"/>
        <w:spacing w:after="0" w:line="277" w:lineRule="auto"/>
        <w:tabs>
          <w:tab w:leader="none" w:pos="424" w:val="left"/>
        </w:tabs>
        <w:numPr>
          <w:ilvl w:val="0"/>
          <w:numId w:val="85"/>
        </w:numPr>
        <w:rPr>
          <w:rFonts w:ascii="Arial" w:cs="Arial" w:eastAsia="Arial" w:hAnsi="Arial"/>
          <w:sz w:val="15"/>
          <w:szCs w:val="15"/>
          <w:color w:val="auto"/>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3" w:name="page24"/>
    <w:bookmarkEnd w:id="23"/>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w:t>
      </w:r>
      <w:r>
        <w:rPr>
          <w:sz w:val="20"/>
          <w:szCs w:val="20"/>
          <w:color w:val="auto"/>
        </w:rPr>
        <w:tab/>
      </w:r>
      <w:r>
        <w:rPr>
          <w:rFonts w:ascii="Arial" w:cs="Arial" w:eastAsia="Arial" w:hAnsi="Arial"/>
          <w:sz w:val="18"/>
          <w:szCs w:val="18"/>
          <w:b w:val="1"/>
          <w:bCs w:val="1"/>
          <w:u w:val="single" w:color="auto"/>
          <w:color w:val="auto"/>
        </w:rPr>
        <w:t>PROCEDURAL MATTERS</w:t>
      </w:r>
    </w:p>
    <w:p>
      <w:pPr>
        <w:spacing w:after="0" w:line="135" w:lineRule="exact"/>
        <w:rPr>
          <w:sz w:val="20"/>
          <w:szCs w:val="20"/>
          <w:color w:val="auto"/>
        </w:rPr>
      </w:pPr>
    </w:p>
    <w:p>
      <w:pPr>
        <w:ind w:left="544" w:hanging="544"/>
        <w:spacing w:after="0"/>
        <w:tabs>
          <w:tab w:leader="none" w:pos="54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Communications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PennantPark Investment Corporation</w:t>
      </w:r>
    </w:p>
    <w:p>
      <w:pPr>
        <w:spacing w:after="0" w:line="8"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(212) 905-1000</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Thomas J. Friedman</w:t>
      </w:r>
    </w:p>
    <w:p>
      <w:pPr>
        <w:spacing w:after="0" w:line="23"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40th Floor, 100 Oliver Street,</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Boston, MA, 02110-2605</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(617) 728-7120</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Applicants desire that the Commission issue an Order pursuant to Rule 0-5 without conducting a hearing.</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Pursuant to Rule 0-2, each person executing the Application on behalf of an Applicant says that he or she has duly executed the Application for and on behalf of such Applicant; that he or she is authorized to execute the Application pursuant to the terms of an operating agreement, management agreement or otherwise; and that all actions by members, directors or other bodies necessary to authorize each deponent to execute and file the Application have been taken.</w:t>
      </w:r>
    </w:p>
    <w:p>
      <w:pPr>
        <w:spacing w:after="0" w:line="18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verifications required by Rule 0-2(d) and the authorizations required by Rule 0-2(c) are attached hereto as Exhibit A and Exhibit B. The marked copies of the Application required by Rule 0-5(d)(2) are attached as Exhibit C.</w:t>
      </w:r>
    </w:p>
    <w:p>
      <w:pPr>
        <w:spacing w:after="0" w:line="76" w:lineRule="exact"/>
        <w:rPr>
          <w:sz w:val="20"/>
          <w:szCs w:val="20"/>
          <w:color w:val="auto"/>
        </w:rPr>
      </w:pPr>
    </w:p>
    <w:p>
      <w:pPr>
        <w:ind w:left="544" w:hanging="544"/>
        <w:spacing w:after="0"/>
        <w:tabs>
          <w:tab w:leader="none" w:pos="54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Authorization</w:t>
      </w:r>
    </w:p>
    <w:p>
      <w:pPr>
        <w:spacing w:after="0" w:line="225" w:lineRule="exact"/>
        <w:rPr>
          <w:sz w:val="20"/>
          <w:szCs w:val="20"/>
          <w:color w:val="auto"/>
        </w:rPr>
      </w:pPr>
    </w:p>
    <w:p>
      <w:pPr>
        <w:ind w:left="4" w:right="20"/>
        <w:spacing w:after="0" w:line="308" w:lineRule="auto"/>
        <w:rPr>
          <w:sz w:val="20"/>
          <w:szCs w:val="20"/>
          <w:color w:val="auto"/>
        </w:rPr>
      </w:pPr>
      <w:r>
        <w:rPr>
          <w:rFonts w:ascii="Arial" w:cs="Arial" w:eastAsia="Arial" w:hAnsi="Arial"/>
          <w:sz w:val="17"/>
          <w:szCs w:val="17"/>
          <w:color w:val="auto"/>
        </w:rPr>
        <w:t>All requirements for the execution and filing of this Application in the name and on behalf of each Applicant by the undersigned have been complied with and the undersigned is fully authorized to do so and has duly executed this Application as of this 28 day of January, 2022.</w:t>
      </w:r>
    </w:p>
    <w:p>
      <w:pPr>
        <w:spacing w:after="0" w:line="17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4"/>
          </w:cols>
          <w:pgMar w:left="436" w:top="270" w:right="699"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CREDIT OPPORTUNITIES FUND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PENNANTPARK CREDIT OPPORTUNITIES 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PENNANTPARK SENIOR CREDIT FUND LEVERED, LP</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 CREDIT ACQUISITIONS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PENNANTPARK SENIOR CREDIT FUND SMA, LP</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00"/>
          </w:cols>
          <w:pgMar w:left="1440" w:top="274" w:right="459" w:bottom="1440" w:gutter="0" w:footer="0" w:header="0"/>
        </w:sectPr>
      </w:pPr>
    </w:p>
    <w:bookmarkStart w:id="25" w:name="page26"/>
    <w:bookmarkEnd w:id="25"/>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Existing Affiliated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Credit Opportunities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Credit Opportunities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Levered,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 Credit Acquisitions,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SMA, LP</w:t>
      </w:r>
    </w:p>
    <w:p>
      <w:pPr>
        <w:spacing w:after="0" w:line="38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19"/>
          </w:cols>
          <w:pgMar w:left="440" w:top="270"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Verification</w:t>
      </w:r>
    </w:p>
    <w:p>
      <w:pPr>
        <w:spacing w:after="0" w:line="225"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undersigned states that he has duly executed the attached Application dated January 28, 2022 for and on behalf of the Applicants, as the case may be, that he holds the office with each such entity as indicated below, and that all actions by stockholders, officers, directors, and other bodies necessary to authorize the undersigned to execute and file such Application have been taken. The undersigned further states that he is familiar with the instrument and the contents thereof, and that the facts set forth therein are true to the best of his knowledge, information, and belief.</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CREDIT OPPORTUNITIES FUND 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CREDIT OPPORTUNITIES FUND III,</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SENIOR CREDIT FUND LEVERED, LP</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SENIOR CREDIT FUND SMA,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 CREDIT ACQUISITIONS LLC</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1020"/>
          </w:cols>
          <w:pgMar w:left="440" w:top="270"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Directors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PENNANTPARK FLOATING RATE CAPITAL LTD.</w:t>
      </w:r>
    </w:p>
    <w:p>
      <w:pPr>
        <w:spacing w:after="0" w:line="117"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Boards previously approved an application (the “</w:t>
      </w:r>
      <w:r>
        <w:rPr>
          <w:rFonts w:ascii="Arial" w:cs="Arial" w:eastAsia="Arial" w:hAnsi="Arial"/>
          <w:sz w:val="17"/>
          <w:szCs w:val="17"/>
          <w:u w:val="single" w:color="auto"/>
          <w:color w:val="auto"/>
        </w:rPr>
        <w:t>Original Application</w:t>
      </w:r>
      <w:r>
        <w:rPr>
          <w:rFonts w:ascii="Arial" w:cs="Arial" w:eastAsia="Arial" w:hAnsi="Arial"/>
          <w:sz w:val="17"/>
          <w:szCs w:val="17"/>
          <w:color w:val="auto"/>
        </w:rPr>
        <w:t>”) that was filed with the U.S. Securities and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behalf of PennantPark Investment Corporation (“</w:t>
      </w:r>
      <w:r>
        <w:rPr>
          <w:rFonts w:ascii="Arial" w:cs="Arial" w:eastAsia="Arial" w:hAnsi="Arial"/>
          <w:sz w:val="17"/>
          <w:szCs w:val="17"/>
          <w:u w:val="single" w:color="auto"/>
          <w:color w:val="auto"/>
        </w:rPr>
        <w:t>PNNT</w:t>
      </w:r>
      <w:r>
        <w:rPr>
          <w:rFonts w:ascii="Arial" w:cs="Arial" w:eastAsia="Arial" w:hAnsi="Arial"/>
          <w:sz w:val="17"/>
          <w:szCs w:val="17"/>
          <w:color w:val="auto"/>
        </w:rPr>
        <w:t>”), PennantPark Floating Rate Capital Ltd. (“</w:t>
      </w:r>
      <w:r>
        <w:rPr>
          <w:rFonts w:ascii="Arial" w:cs="Arial" w:eastAsia="Arial" w:hAnsi="Arial"/>
          <w:sz w:val="17"/>
          <w:szCs w:val="17"/>
          <w:u w:val="single" w:color="auto"/>
          <w:color w:val="auto"/>
        </w:rPr>
        <w:t>PFLT</w:t>
      </w:r>
      <w:r>
        <w:rPr>
          <w:rFonts w:ascii="Arial" w:cs="Arial" w:eastAsia="Arial" w:hAnsi="Arial"/>
          <w:sz w:val="17"/>
          <w:szCs w:val="17"/>
          <w:color w:val="auto"/>
        </w:rPr>
        <w:t>” and together with PNNT, the “</w:t>
      </w:r>
      <w:r>
        <w:rPr>
          <w:rFonts w:ascii="Arial" w:cs="Arial" w:eastAsia="Arial" w:hAnsi="Arial"/>
          <w:sz w:val="17"/>
          <w:szCs w:val="17"/>
          <w:u w:val="single" w:color="auto"/>
          <w:color w:val="auto"/>
        </w:rPr>
        <w:t>Companies</w:t>
      </w:r>
      <w:r>
        <w:rPr>
          <w:rFonts w:ascii="Arial" w:cs="Arial" w:eastAsia="Arial" w:hAnsi="Arial"/>
          <w:sz w:val="17"/>
          <w:szCs w:val="17"/>
          <w:color w:val="auto"/>
        </w:rPr>
        <w:t>”), and certain affiliated entities for an order granting exemptions under under Sections 17(d), 57(a)4) and 57(i) of the Investment Company Act of 1940, as amended (the “</w:t>
      </w:r>
      <w:r>
        <w:rPr>
          <w:rFonts w:ascii="Arial" w:cs="Arial" w:eastAsia="Arial" w:hAnsi="Arial"/>
          <w:sz w:val="17"/>
          <w:szCs w:val="17"/>
          <w:u w:val="single" w:color="auto"/>
          <w:color w:val="auto"/>
        </w:rPr>
        <w:t>1940 Act</w:t>
      </w:r>
      <w:r>
        <w:rPr>
          <w:rFonts w:ascii="Arial" w:cs="Arial" w:eastAsia="Arial" w:hAnsi="Arial"/>
          <w:sz w:val="17"/>
          <w:szCs w:val="17"/>
          <w:color w:val="auto"/>
        </w:rPr>
        <w:t>”) and Rule 17d-1 thereunder;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Commission approved the Original Application, as amended, pursuant to an order issued on April 15, 2014 (“</w:t>
      </w:r>
      <w:r>
        <w:rPr>
          <w:rFonts w:ascii="Arial" w:cs="Arial" w:eastAsia="Arial" w:hAnsi="Arial"/>
          <w:sz w:val="16"/>
          <w:szCs w:val="16"/>
          <w:u w:val="single" w:color="auto"/>
          <w:color w:val="auto"/>
        </w:rPr>
        <w:t>Prior Order</w:t>
      </w:r>
      <w:r>
        <w:rPr>
          <w:rFonts w:ascii="Arial" w:cs="Arial" w:eastAsia="Arial" w:hAnsi="Arial"/>
          <w:sz w:val="16"/>
          <w:szCs w:val="16"/>
          <w:color w:val="auto"/>
        </w:rPr>
        <w:t>”); and</w:t>
      </w:r>
    </w:p>
    <w:p>
      <w:pPr>
        <w:spacing w:after="0" w:line="248" w:lineRule="exact"/>
        <w:rPr>
          <w:sz w:val="20"/>
          <w:szCs w:val="20"/>
          <w:color w:val="auto"/>
        </w:rPr>
      </w:pPr>
    </w:p>
    <w:p>
      <w:pPr>
        <w:ind w:right="48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Boards have reviewed a draft Exemptive Application (the “</w:t>
      </w:r>
      <w:r>
        <w:rPr>
          <w:rFonts w:ascii="Arial" w:cs="Arial" w:eastAsia="Arial" w:hAnsi="Arial"/>
          <w:sz w:val="17"/>
          <w:szCs w:val="17"/>
          <w:u w:val="single" w:color="auto"/>
          <w:color w:val="auto"/>
        </w:rPr>
        <w:t>Exemptive Application</w:t>
      </w:r>
      <w:r>
        <w:rPr>
          <w:rFonts w:ascii="Arial" w:cs="Arial" w:eastAsia="Arial" w:hAnsi="Arial"/>
          <w:sz w:val="17"/>
          <w:szCs w:val="17"/>
          <w:color w:val="auto"/>
        </w:rPr>
        <w:t>”), a copy of which is attached hereto as</w:t>
      </w:r>
      <w:r>
        <w:rPr>
          <w:rFonts w:ascii="Arial" w:cs="Arial" w:eastAsia="Arial" w:hAnsi="Arial"/>
          <w:sz w:val="17"/>
          <w:szCs w:val="17"/>
          <w:b w:val="1"/>
          <w:bCs w:val="1"/>
          <w:color w:val="auto"/>
        </w:rPr>
        <w:t xml:space="preserve"> </w:t>
      </w:r>
      <w:r>
        <w:rPr>
          <w:rFonts w:ascii="Arial" w:cs="Arial" w:eastAsia="Arial" w:hAnsi="Arial"/>
          <w:sz w:val="17"/>
          <w:szCs w:val="17"/>
          <w:color w:val="auto"/>
        </w:rPr>
        <w:t>Appendix A, that requests the Commission grant a new exemptive order that will supersede and replace the Prior Order;</w:t>
      </w:r>
    </w:p>
    <w:p>
      <w:pPr>
        <w:spacing w:after="0" w:line="140"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Chief Executive Officer, the Chief Financial Officer, and the Secretary of the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u w:val="single" w:color="auto"/>
          <w:color w:val="auto"/>
        </w:rPr>
        <w:t>Authorized Officers</w:t>
      </w:r>
      <w:r>
        <w:rPr>
          <w:rFonts w:ascii="Arial" w:cs="Arial" w:eastAsia="Arial" w:hAnsi="Arial"/>
          <w:sz w:val="18"/>
          <w:szCs w:val="18"/>
          <w:color w:val="auto"/>
        </w:rPr>
        <w:t>”) shall be, and each of them individually hereby is, authorized, empowered and directed, in the name and on behalf of each of the Companies, to cause to be executed, delivered and filed with the Commission the Exemptive Application, in substantially the form attached hereto as Appendix A;</w:t>
      </w:r>
    </w:p>
    <w:p>
      <w:pPr>
        <w:spacing w:after="0" w:line="180" w:lineRule="exact"/>
        <w:rPr>
          <w:sz w:val="20"/>
          <w:szCs w:val="20"/>
          <w:color w:val="auto"/>
        </w:rPr>
      </w:pPr>
    </w:p>
    <w:p>
      <w:pPr>
        <w:ind w:right="120" w:firstLine="4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Authorized Officers shall be, and each of them individually hereby is, authorized, empowered and directed,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and on behalf of the Companies, to cause to be made, executed, delivered and filed with the Commission any amendments to the Exemptive Application and any additional applications for exemptive relief as are determined necessary, advisable or appropriate by any such officers, and to do such other acts or things and execute such other documents, including but not limited to, requests for no-action relief or interpretive positions under the Securities Act of 1933, Securities Exchange Act of 1934, 1940 Act, or any other applicable federal or state securities law, as they deem necessary or desirable, in such form and accompanied by such exhibits and other documents as the Authorized Officers may approves, in order to effectuate the foregoing, such determinations, acts, or things to be conclusively evidenced by the same;</w:t>
      </w:r>
    </w:p>
    <w:p>
      <w:pPr>
        <w:spacing w:after="0" w:line="161"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Authorized Officers, on or prior to the date hereof, in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and on behalf of each of the Companies in connection with the foregoing resolutions are in all respects authorized, ratified, approved, confirmed and adopted as the acts and deeds by and on behalf of the Companies; and</w:t>
      </w:r>
    </w:p>
    <w:p>
      <w:pPr>
        <w:spacing w:after="0" w:line="176"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any officer of the Companies be, and each of them hereby is, authorized, empowered and directed to certify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copies of these resolutions to such governmental bodies, agencies, persons, firms or corporations as such officer may deem necessary and to identify by such officer’s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p>
      <w:pPr>
        <w:sectPr>
          <w:pgSz w:w="11900" w:h="16838" w:orient="portrait"/>
          <w:cols w:equalWidth="0" w:num="1">
            <w:col w:w="11020"/>
          </w:cols>
          <w:pgMar w:left="440" w:top="270"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Marked copy of the Applicants’ application showing changes from the application of Commonwealth Credit Partners BDC I, Inc., et al. (File No. 812-15195), an application identified by the Applicants as substantially identical under Rule 0-5(e)(3) is attached hereto.</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Marked copy of the Applicants’ application showing changes from the application of Prospect Capital Corporation (File No. 812-14977), an application identified by the Applicants as substantially identical under Rule 0-5(e)(3) is attached hereto.</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617"/>
    </w:lvl>
  </w:abstractNum>
  <w:abstractNum w:abstractNumId="1">
    <w:nsid w:val="2CD89A32"/>
    <w:multiLevelType w:val="hybridMultilevel"/>
    <w:lvl w:ilvl="0">
      <w:lvlJc w:val="left"/>
      <w:lvlText w:val="%1."/>
      <w:numFmt w:val="upperLetter"/>
      <w:start w:val="9"/>
    </w:lvl>
  </w:abstractNum>
  <w:abstractNum w:abstractNumId="2">
    <w:nsid w:val="57E4CCAF"/>
    <w:multiLevelType w:val="hybridMultilevel"/>
    <w:lvl w:ilvl="0">
      <w:lvlJc w:val="left"/>
      <w:lvlText w:val="%1."/>
      <w:numFmt w:val="upperLetter"/>
      <w:start w:val="1"/>
    </w:lvl>
  </w:abstractNum>
  <w:abstractNum w:abstractNumId="3">
    <w:nsid w:val="7A6D8D3C"/>
    <w:multiLevelType w:val="hybridMultilevel"/>
    <w:lvl w:ilvl="0">
      <w:lvlJc w:val="left"/>
      <w:lvlText w:val="%1."/>
      <w:numFmt w:val="upperLetter"/>
      <w:start w:val="2"/>
    </w:lvl>
    <w:lvl w:ilvl="1">
      <w:lvlJc w:val="left"/>
      <w:lvlText w:val="•"/>
      <w:numFmt w:val="bullet"/>
      <w:start w:val="1"/>
    </w:lvl>
  </w:abstractNum>
  <w:abstractNum w:abstractNumId="4">
    <w:nsid w:val="4B588F54"/>
    <w:multiLevelType w:val="hybridMultilevel"/>
    <w:lvl w:ilvl="0">
      <w:lvlJc w:val="left"/>
      <w:lvlText w:val="1"/>
      <w:numFmt w:val="bullet"/>
      <w:start w:val="1"/>
    </w:lvl>
  </w:abstractNum>
  <w:abstractNum w:abstractNumId="5">
    <w:nsid w:val="542289EC"/>
    <w:multiLevelType w:val="hybridMultilevel"/>
    <w:lvl w:ilvl="0">
      <w:lvlJc w:val="left"/>
      <w:lvlText w:val="2"/>
      <w:numFmt w:val="bullet"/>
      <w:start w:val="1"/>
    </w:lvl>
  </w:abstractNum>
  <w:abstractNum w:abstractNumId="6">
    <w:nsid w:val="6DE91B18"/>
    <w:multiLevelType w:val="hybridMultilevel"/>
    <w:lvl w:ilvl="0">
      <w:lvlJc w:val="left"/>
      <w:lvlText w:val="3"/>
      <w:numFmt w:val="bullet"/>
      <w:start w:val="1"/>
    </w:lvl>
  </w:abstractNum>
  <w:abstractNum w:abstractNumId="7">
    <w:nsid w:val="38437FDB"/>
    <w:multiLevelType w:val="hybridMultilevel"/>
    <w:lvl w:ilvl="0">
      <w:lvlJc w:val="left"/>
      <w:lvlText w:val="4"/>
      <w:numFmt w:val="bullet"/>
      <w:start w:val="1"/>
    </w:lvl>
  </w:abstractNum>
  <w:abstractNum w:abstractNumId="8">
    <w:nsid w:val="7644A45C"/>
    <w:multiLevelType w:val="hybridMultilevel"/>
    <w:lvl w:ilvl="0">
      <w:lvlJc w:val="left"/>
      <w:lvlText w:val="(%1)"/>
      <w:numFmt w:val="lowerRoman"/>
      <w:start w:val="2"/>
    </w:lvl>
  </w:abstractNum>
  <w:abstractNum w:abstractNumId="9">
    <w:nsid w:val="32FFF902"/>
    <w:multiLevelType w:val="hybridMultilevel"/>
    <w:lvl w:ilvl="0">
      <w:lvlJc w:val="left"/>
      <w:lvlText w:val="5"/>
      <w:numFmt w:val="bullet"/>
      <w:start w:val="1"/>
    </w:lvl>
  </w:abstractNum>
  <w:abstractNum w:abstractNumId="10">
    <w:nsid w:val="684A481A"/>
    <w:multiLevelType w:val="hybridMultilevel"/>
    <w:lvl w:ilvl="0">
      <w:lvlJc w:val="left"/>
      <w:lvlText w:val="6"/>
      <w:numFmt w:val="bullet"/>
      <w:start w:val="1"/>
    </w:lvl>
  </w:abstractNum>
  <w:abstractNum w:abstractNumId="11">
    <w:nsid w:val="579478FE"/>
    <w:multiLevelType w:val="hybridMultilevel"/>
    <w:lvl w:ilvl="0">
      <w:lvlJc w:val="left"/>
      <w:lvlText w:val="%1)"/>
      <w:numFmt w:val="lowerRoman"/>
      <w:start w:val="1"/>
    </w:lvl>
  </w:abstractNum>
  <w:abstractNum w:abstractNumId="12">
    <w:nsid w:val="749ABB43"/>
    <w:multiLevelType w:val="hybridMultilevel"/>
    <w:lvl w:ilvl="0">
      <w:lvlJc w:val="left"/>
      <w:lvlText w:val="%1)"/>
      <w:numFmt w:val="lowerRoman"/>
      <w:start w:val="1"/>
    </w:lvl>
  </w:abstractNum>
  <w:abstractNum w:abstractNumId="13">
    <w:nsid w:val="3DC240FB"/>
    <w:multiLevelType w:val="hybridMultilevel"/>
    <w:lvl w:ilvl="0">
      <w:lvlJc w:val="left"/>
      <w:lvlText w:val="%1."/>
      <w:numFmt w:val="upperLetter"/>
      <w:start w:val="35"/>
    </w:lvl>
  </w:abstractNum>
  <w:abstractNum w:abstractNumId="14">
    <w:nsid w:val="1BA026FA"/>
    <w:multiLevelType w:val="hybridMultilevel"/>
    <w:lvl w:ilvl="0">
      <w:lvlJc w:val="left"/>
      <w:lvlText w:val="%1."/>
      <w:numFmt w:val="upperLetter"/>
      <w:start w:val="1"/>
    </w:lvl>
  </w:abstractNum>
  <w:abstractNum w:abstractNumId="15">
    <w:nsid w:val="79A1DEAA"/>
    <w:multiLevelType w:val="hybridMultilevel"/>
    <w:lvl w:ilvl="0">
      <w:lvlJc w:val="left"/>
      <w:lvlText w:val="7"/>
      <w:numFmt w:val="bullet"/>
      <w:start w:val="1"/>
    </w:lvl>
  </w:abstractNum>
  <w:abstractNum w:abstractNumId="16">
    <w:nsid w:val="75C6C33A"/>
    <w:multiLevelType w:val="hybridMultilevel"/>
    <w:lvl w:ilvl="0">
      <w:lvlJc w:val="left"/>
      <w:lvlText w:val="8"/>
      <w:numFmt w:val="bullet"/>
      <w:start w:val="1"/>
    </w:lvl>
  </w:abstractNum>
  <w:abstractNum w:abstractNumId="17">
    <w:nsid w:val="12E685FB"/>
    <w:multiLevelType w:val="hybridMultilevel"/>
    <w:lvl w:ilvl="0">
      <w:lvlJc w:val="left"/>
      <w:lvlText w:val="%1."/>
      <w:numFmt w:val="upperLetter"/>
      <w:start w:val="2"/>
    </w:lvl>
  </w:abstractNum>
  <w:abstractNum w:abstractNumId="18">
    <w:nsid w:val="70C6A529"/>
    <w:multiLevelType w:val="hybridMultilevel"/>
    <w:lvl w:ilvl="0">
      <w:lvlJc w:val="left"/>
      <w:lvlText w:val="%1."/>
      <w:numFmt w:val="upperLetter"/>
      <w:start w:val="3"/>
    </w:lvl>
  </w:abstractNum>
  <w:abstractNum w:abstractNumId="19">
    <w:nsid w:val="520EEDD1"/>
    <w:multiLevelType w:val="hybridMultilevel"/>
    <w:lvl w:ilvl="0">
      <w:lvlJc w:val="left"/>
      <w:lvlText w:val="%1."/>
      <w:numFmt w:val="upperLetter"/>
      <w:start w:val="4"/>
    </w:lvl>
  </w:abstractNum>
  <w:abstractNum w:abstractNumId="20">
    <w:nsid w:val="374A3FE6"/>
    <w:multiLevelType w:val="hybridMultilevel"/>
    <w:lvl w:ilvl="0">
      <w:lvlJc w:val="left"/>
      <w:lvlText w:val="%1."/>
      <w:numFmt w:val="upperLetter"/>
      <w:start w:val="61"/>
    </w:lvl>
  </w:abstractNum>
  <w:abstractNum w:abstractNumId="21">
    <w:nsid w:val="4F4EF005"/>
    <w:multiLevelType w:val="hybridMultilevel"/>
    <w:lvl w:ilvl="0">
      <w:lvlJc w:val="left"/>
      <w:lvlText w:val="%1."/>
      <w:numFmt w:val="upperLetter"/>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lowerLetter"/>
      <w:start w:val="2"/>
    </w:lvl>
  </w:abstractNum>
  <w:abstractNum w:abstractNumId="25">
    <w:nsid w:val="39386575"/>
    <w:multiLevelType w:val="hybridMultilevel"/>
    <w:lvl w:ilvl="0">
      <w:lvlJc w:val="left"/>
      <w:lvlText w:val="9"/>
      <w:numFmt w:val="bullet"/>
      <w:start w:val="1"/>
    </w:lvl>
  </w:abstractNum>
  <w:abstractNum w:abstractNumId="26">
    <w:nsid w:val="1CF10FD8"/>
    <w:multiLevelType w:val="hybridMultilevel"/>
    <w:lvl w:ilvl="0">
      <w:lvlJc w:val="left"/>
      <w:lvlText w:val="(%1)"/>
      <w:numFmt w:val="lowerLetter"/>
      <w:start w:val="3"/>
    </w:lvl>
  </w:abstractNum>
  <w:abstractNum w:abstractNumId="27">
    <w:nsid w:val="180115BE"/>
    <w:multiLevelType w:val="hybridMultilevel"/>
    <w:lvl w:ilvl="0">
      <w:lvlJc w:val="left"/>
      <w:lvlText w:val="%1"/>
      <w:numFmt w:val="decimal"/>
      <w:start w:val="10"/>
    </w:lvl>
  </w:abstractNum>
  <w:abstractNum w:abstractNumId="28">
    <w:nsid w:val="235BA861"/>
    <w:multiLevelType w:val="hybridMultilevel"/>
    <w:lvl w:ilvl="0">
      <w:lvlJc w:val="left"/>
      <w:lvlText w:val="%1."/>
      <w:numFmt w:val="decimal"/>
      <w:start w:val="2"/>
    </w:lvl>
  </w:abstractNum>
  <w:abstractNum w:abstractNumId="29">
    <w:nsid w:val="47398C89"/>
    <w:multiLevelType w:val="hybridMultilevel"/>
    <w:lvl w:ilvl="0">
      <w:lvlJc w:val="left"/>
      <w:lvlText w:val="%1."/>
      <w:numFmt w:val="decimal"/>
      <w:start w:val="3"/>
    </w:lvl>
  </w:abstractNum>
  <w:abstractNum w:abstractNumId="30">
    <w:nsid w:val="354FE9F9"/>
    <w:multiLevelType w:val="hybridMultilevel"/>
    <w:lvl w:ilvl="0">
      <w:lvlJc w:val="left"/>
      <w:lvlText w:val="(%1)"/>
      <w:numFmt w:val="lowerLetter"/>
      <w:start w:val="1"/>
    </w:lvl>
  </w:abstractNum>
  <w:abstractNum w:abstractNumId="31">
    <w:nsid w:val="15B5AF5C"/>
    <w:multiLevelType w:val="hybridMultilevel"/>
    <w:lvl w:ilvl="0">
      <w:lvlJc w:val="left"/>
      <w:lvlText w:val="%1"/>
      <w:numFmt w:val="decimal"/>
      <w:start w:val="12"/>
    </w:lvl>
  </w:abstractNum>
  <w:abstractNum w:abstractNumId="32">
    <w:nsid w:val="741226BB"/>
    <w:multiLevelType w:val="hybridMultilevel"/>
    <w:lvl w:ilvl="0">
      <w:lvlJc w:val="left"/>
      <w:lvlText w:val="(%1)"/>
      <w:numFmt w:val="lowerLetter"/>
      <w:start w:val="2"/>
    </w:lvl>
  </w:abstractNum>
  <w:abstractNum w:abstractNumId="33">
    <w:nsid w:val="D34B6A8"/>
    <w:multiLevelType w:val="hybridMultilevel"/>
    <w:lvl w:ilvl="0">
      <w:lvlJc w:val="left"/>
      <w:lvlText w:val="%1."/>
      <w:numFmt w:val="decimal"/>
      <w:start w:val="4"/>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2"/>
    </w:lvl>
  </w:abstractNum>
  <w:abstractNum w:abstractNumId="36">
    <w:nsid w:val="61574095"/>
    <w:multiLevelType w:val="hybridMultilevel"/>
    <w:lvl w:ilvl="0">
      <w:lvlJc w:val="left"/>
      <w:lvlText w:val="%1."/>
      <w:numFmt w:val="decimal"/>
      <w:start w:val="5"/>
    </w:lvl>
  </w:abstractNum>
  <w:abstractNum w:abstractNumId="37">
    <w:nsid w:val="7E0C57B1"/>
    <w:multiLevelType w:val="hybridMultilevel"/>
    <w:lvl w:ilvl="0">
      <w:lvlJc w:val="left"/>
      <w:lvlText w:val="%1"/>
      <w:numFmt w:val="decimal"/>
      <w:start w:val="13"/>
    </w:lvl>
  </w:abstractNum>
  <w:abstractNum w:abstractNumId="38">
    <w:nsid w:val="77AE35EB"/>
    <w:multiLevelType w:val="hybridMultilevel"/>
    <w:lvl w:ilvl="0">
      <w:lvlJc w:val="left"/>
      <w:lvlText w:val="%1."/>
      <w:numFmt w:val="upperLetter"/>
      <w:start w:val="2"/>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1"/>
      <w:numFmt w:val="decimal"/>
      <w:start w:val="16"/>
    </w:lvl>
  </w:abstractNum>
  <w:abstractNum w:abstractNumId="42">
    <w:nsid w:val="2F305DEF"/>
    <w:multiLevelType w:val="hybridMultilevel"/>
    <w:lvl w:ilvl="0">
      <w:lvlJc w:val="left"/>
      <w:lvlText w:val="%1."/>
      <w:numFmt w:val="decimal"/>
      <w:start w:val="2"/>
    </w:lvl>
  </w:abstractNum>
  <w:abstractNum w:abstractNumId="43">
    <w:nsid w:val="25A70BF7"/>
    <w:multiLevelType w:val="hybridMultilevel"/>
    <w:lvl w:ilvl="0">
      <w:lvlJc w:val="left"/>
      <w:lvlText w:val="%1."/>
      <w:numFmt w:val="upperLetter"/>
      <w:start w:val="3"/>
    </w:lvl>
  </w:abstractNum>
  <w:abstractNum w:abstractNumId="44">
    <w:nsid w:val="1DBABF00"/>
    <w:multiLevelType w:val="hybridMultilevel"/>
    <w:lvl w:ilvl="0">
      <w:lvlJc w:val="left"/>
      <w:lvlText w:val="%1"/>
      <w:numFmt w:val="decimal"/>
      <w:start w:val="18"/>
    </w:lvl>
  </w:abstractNum>
  <w:abstractNum w:abstractNumId="45">
    <w:nsid w:val="4AD084E9"/>
    <w:multiLevelType w:val="hybridMultilevel"/>
    <w:lvl w:ilvl="0">
      <w:lvlJc w:val="left"/>
      <w:lvlText w:val="%1."/>
      <w:numFmt w:val="upperLetter"/>
      <w:start w:val="4"/>
    </w:lvl>
  </w:abstractNum>
  <w:abstractNum w:abstractNumId="46">
    <w:nsid w:val="1F48EAA1"/>
    <w:multiLevelType w:val="hybridMultilevel"/>
    <w:lvl w:ilvl="0">
      <w:lvlJc w:val="left"/>
      <w:lvlText w:val="%1"/>
      <w:numFmt w:val="decimal"/>
      <w:start w:val="21"/>
    </w:lvl>
  </w:abstractNum>
  <w:abstractNum w:abstractNumId="47">
    <w:nsid w:val="1381823A"/>
    <w:multiLevelType w:val="hybridMultilevel"/>
    <w:lvl w:ilvl="0">
      <w:lvlJc w:val="left"/>
      <w:lvlText w:val="%1."/>
      <w:numFmt w:val="upperLetter"/>
      <w:start w:val="1"/>
    </w:lvl>
  </w:abstractNum>
  <w:abstractNum w:abstractNumId="48">
    <w:nsid w:val="5DB70AE5"/>
    <w:multiLevelType w:val="hybridMultilevel"/>
    <w:lvl w:ilvl="0">
      <w:lvlJc w:val="left"/>
      <w:lvlText w:val="(%1)"/>
      <w:numFmt w:val="lowerRoman"/>
      <w:start w:val="2"/>
    </w:lvl>
  </w:abstractNum>
  <w:abstractNum w:abstractNumId="49">
    <w:nsid w:val="100F8FCA"/>
    <w:multiLevelType w:val="hybridMultilevel"/>
    <w:lvl w:ilvl="0">
      <w:lvlJc w:val="left"/>
      <w:lvlText w:val="%1."/>
      <w:numFmt w:val="upperLetter"/>
      <w:start w:val="2"/>
    </w:lvl>
  </w:abstractNum>
  <w:abstractNum w:abstractNumId="50">
    <w:nsid w:val="6590700B"/>
    <w:multiLevelType w:val="hybridMultilevel"/>
    <w:lvl w:ilvl="0">
      <w:lvlJc w:val="left"/>
      <w:lvlText w:val="(%1)"/>
      <w:numFmt w:val="decimal"/>
      <w:start w:val="4"/>
    </w:lvl>
  </w:abstractNum>
  <w:abstractNum w:abstractNumId="51">
    <w:nsid w:val="15014ACB"/>
    <w:multiLevelType w:val="hybridMultilevel"/>
    <w:lvl w:ilvl="0">
      <w:lvlJc w:val="left"/>
      <w:lvlText w:val="%1."/>
      <w:numFmt w:val="upperLetter"/>
      <w:start w:val="22"/>
    </w:lvl>
  </w:abstractNum>
  <w:abstractNum w:abstractNumId="52">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3">
    <w:nsid w:val="98A314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54">
    <w:nsid w:val="799D0247"/>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55">
    <w:nsid w:val="6B94764"/>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56">
    <w:nsid w:val="42C296BD"/>
    <w:multiLevelType w:val="hybridMultilevel"/>
    <w:lvl w:ilvl="0">
      <w:lvlJc w:val="left"/>
      <w:lvlText w:val="%1."/>
      <w:numFmt w:val="decimal"/>
      <w:start w:val="4"/>
    </w:lvl>
  </w:abstractNum>
  <w:abstractNum w:abstractNumId="57">
    <w:nsid w:val="168E121F"/>
    <w:multiLevelType w:val="hybridMultilevel"/>
    <w:lvl w:ilvl="0">
      <w:lvlJc w:val="left"/>
      <w:lvlText w:val="%1"/>
      <w:numFmt w:val="decimal"/>
      <w:start w:val="22"/>
    </w:lvl>
  </w:abstractNum>
  <w:abstractNum w:abstractNumId="58">
    <w:nsid w:val="1EBA5D23"/>
    <w:multiLevelType w:val="hybridMultilevel"/>
    <w:lvl w:ilvl="0">
      <w:lvlJc w:val="left"/>
      <w:lvlText w:val="%1."/>
      <w:numFmt w:val="decimal"/>
      <w:start w:val="5"/>
    </w:lvl>
  </w:abstractNum>
  <w:abstractNum w:abstractNumId="59">
    <w:nsid w:val="661E3F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0">
    <w:nsid w:val="5DC79EA8"/>
    <w:multiLevelType w:val="hybridMultilevel"/>
    <w:lvl w:ilvl="0">
      <w:lvlJc w:val="left"/>
      <w:lvlText w:val="%1"/>
      <w:numFmt w:val="decimal"/>
      <w:start w:val="24"/>
    </w:lvl>
  </w:abstractNum>
  <w:abstractNum w:abstractNumId="61">
    <w:nsid w:val="540A471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2">
    <w:nsid w:val="7BD3EE7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3">
    <w:nsid w:val="51D9C564"/>
    <w:multiLevelType w:val="hybridMultilevel"/>
    <w:lvl w:ilvl="0">
      <w:lvlJc w:val="left"/>
      <w:lvlText w:val="%1"/>
      <w:numFmt w:val="decimal"/>
      <w:start w:val="26"/>
    </w:lvl>
  </w:abstractNum>
  <w:abstractNum w:abstractNumId="64">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65">
    <w:nsid w:val="BF72B1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66">
    <w:nsid w:val="11447B73"/>
    <w:multiLevelType w:val="hybridMultilevel"/>
    <w:lvl w:ilvl="0">
      <w:lvlJc w:val="left"/>
      <w:lvlText w:val="%1"/>
      <w:numFmt w:val="lowerLetter"/>
      <w:start w:val="1"/>
    </w:lvl>
    <w:lvl w:ilvl="1">
      <w:lvlJc w:val="left"/>
      <w:lvlText w:val="(%2)"/>
      <w:numFmt w:val="lowerLetter"/>
      <w:start w:val="35"/>
    </w:lvl>
  </w:abstractNum>
  <w:abstractNum w:abstractNumId="67">
    <w:nsid w:val="42963E5A"/>
    <w:multiLevelType w:val="hybridMultilevel"/>
    <w:lvl w:ilvl="0">
      <w:lvlJc w:val="left"/>
      <w:lvlText w:val="(%1)"/>
      <w:numFmt w:val="lowerLetter"/>
      <w:start w:val="2"/>
    </w:lvl>
    <w:lvl w:ilvl="1">
      <w:lvlJc w:val="left"/>
      <w:lvlText w:val="(%2)"/>
      <w:numFmt w:val="lowerLetter"/>
      <w:start w:val="9"/>
    </w:lvl>
  </w:abstractNum>
  <w:abstractNum w:abstractNumId="68">
    <w:nsid w:val="A0382C5"/>
    <w:multiLevelType w:val="hybridMultilevel"/>
    <w:lvl w:ilvl="0">
      <w:lvlJc w:val="left"/>
      <w:lvlText w:val="%1"/>
      <w:numFmt w:val="lowerLetter"/>
      <w:start w:val="1"/>
    </w:lvl>
    <w:lvl w:ilvl="1">
      <w:lvlJc w:val="left"/>
      <w:lvlText w:val="(%2)"/>
      <w:numFmt w:val="lowerLetter"/>
      <w:start w:val="35"/>
    </w:lvl>
  </w:abstractNum>
  <w:abstractNum w:abstractNumId="69">
    <w:nsid w:val="8F2B15E"/>
    <w:multiLevelType w:val="hybridMultilevel"/>
    <w:lvl w:ilvl="0">
      <w:lvlJc w:val="left"/>
      <w:lvlText w:val="(%1)"/>
      <w:numFmt w:val="lowerLetter"/>
      <w:start w:val="3"/>
    </w:lvl>
    <w:lvl w:ilvl="1">
      <w:lvlJc w:val="left"/>
      <w:lvlText w:val="%2"/>
      <w:numFmt w:val="lowerLetter"/>
      <w:start w:val="1"/>
    </w:lvl>
  </w:abstractNum>
  <w:abstractNum w:abstractNumId="70">
    <w:nsid w:val="1A32234B"/>
    <w:multiLevelType w:val="hybridMultilevel"/>
    <w:lvl w:ilvl="0">
      <w:lvlJc w:val="left"/>
      <w:lvlText w:val="%1"/>
      <w:numFmt w:val="decimal"/>
      <w:start w:val="27"/>
    </w:lvl>
  </w:abstractNum>
  <w:abstractNum w:abstractNumId="71">
    <w:nsid w:val="3B0FD379"/>
    <w:multiLevelType w:val="hybridMultilevel"/>
    <w:lvl w:ilvl="0">
      <w:lvlJc w:val="left"/>
      <w:lvlText w:val="(%1)"/>
      <w:numFmt w:val="lowerLetter"/>
      <w:start w:val="4"/>
    </w:lvl>
    <w:lvl w:ilvl="1">
      <w:lvlJc w:val="left"/>
      <w:lvlText w:val="(%2)"/>
      <w:numFmt w:val="lowerRoman"/>
      <w:start w:val="1"/>
    </w:lvl>
  </w:abstractNum>
  <w:abstractNum w:abstractNumId="72">
    <w:nsid w:val="68EB2F6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3">
    <w:nsid w:val="496281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4">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5">
    <w:nsid w:val="6A5EE6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6">
    <w:nsid w:val="1433062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7">
    <w:nsid w:val="7FFFCA11"/>
    <w:multiLevelType w:val="hybridMultilevel"/>
    <w:lvl w:ilvl="0">
      <w:lvlJc w:val="left"/>
      <w:lvlText w:val="%1"/>
      <w:numFmt w:val="decimal"/>
      <w:start w:val="1"/>
    </w:lvl>
    <w:lvl w:ilvl="1">
      <w:lvlJc w:val="left"/>
      <w:lvlText w:val="(%2)"/>
      <w:numFmt w:val="lowerLetter"/>
      <w:start w:val="4"/>
    </w:lvl>
  </w:abstractNum>
  <w:abstractNum w:abstractNumId="78">
    <w:nsid w:val="1A27709E"/>
    <w:multiLevelType w:val="hybridMultilevel"/>
    <w:lvl w:ilvl="0">
      <w:lvlJc w:val="left"/>
      <w:lvlText w:val="%1."/>
      <w:numFmt w:val="decimal"/>
      <w:start w:val="11"/>
    </w:lvl>
    <w:lvl w:ilvl="1">
      <w:lvlJc w:val="left"/>
      <w:lvlText w:val="%2"/>
      <w:numFmt w:val="lowerLetter"/>
      <w:start w:val="1"/>
    </w:lvl>
  </w:abstractNum>
  <w:abstractNum w:abstractNumId="79">
    <w:nsid w:val="71EA1109"/>
    <w:multiLevelType w:val="hybridMultilevel"/>
    <w:lvl w:ilvl="0">
      <w:lvlJc w:val="left"/>
      <w:lvlText w:val="%1."/>
      <w:numFmt w:val="decimal"/>
      <w:start w:val="12"/>
    </w:lvl>
  </w:abstractNum>
  <w:abstractNum w:abstractNumId="80">
    <w:nsid w:val="100F59DC"/>
    <w:multiLevelType w:val="hybridMultilevel"/>
    <w:lvl w:ilvl="0">
      <w:lvlJc w:val="left"/>
      <w:lvlText w:val="%1."/>
      <w:numFmt w:val="decimal"/>
      <w:start w:val="13"/>
    </w:lvl>
  </w:abstractNum>
  <w:abstractNum w:abstractNumId="81">
    <w:nsid w:val="7FB7E0AA"/>
    <w:multiLevelType w:val="hybridMultilevel"/>
    <w:lvl w:ilvl="0">
      <w:lvlJc w:val="left"/>
      <w:lvlText w:val="%1."/>
      <w:numFmt w:val="decimal"/>
      <w:start w:val="14"/>
    </w:lvl>
  </w:abstractNum>
  <w:abstractNum w:abstractNumId="82">
    <w:nsid w:val="6EB5BD4"/>
    <w:multiLevelType w:val="hybridMultilevel"/>
    <w:lvl w:ilvl="0">
      <w:lvlJc w:val="left"/>
      <w:lvlText w:val="(%1)"/>
      <w:numFmt w:val="lowerRoman"/>
      <w:start w:val="1"/>
    </w:lvl>
  </w:abstractNum>
  <w:abstractNum w:abstractNumId="83">
    <w:nsid w:val="6F6DD9AC"/>
    <w:multiLevelType w:val="hybridMultilevel"/>
    <w:lvl w:ilvl="0">
      <w:lvlJc w:val="left"/>
      <w:lvlText w:val="%1."/>
      <w:numFmt w:val="decimal"/>
      <w:start w:val="15"/>
    </w:lvl>
  </w:abstractNum>
  <w:abstractNum w:abstractNumId="84">
    <w:nsid w:val="94211F2"/>
    <w:multiLevelType w:val="hybridMultilevel"/>
    <w:lvl w:ilvl="0">
      <w:lvlJc w:val="left"/>
      <w:lvlText w:val="%1"/>
      <w:numFmt w:val="decimal"/>
      <w:start w:val="28"/>
    </w:lvl>
  </w:abstractNum>
  <w:abstractNum w:abstractNumId="85">
    <w:nsid w:val="885E1B"/>
    <w:multiLevelType w:val="hybridMultilevel"/>
    <w:lvl w:ilvl="0">
      <w:lvlJc w:val="left"/>
      <w:lvlText w:val="%1."/>
      <w:numFmt w:val="upperLetter"/>
      <w:start w:val="1"/>
    </w:lvl>
  </w:abstractNum>
  <w:abstractNum w:abstractNumId="86">
    <w:nsid w:val="76272110"/>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2022-01-28T15:00:30Z</dcterms:created>
  <dcterms:modified xsi:type="dcterms:W3CDTF">2022-01-28T15:00:30Z</dcterms:modified>
</cp:coreProperties>
</file>