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December 15, 2016.</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Act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43180</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69215</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6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ind w:left="4520"/>
        <w:spacing w:after="0" w:line="207" w:lineRule="exact"/>
        <w:tabs>
          <w:tab w:leader="none" w:pos="6720" w:val="left"/>
        </w:tabs>
        <w:rPr>
          <w:sz w:val="20"/>
          <w:szCs w:val="20"/>
          <w:color w:val="auto"/>
        </w:rPr>
      </w:pPr>
      <w:r>
        <w:rPr>
          <w:rFonts w:ascii="Arial" w:cs="Arial" w:eastAsia="Arial" w:hAnsi="Arial"/>
          <w:sz w:val="18"/>
          <w:szCs w:val="18"/>
          <w:b w:val="1"/>
          <w:bCs w:val="1"/>
          <w:color w:val="auto"/>
        </w:rPr>
        <w:t>Post-Effective Amendment</w:t>
      </w:r>
      <w:r>
        <w:rPr>
          <w:sz w:val="20"/>
          <w:szCs w:val="20"/>
          <w:color w:val="auto"/>
        </w:rPr>
        <w:tab/>
      </w:r>
      <w:r>
        <w:rPr>
          <w:rFonts w:ascii="MS PGothic" w:cs="MS PGothic" w:eastAsia="MS PGothic" w:hAnsi="MS PGothic"/>
          <w:sz w:val="16"/>
          <w:szCs w:val="16"/>
          <w:color w:val="auto"/>
        </w:rPr>
        <w:t>☐</w:t>
      </w:r>
    </w:p>
    <w:p>
      <w:pPr>
        <w:spacing w:after="0" w:line="17" w:lineRule="exact"/>
        <w:rPr>
          <w:sz w:val="24"/>
          <w:szCs w:val="24"/>
          <w:color w:val="auto"/>
        </w:rPr>
      </w:pPr>
    </w:p>
    <w:p>
      <w:pPr>
        <w:ind w:left="4540"/>
        <w:spacing w:after="0" w:line="207" w:lineRule="exact"/>
        <w:tabs>
          <w:tab w:leader="none" w:pos="6700" w:val="left"/>
        </w:tabs>
        <w:rPr>
          <w:sz w:val="20"/>
          <w:szCs w:val="20"/>
          <w:color w:val="auto"/>
        </w:rPr>
      </w:pPr>
      <w:r>
        <w:rPr>
          <w:rFonts w:ascii="Arial" w:cs="Arial" w:eastAsia="Arial" w:hAnsi="Arial"/>
          <w:sz w:val="18"/>
          <w:szCs w:val="18"/>
          <w:b w:val="1"/>
          <w:bCs w:val="1"/>
          <w:color w:val="auto"/>
        </w:rPr>
        <w:t>Pre-Effective Amendment</w:t>
      </w:r>
      <w:r>
        <w:rPr>
          <w:sz w:val="20"/>
          <w:szCs w:val="20"/>
          <w:color w:val="auto"/>
        </w:rPr>
        <w:tab/>
      </w:r>
      <w:r>
        <w:rPr>
          <w:rFonts w:ascii="MS PGothic" w:cs="MS PGothic" w:eastAsia="MS PGothic" w:hAnsi="MS PGothic"/>
          <w:sz w:val="16"/>
          <w:szCs w:val="16"/>
          <w:color w:val="auto"/>
        </w:rPr>
        <w:t>☐</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128905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4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590 Madison Avenue</w:t>
      </w:r>
    </w:p>
    <w:p>
      <w:pPr>
        <w:jc w:val="center"/>
        <w:ind w:right="-99"/>
        <w:spacing w:after="0" w:line="223"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(212) 905-1000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Arthur H. Penn</w:t>
      </w:r>
    </w:p>
    <w:p>
      <w:pPr>
        <w:jc w:val="center"/>
        <w:ind w:right="-99"/>
        <w:spacing w:after="0" w:line="223" w:lineRule="auto"/>
        <w:rPr>
          <w:sz w:val="20"/>
          <w:szCs w:val="20"/>
          <w:color w:val="auto"/>
        </w:rPr>
      </w:pPr>
      <w:r>
        <w:rPr>
          <w:rFonts w:ascii="Arial" w:cs="Arial" w:eastAsia="Arial" w:hAnsi="Arial"/>
          <w:sz w:val="14"/>
          <w:szCs w:val="14"/>
          <w:b w:val="1"/>
          <w:bCs w:val="1"/>
          <w:color w:val="auto"/>
        </w:rPr>
        <w:t>c/o PennantPark Floating Rate Capital Ltd.</w:t>
      </w:r>
    </w:p>
    <w:p>
      <w:pPr>
        <w:jc w:val="center"/>
        <w:ind w:right="-99"/>
        <w:spacing w:after="0" w:line="222" w:lineRule="auto"/>
        <w:rPr>
          <w:sz w:val="20"/>
          <w:szCs w:val="20"/>
          <w:color w:val="auto"/>
        </w:rPr>
      </w:pPr>
      <w:r>
        <w:rPr>
          <w:rFonts w:ascii="Arial" w:cs="Arial" w:eastAsia="Arial" w:hAnsi="Arial"/>
          <w:sz w:val="14"/>
          <w:szCs w:val="14"/>
          <w:b w:val="1"/>
          <w:bCs w:val="1"/>
          <w:color w:val="auto"/>
        </w:rPr>
        <w:t>590 Madison Avenue</w:t>
      </w:r>
    </w:p>
    <w:p>
      <w:pPr>
        <w:jc w:val="center"/>
        <w:ind w:right="-99"/>
        <w:spacing w:after="0" w:line="221"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jc w:val="center"/>
        <w:ind w:right="-99"/>
        <w:spacing w:after="0" w:line="221" w:lineRule="auto"/>
        <w:rPr>
          <w:sz w:val="20"/>
          <w:szCs w:val="20"/>
          <w:color w:val="auto"/>
        </w:rPr>
      </w:pPr>
      <w:r>
        <w:rPr>
          <w:rFonts w:ascii="Arial" w:cs="Arial" w:eastAsia="Arial" w:hAnsi="Arial"/>
          <w:sz w:val="14"/>
          <w:szCs w:val="14"/>
          <w:b w:val="1"/>
          <w:bCs w:val="1"/>
          <w:color w:val="auto"/>
        </w:rPr>
        <w:t>Thomas Friedmann</w:t>
      </w:r>
    </w:p>
    <w:p>
      <w:pPr>
        <w:jc w:val="center"/>
        <w:ind w:right="-99"/>
        <w:spacing w:after="0" w:line="221" w:lineRule="auto"/>
        <w:rPr>
          <w:sz w:val="20"/>
          <w:szCs w:val="20"/>
          <w:color w:val="auto"/>
        </w:rPr>
      </w:pPr>
      <w:r>
        <w:rPr>
          <w:rFonts w:ascii="Arial" w:cs="Arial" w:eastAsia="Arial" w:hAnsi="Arial"/>
          <w:sz w:val="14"/>
          <w:szCs w:val="14"/>
          <w:b w:val="1"/>
          <w:bCs w:val="1"/>
          <w:color w:val="auto"/>
        </w:rPr>
        <w:t>David Harris</w:t>
      </w:r>
    </w:p>
    <w:p>
      <w:pPr>
        <w:jc w:val="center"/>
        <w:ind w:right="-99"/>
        <w:spacing w:after="0" w:line="222" w:lineRule="auto"/>
        <w:rPr>
          <w:sz w:val="20"/>
          <w:szCs w:val="20"/>
          <w:color w:val="auto"/>
        </w:rPr>
      </w:pPr>
      <w:r>
        <w:rPr>
          <w:rFonts w:ascii="Arial" w:cs="Arial" w:eastAsia="Arial" w:hAnsi="Arial"/>
          <w:sz w:val="14"/>
          <w:szCs w:val="14"/>
          <w:b w:val="1"/>
          <w:bCs w:val="1"/>
          <w:color w:val="auto"/>
        </w:rPr>
        <w:t>William Tuttle</w:t>
      </w:r>
    </w:p>
    <w:p>
      <w:pPr>
        <w:jc w:val="center"/>
        <w:ind w:right="-99"/>
        <w:spacing w:after="0" w:line="221" w:lineRule="auto"/>
        <w:rPr>
          <w:sz w:val="20"/>
          <w:szCs w:val="20"/>
          <w:color w:val="auto"/>
        </w:rPr>
      </w:pPr>
      <w:r>
        <w:rPr>
          <w:rFonts w:ascii="Arial" w:cs="Arial" w:eastAsia="Arial" w:hAnsi="Arial"/>
          <w:sz w:val="14"/>
          <w:szCs w:val="14"/>
          <w:b w:val="1"/>
          <w:bCs w:val="1"/>
          <w:color w:val="auto"/>
        </w:rPr>
        <w:t>Dechert LLP</w:t>
      </w:r>
    </w:p>
    <w:p>
      <w:pPr>
        <w:jc w:val="center"/>
        <w:ind w:right="-99"/>
        <w:spacing w:after="0" w:line="222" w:lineRule="auto"/>
        <w:rPr>
          <w:sz w:val="20"/>
          <w:szCs w:val="20"/>
          <w:color w:val="auto"/>
        </w:rPr>
      </w:pPr>
      <w:r>
        <w:rPr>
          <w:rFonts w:ascii="Arial" w:cs="Arial" w:eastAsia="Arial" w:hAnsi="Arial"/>
          <w:sz w:val="14"/>
          <w:szCs w:val="14"/>
          <w:b w:val="1"/>
          <w:bCs w:val="1"/>
          <w:color w:val="auto"/>
        </w:rPr>
        <w:t>1900 K Street, N.W.</w:t>
      </w:r>
    </w:p>
    <w:p>
      <w:pPr>
        <w:jc w:val="center"/>
        <w:ind w:right="-99"/>
        <w:spacing w:after="0" w:line="221" w:lineRule="auto"/>
        <w:rPr>
          <w:sz w:val="20"/>
          <w:szCs w:val="20"/>
          <w:color w:val="auto"/>
        </w:rPr>
      </w:pPr>
      <w:r>
        <w:rPr>
          <w:rFonts w:ascii="Arial" w:cs="Arial" w:eastAsia="Arial" w:hAnsi="Arial"/>
          <w:sz w:val="14"/>
          <w:szCs w:val="14"/>
          <w:b w:val="1"/>
          <w:bCs w:val="1"/>
          <w:color w:val="auto"/>
        </w:rPr>
        <w:t>Washington, DC 20006-1110</w:t>
      </w:r>
    </w:p>
    <w:p>
      <w:pPr>
        <w:jc w:val="center"/>
        <w:ind w:right="-99"/>
        <w:spacing w:after="0"/>
        <w:rPr>
          <w:sz w:val="20"/>
          <w:szCs w:val="20"/>
          <w:color w:val="auto"/>
        </w:rPr>
      </w:pPr>
      <w:r>
        <w:rPr>
          <w:rFonts w:ascii="Arial" w:cs="Arial" w:eastAsia="Arial" w:hAnsi="Arial"/>
          <w:sz w:val="14"/>
          <w:szCs w:val="14"/>
          <w:b w:val="1"/>
          <w:bCs w:val="1"/>
          <w:color w:val="auto"/>
        </w:rPr>
        <w:t>APPROXIMATE DATE OF PROPOSED PUBLIC OFFERING:</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53" w:lineRule="exact"/>
        <w:rPr>
          <w:sz w:val="24"/>
          <w:szCs w:val="24"/>
          <w:color w:val="auto"/>
        </w:rPr>
      </w:pPr>
    </w:p>
    <w:p>
      <w:pPr>
        <w:ind w:firstLine="456"/>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620" w:hanging="15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960" w:type="dxa"/>
            <w:vAlign w:val="bottom"/>
            <w:tcBorders>
              <w:top w:val="single" w:sz="8" w:color="auto"/>
              <w:left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tcPr>
          <w:p>
            <w:pPr>
              <w:spacing w:after="0"/>
              <w:rPr>
                <w:sz w:val="12"/>
                <w:szCs w:val="12"/>
                <w:color w:val="auto"/>
              </w:rPr>
            </w:pPr>
          </w:p>
        </w:tc>
        <w:tc>
          <w:tcPr>
            <w:tcW w:w="1860" w:type="dxa"/>
            <w:vAlign w:val="bottom"/>
            <w:tcBorders>
              <w:top w:val="single" w:sz="8" w:color="auto"/>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300" w:type="dxa"/>
            <w:vAlign w:val="bottom"/>
            <w:tcBorders>
              <w:top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jc w:val="center"/>
              <w:ind w:right="237"/>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320" w:type="dxa"/>
            <w:vAlign w:val="bottom"/>
            <w:tcBorders>
              <w:top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r>
      <w:tr>
        <w:trPr>
          <w:trHeight w:val="148"/>
        </w:trPr>
        <w:tc>
          <w:tcPr>
            <w:tcW w:w="2960" w:type="dxa"/>
            <w:vAlign w:val="bottom"/>
            <w:tcBorders>
              <w:left w:val="single" w:sz="8" w:color="auto"/>
              <w:right w:val="single" w:sz="8" w:color="auto"/>
            </w:tcBorders>
          </w:tcPr>
          <w:p>
            <w:pPr>
              <w:ind w:left="840"/>
              <w:spacing w:after="0" w:line="148" w:lineRule="exact"/>
              <w:rPr>
                <w:sz w:val="20"/>
                <w:szCs w:val="20"/>
                <w:color w:val="auto"/>
              </w:rPr>
            </w:pPr>
            <w:r>
              <w:rPr>
                <w:rFonts w:ascii="Arial" w:cs="Arial" w:eastAsia="Arial" w:hAnsi="Arial"/>
                <w:sz w:val="14"/>
                <w:szCs w:val="14"/>
                <w:b w:val="1"/>
                <w:bCs w:val="1"/>
                <w:color w:val="auto"/>
              </w:rPr>
              <w:t>Title of Securities Being</w:t>
            </w:r>
          </w:p>
        </w:tc>
        <w:tc>
          <w:tcPr>
            <w:tcW w:w="1900" w:type="dxa"/>
            <w:vAlign w:val="bottom"/>
            <w:tcBorders>
              <w:right w:val="single" w:sz="8" w:color="auto"/>
            </w:tcBorders>
          </w:tcPr>
          <w:p>
            <w:pPr>
              <w:jc w:val="right"/>
              <w:ind w:right="412"/>
              <w:spacing w:after="0" w:line="148" w:lineRule="exact"/>
              <w:rPr>
                <w:sz w:val="20"/>
                <w:szCs w:val="20"/>
                <w:color w:val="auto"/>
              </w:rPr>
            </w:pPr>
            <w:r>
              <w:rPr>
                <w:rFonts w:ascii="Arial" w:cs="Arial" w:eastAsia="Arial" w:hAnsi="Arial"/>
                <w:sz w:val="14"/>
                <w:szCs w:val="14"/>
                <w:b w:val="1"/>
                <w:bCs w:val="1"/>
                <w:color w:val="auto"/>
              </w:rPr>
              <w:t>Amount Being</w:t>
            </w:r>
          </w:p>
        </w:tc>
        <w:tc>
          <w:tcPr>
            <w:tcW w:w="1860" w:type="dxa"/>
            <w:vAlign w:val="bottom"/>
            <w:tcBorders>
              <w:right w:val="single" w:sz="8" w:color="auto"/>
            </w:tcBorders>
          </w:tcPr>
          <w:p>
            <w:pPr>
              <w:jc w:val="center"/>
              <w:ind w:left="32"/>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300" w:type="dxa"/>
            <w:vAlign w:val="bottom"/>
          </w:tcPr>
          <w:p>
            <w:pPr>
              <w:spacing w:after="0"/>
              <w:rPr>
                <w:sz w:val="12"/>
                <w:szCs w:val="12"/>
                <w:color w:val="auto"/>
              </w:rPr>
            </w:pPr>
          </w:p>
        </w:tc>
        <w:tc>
          <w:tcPr>
            <w:tcW w:w="1540" w:type="dxa"/>
            <w:vAlign w:val="bottom"/>
            <w:tcBorders>
              <w:right w:val="single" w:sz="8" w:color="auto"/>
            </w:tcBorders>
          </w:tcPr>
          <w:p>
            <w:pPr>
              <w:jc w:val="center"/>
              <w:ind w:right="237"/>
              <w:spacing w:after="0" w:line="148" w:lineRule="exact"/>
              <w:rPr>
                <w:sz w:val="20"/>
                <w:szCs w:val="20"/>
                <w:color w:val="auto"/>
              </w:rPr>
            </w:pPr>
            <w:r>
              <w:rPr>
                <w:rFonts w:ascii="Arial" w:cs="Arial" w:eastAsia="Arial" w:hAnsi="Arial"/>
                <w:sz w:val="14"/>
                <w:szCs w:val="14"/>
                <w:b w:val="1"/>
                <w:bCs w:val="1"/>
                <w:color w:val="auto"/>
                <w:w w:val="86"/>
              </w:rPr>
              <w:t>Aggregate</w:t>
            </w:r>
          </w:p>
        </w:tc>
        <w:tc>
          <w:tcPr>
            <w:tcW w:w="320" w:type="dxa"/>
            <w:vAlign w:val="bottom"/>
          </w:tcPr>
          <w:p>
            <w:pPr>
              <w:spacing w:after="0"/>
              <w:rPr>
                <w:sz w:val="12"/>
                <w:szCs w:val="12"/>
                <w:color w:val="auto"/>
              </w:rPr>
            </w:pPr>
          </w:p>
        </w:tc>
        <w:tc>
          <w:tcPr>
            <w:tcW w:w="1640" w:type="dxa"/>
            <w:vAlign w:val="bottom"/>
            <w:tcBorders>
              <w:right w:val="single" w:sz="8" w:color="auto"/>
            </w:tcBorders>
          </w:tcPr>
          <w:p>
            <w:pPr>
              <w:jc w:val="center"/>
              <w:ind w:right="399"/>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2960" w:type="dxa"/>
            <w:vAlign w:val="bottom"/>
            <w:tcBorders>
              <w:left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4"/>
                <w:szCs w:val="14"/>
                <w:b w:val="1"/>
                <w:bCs w:val="1"/>
                <w:color w:val="auto"/>
              </w:rPr>
              <w:t>Registered</w:t>
            </w:r>
          </w:p>
        </w:tc>
        <w:tc>
          <w:tcPr>
            <w:tcW w:w="1900" w:type="dxa"/>
            <w:vAlign w:val="bottom"/>
            <w:tcBorders>
              <w:bottom w:val="single" w:sz="8" w:color="auto"/>
              <w:right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Registered</w:t>
            </w:r>
          </w:p>
        </w:tc>
        <w:tc>
          <w:tcPr>
            <w:tcW w:w="186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9"/>
              </w:rPr>
              <w:t>Per Unit</w:t>
            </w: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jc w:val="center"/>
              <w:ind w:right="237"/>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ind w:right="379"/>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r>
      <w:tr>
        <w:trPr>
          <w:trHeight w:val="142"/>
        </w:trPr>
        <w:tc>
          <w:tcPr>
            <w:tcW w:w="2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Common Stock, $0.001 par value</w:t>
            </w:r>
            <w:r>
              <w:rPr>
                <w:rFonts w:ascii="Arial" w:cs="Arial" w:eastAsia="Arial" w:hAnsi="Arial"/>
                <w:sz w:val="16"/>
                <w:szCs w:val="16"/>
                <w:color w:val="auto"/>
                <w:vertAlign w:val="superscript"/>
              </w:rPr>
              <w:t>(2)</w:t>
            </w:r>
          </w:p>
        </w:tc>
        <w:tc>
          <w:tcPr>
            <w:tcW w:w="1900" w:type="dxa"/>
            <w:vAlign w:val="bottom"/>
            <w:tcBorders>
              <w:bottom w:val="single" w:sz="8" w:color="auto"/>
              <w:right w:val="single" w:sz="8" w:color="auto"/>
            </w:tcBorders>
          </w:tcPr>
          <w:p>
            <w:pPr>
              <w:jc w:val="right"/>
              <w:ind w:right="1552"/>
              <w:spacing w:after="0" w:line="142"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right w:val="single" w:sz="8" w:color="auto"/>
            </w:tcBorders>
          </w:tcPr>
          <w:p>
            <w:pPr>
              <w:jc w:val="right"/>
              <w:ind w:right="153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right w:val="single" w:sz="8" w:color="auto"/>
            </w:tcBorders>
          </w:tcPr>
          <w:p>
            <w:pPr>
              <w:spacing w:after="0"/>
              <w:rPr>
                <w:sz w:val="12"/>
                <w:szCs w:val="12"/>
                <w:color w:val="auto"/>
              </w:rPr>
            </w:pPr>
          </w:p>
        </w:tc>
      </w:tr>
      <w:tr>
        <w:trPr>
          <w:trHeight w:val="142"/>
        </w:trPr>
        <w:tc>
          <w:tcPr>
            <w:tcW w:w="2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Preferred Stock, $0.001 par value</w:t>
            </w:r>
            <w:r>
              <w:rPr>
                <w:rFonts w:ascii="Arial" w:cs="Arial" w:eastAsia="Arial" w:hAnsi="Arial"/>
                <w:sz w:val="16"/>
                <w:szCs w:val="16"/>
                <w:color w:val="auto"/>
                <w:vertAlign w:val="superscript"/>
              </w:rPr>
              <w:t>(2)</w:t>
            </w:r>
          </w:p>
        </w:tc>
        <w:tc>
          <w:tcPr>
            <w:tcW w:w="190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r>
      <w:tr>
        <w:trPr>
          <w:trHeight w:val="142"/>
        </w:trPr>
        <w:tc>
          <w:tcPr>
            <w:tcW w:w="2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(2)</w:t>
            </w:r>
          </w:p>
        </w:tc>
        <w:tc>
          <w:tcPr>
            <w:tcW w:w="190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r>
      <w:tr>
        <w:trPr>
          <w:trHeight w:val="142"/>
        </w:trPr>
        <w:tc>
          <w:tcPr>
            <w:tcW w:w="2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(3)</w:t>
            </w:r>
          </w:p>
        </w:tc>
        <w:tc>
          <w:tcPr>
            <w:tcW w:w="190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r>
      <w:tr>
        <w:trPr>
          <w:trHeight w:val="142"/>
        </w:trPr>
        <w:tc>
          <w:tcPr>
            <w:tcW w:w="2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(4)</w:t>
            </w:r>
          </w:p>
        </w:tc>
        <w:tc>
          <w:tcPr>
            <w:tcW w:w="190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r>
      <w:tr>
        <w:trPr>
          <w:trHeight w:val="142"/>
        </w:trPr>
        <w:tc>
          <w:tcPr>
            <w:tcW w:w="2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Total</w:t>
            </w:r>
          </w:p>
        </w:tc>
        <w:tc>
          <w:tcPr>
            <w:tcW w:w="1900" w:type="dxa"/>
            <w:vAlign w:val="bottom"/>
            <w:tcBorders>
              <w:bottom w:val="single" w:sz="8" w:color="auto"/>
              <w:right w:val="single" w:sz="8" w:color="auto"/>
            </w:tcBorders>
          </w:tcPr>
          <w:p>
            <w:pPr>
              <w:jc w:val="right"/>
              <w:ind w:right="1552"/>
              <w:spacing w:after="0" w:line="142"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right w:val="single" w:sz="8" w:color="auto"/>
            </w:tcBorders>
          </w:tcPr>
          <w:p>
            <w:pPr>
              <w:jc w:val="right"/>
              <w:ind w:right="153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1"/>
                <w:szCs w:val="11"/>
                <w:color w:val="auto"/>
              </w:rPr>
              <w:t>500,000,000</w:t>
            </w:r>
            <w:r>
              <w:rPr>
                <w:rFonts w:ascii="Arial" w:cs="Arial" w:eastAsia="Arial" w:hAnsi="Arial"/>
                <w:sz w:val="16"/>
                <w:szCs w:val="16"/>
                <w:color w:val="auto"/>
                <w:vertAlign w:val="superscript"/>
              </w:rPr>
              <w:t>(5)</w:t>
            </w: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right w:val="single" w:sz="8" w:color="auto"/>
            </w:tcBorders>
          </w:tcPr>
          <w:p>
            <w:pPr>
              <w:jc w:val="right"/>
              <w:ind w:right="119"/>
              <w:spacing w:after="0" w:line="142" w:lineRule="exact"/>
              <w:rPr>
                <w:sz w:val="20"/>
                <w:szCs w:val="20"/>
                <w:color w:val="auto"/>
              </w:rPr>
            </w:pPr>
            <w:r>
              <w:rPr>
                <w:rFonts w:ascii="Arial" w:cs="Arial" w:eastAsia="Arial" w:hAnsi="Arial"/>
                <w:sz w:val="11"/>
                <w:szCs w:val="11"/>
                <w:color w:val="auto"/>
              </w:rPr>
              <w:t>57,950</w:t>
            </w:r>
            <w:r>
              <w:rPr>
                <w:rFonts w:ascii="Arial" w:cs="Arial" w:eastAsia="Arial" w:hAnsi="Arial"/>
                <w:sz w:val="16"/>
                <w:szCs w:val="16"/>
                <w:color w:val="auto"/>
                <w:vertAlign w:val="superscript"/>
              </w:rPr>
              <w:t>(6)</w:t>
            </w:r>
          </w:p>
        </w:tc>
      </w:tr>
    </w:tbl>
    <w:p>
      <w:pPr>
        <w:spacing w:after="0" w:line="70" w:lineRule="exact"/>
        <w:rPr>
          <w:sz w:val="20"/>
          <w:szCs w:val="20"/>
          <w:color w:val="auto"/>
        </w:rPr>
      </w:pPr>
    </w:p>
    <w:p>
      <w:pPr>
        <w:ind w:left="68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57" w:lineRule="exact"/>
        <w:rPr>
          <w:rFonts w:ascii="Arial" w:cs="Arial" w:eastAsia="Arial" w:hAnsi="Arial"/>
          <w:sz w:val="14"/>
          <w:szCs w:val="14"/>
          <w:color w:val="auto"/>
        </w:rPr>
      </w:pPr>
    </w:p>
    <w:p>
      <w:pPr>
        <w:ind w:left="680" w:right="16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preferred stock or warrants as may be sold, from time to time. Warrants represent rights to purchase common stock, preferred stock or debt securities.</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number of subscription rights as may be sold, from time to time, representing rights to purchase common stock.</w:t>
      </w:r>
    </w:p>
    <w:p>
      <w:pPr>
        <w:spacing w:after="0" w:line="91" w:lineRule="exact"/>
        <w:rPr>
          <w:rFonts w:ascii="Arial" w:cs="Arial" w:eastAsia="Arial" w:hAnsi="Arial"/>
          <w:sz w:val="12"/>
          <w:szCs w:val="12"/>
          <w:color w:val="auto"/>
        </w:rPr>
      </w:pPr>
    </w:p>
    <w:p>
      <w:pPr>
        <w:ind w:left="680" w:right="280" w:hanging="334"/>
        <w:spacing w:after="0" w:line="318" w:lineRule="auto"/>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$500,000,000.</w:t>
      </w:r>
    </w:p>
    <w:p>
      <w:pPr>
        <w:spacing w:after="0" w:line="12" w:lineRule="exact"/>
        <w:rPr>
          <w:rFonts w:ascii="Arial" w:cs="Arial" w:eastAsia="Arial" w:hAnsi="Arial"/>
          <w:sz w:val="12"/>
          <w:szCs w:val="12"/>
          <w:color w:val="auto"/>
        </w:rPr>
      </w:pPr>
    </w:p>
    <w:p>
      <w:pPr>
        <w:ind w:left="680" w:hanging="334"/>
        <w:spacing w:after="0"/>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$500,000,000.</w:t>
      </w:r>
    </w:p>
    <w:p>
      <w:pPr>
        <w:spacing w:after="0" w:line="68"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Calculated pursuant to Rule 457(o) under the Securities Act of 1933, as amended. Pursuant to Rule 415(a)(6) under the Securities Act of 1933, as amended, this registration statement includes</w:t>
      </w:r>
    </w:p>
    <w:p>
      <w:pPr>
        <w:spacing w:after="0" w:line="22" w:lineRule="exact"/>
        <w:rPr>
          <w:rFonts w:ascii="Arial" w:cs="Arial" w:eastAsia="Arial" w:hAnsi="Arial"/>
          <w:sz w:val="12"/>
          <w:szCs w:val="12"/>
          <w:color w:val="auto"/>
        </w:rPr>
      </w:pPr>
    </w:p>
    <w:p>
      <w:pPr>
        <w:ind w:left="680" w:right="20"/>
        <w:spacing w:after="0" w:line="268" w:lineRule="auto"/>
        <w:rPr>
          <w:rFonts w:ascii="Arial" w:cs="Arial" w:eastAsia="Arial" w:hAnsi="Arial"/>
          <w:sz w:val="12"/>
          <w:szCs w:val="12"/>
          <w:color w:val="auto"/>
        </w:rPr>
      </w:pPr>
      <w:r>
        <w:rPr>
          <w:rFonts w:ascii="Arial" w:cs="Arial" w:eastAsia="Arial" w:hAnsi="Arial"/>
          <w:sz w:val="12"/>
          <w:szCs w:val="12"/>
          <w:color w:val="auto"/>
        </w:rPr>
        <w:t>$500,000,000 of the $800,000,000 of unsold securities of the registrant that have been previously registered on the Registration Statement on Form N-2 (File No. 333-190602) originally filed by the registrant on August 13, 2013 and most recently declared effective on January 30, 2014 (the “prior registration statement”). A filing fee of $109,120 was paid in connection with the prior registration statement and the Registration Statement on Form N-2 (File No. 333-180084) originally filed by the Registrant on March 14, 2012 and is being offset against the total registration fee pursuant to Rule 457(p), resulting in no payment in connection with the filing of this Registration Statement. Pursuant to Rule 415(a)(6), the offering of the unsold securities registered under the prior registration statement will be deemed terminated as of the effective date of this Registration Statement.</w:t>
      </w:r>
    </w:p>
    <w:p>
      <w:pPr>
        <w:spacing w:after="0" w:line="39" w:lineRule="exact"/>
        <w:rPr>
          <w:sz w:val="20"/>
          <w:szCs w:val="20"/>
          <w:color w:val="auto"/>
        </w:rPr>
      </w:pPr>
    </w:p>
    <w:p>
      <w:pPr>
        <w:ind w:right="2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139700</wp:posOffset>
            </wp:positionV>
            <wp:extent cx="238379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6"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Our investment objectives are to generate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32"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49 of this prospectus for more information.</w:t>
      </w:r>
    </w:p>
    <w:p>
      <w:pPr>
        <w:spacing w:after="0" w:line="42"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“PFLT.” The last reported closing price for our common stock on December 14, 2016 was $14.07 per share, and our net asset value on September 30, 2016 was $14.06 per share.</w:t>
      </w:r>
    </w:p>
    <w:p>
      <w:pPr>
        <w:spacing w:after="0" w:line="51"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jc w:val="both"/>
        <w:ind w:right="100" w:firstLine="57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tbl>
      <w:tblPr>
        <w:tblLayout w:type="fixed"/>
        <w:tblInd w:w="4560" w:type="dxa"/>
        <w:tblCellMar>
          <w:top w:w="0" w:type="dxa"/>
          <w:left w:w="0" w:type="dxa"/>
          <w:bottom w:w="0" w:type="dxa"/>
          <w:right w:w="0" w:type="dxa"/>
        </w:tblCellMar>
      </w:tblPr>
      <w:tr>
        <w:trPr>
          <w:trHeight w:val="228"/>
        </w:trPr>
        <w:tc>
          <w:tcPr>
            <w:tcW w:w="1580" w:type="dxa"/>
            <w:vAlign w:val="bottom"/>
          </w:tcPr>
          <w:p>
            <w:pPr>
              <w:spacing w:after="0"/>
              <w:rPr>
                <w:sz w:val="20"/>
                <w:szCs w:val="20"/>
                <w:color w:val="auto"/>
              </w:rPr>
            </w:pPr>
            <w:r>
              <w:rPr>
                <w:rFonts w:ascii="Arial" w:cs="Arial" w:eastAsia="Arial" w:hAnsi="Arial"/>
                <w:sz w:val="18"/>
                <w:szCs w:val="18"/>
                <w:b w:val="1"/>
                <w:bCs w:val="1"/>
                <w:color w:val="auto"/>
              </w:rPr>
              <w:t>Prospectus dated</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 2017</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20" w:type="dxa"/>
            <w:vAlign w:val="bottom"/>
            <w:gridSpan w:val="3"/>
          </w:tcPr>
          <w:p>
            <w:pPr>
              <w:jc w:val="center"/>
              <w:ind w:right="4100"/>
              <w:spacing w:after="0"/>
              <w:rPr>
                <w:sz w:val="20"/>
                <w:szCs w:val="20"/>
                <w:color w:val="auto"/>
              </w:rPr>
            </w:pPr>
            <w:r>
              <w:rPr>
                <w:rFonts w:ascii="Arial" w:cs="Arial" w:eastAsia="Arial" w:hAnsi="Arial"/>
                <w:sz w:val="18"/>
                <w:szCs w:val="18"/>
                <w:b w:val="1"/>
                <w:bCs w:val="1"/>
                <w:color w:val="auto"/>
                <w:w w:val="96"/>
              </w:rPr>
              <w:t>TABLE OF CONTENTS</w:t>
            </w:r>
          </w:p>
        </w:tc>
        <w:tc>
          <w:tcPr>
            <w:tcW w:w="540" w:type="dxa"/>
            <w:vAlign w:val="bottom"/>
          </w:tcPr>
          <w:p>
            <w:pPr>
              <w:spacing w:after="0"/>
              <w:rPr>
                <w:sz w:val="19"/>
                <w:szCs w:val="19"/>
                <w:color w:val="auto"/>
              </w:rPr>
            </w:pPr>
          </w:p>
        </w:tc>
      </w:tr>
      <w:tr>
        <w:trPr>
          <w:trHeight w:val="353"/>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10780" w:type="dxa"/>
            <w:vAlign w:val="bottom"/>
            <w:gridSpan w:val="3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22"/>
                <w:szCs w:val="22"/>
                <w:color w:val="auto"/>
              </w:rPr>
            </w:pPr>
          </w:p>
        </w:tc>
        <w:tc>
          <w:tcPr>
            <w:tcW w:w="8740" w:type="dxa"/>
            <w:vAlign w:val="bottom"/>
            <w:gridSpan w:val="2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FORWARD-LOOKING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2860" w:type="dxa"/>
            <w:vAlign w:val="bottom"/>
            <w:tcBorders>
              <w:top w:val="single" w:sz="8" w:color="0000EE"/>
            </w:tcBorders>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USE OF PROCEEDS</w:t>
              </w:r>
            </w:hyperlink>
          </w:p>
        </w:tc>
        <w:tc>
          <w:tcPr>
            <w:tcW w:w="7920" w:type="dxa"/>
            <w:vAlign w:val="bottom"/>
            <w:gridSpan w:val="1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38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SELECTED FINANCIAL DATA</w:t>
              </w:r>
            </w:hyperlink>
          </w:p>
        </w:tc>
        <w:tc>
          <w:tcPr>
            <w:tcW w:w="8400" w:type="dxa"/>
            <w:vAlign w:val="bottom"/>
            <w:gridSpan w:val="2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8700" w:type="dxa"/>
            <w:vAlign w:val="bottom"/>
            <w:tcBorders>
              <w:top w:val="single" w:sz="8" w:color="0000EE"/>
            </w:tcBorders>
            <w:gridSpan w:val="3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SENIOR SECURITIES</w:t>
              </w:r>
            </w:hyperlink>
          </w:p>
        </w:tc>
        <w:tc>
          <w:tcPr>
            <w:tcW w:w="20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90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PRICE RANGE OF COMMON STOCK</w:t>
              </w:r>
            </w:hyperlink>
          </w:p>
        </w:tc>
        <w:tc>
          <w:tcPr>
            <w:tcW w:w="7880" w:type="dxa"/>
            <w:vAlign w:val="bottom"/>
            <w:gridSpan w:val="1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64"/>
        </w:trPr>
        <w:tc>
          <w:tcPr>
            <w:tcW w:w="454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SALES OF COMMON STOCK BELOW NET ASSET VALUE</w:t>
              </w:r>
            </w:hyperlink>
          </w:p>
        </w:tc>
        <w:tc>
          <w:tcPr>
            <w:tcW w:w="6240" w:type="dxa"/>
            <w:vAlign w:val="bottom"/>
            <w:gridSpan w:val="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13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DISTRIBUTIONS</w:t>
              </w:r>
            </w:hyperlink>
          </w:p>
        </w:tc>
        <w:tc>
          <w:tcPr>
            <w:tcW w:w="9440" w:type="dxa"/>
            <w:vAlign w:val="bottom"/>
            <w:gridSpan w:val="2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64"/>
        </w:trPr>
        <w:tc>
          <w:tcPr>
            <w:tcW w:w="840" w:type="dxa"/>
            <w:vAlign w:val="bottom"/>
            <w:tcBorders>
              <w:bottom w:val="single" w:sz="8" w:color="0000EE"/>
            </w:tcBorders>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BUSINESS</w:t>
              </w:r>
            </w:hyperlink>
          </w:p>
        </w:tc>
        <w:tc>
          <w:tcPr>
            <w:tcW w:w="9940" w:type="dxa"/>
            <w:vAlign w:val="bottom"/>
            <w:gridSpan w:val="3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INVESTMENT OBJECTIVES AND POLICIES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64"/>
        </w:trPr>
        <w:tc>
          <w:tcPr>
            <w:tcW w:w="3440" w:type="dxa"/>
            <w:vAlign w:val="bottom"/>
            <w:tcBorders>
              <w:top w:val="single" w:sz="8" w:color="0000EE"/>
            </w:tcBorders>
            <w:gridSpan w:val="2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PORTFOLIO COMPANIES</w:t>
              </w:r>
            </w:hyperlink>
          </w:p>
        </w:tc>
        <w:tc>
          <w:tcPr>
            <w:tcW w:w="7340" w:type="dxa"/>
            <w:vAlign w:val="bottom"/>
            <w:gridSpan w:val="1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64"/>
        </w:trPr>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79">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22"/>
                <w:szCs w:val="22"/>
                <w:color w:val="auto"/>
              </w:rPr>
            </w:pPr>
          </w:p>
        </w:tc>
        <w:tc>
          <w:tcPr>
            <w:tcW w:w="8780" w:type="dxa"/>
            <w:vAlign w:val="bottom"/>
            <w:gridSpan w:val="2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64"/>
        </w:trPr>
        <w:tc>
          <w:tcPr>
            <w:tcW w:w="4440" w:type="dxa"/>
            <w:vAlign w:val="bottom"/>
            <w:tcBorders>
              <w:bottom w:val="single" w:sz="8" w:color="0000EE"/>
            </w:tcBorders>
            <w:gridSpan w:val="26"/>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CONTROL PERSONS AND PRINCIPAL STOCKHOLDERS</w:t>
              </w:r>
            </w:hyperlink>
          </w:p>
        </w:tc>
        <w:tc>
          <w:tcPr>
            <w:tcW w:w="6340" w:type="dxa"/>
            <w:vAlign w:val="bottom"/>
            <w:gridSpan w:val="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CERTAIN RELATIONSHIPS AND TRANSACTIONS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64"/>
        </w:trPr>
        <w:tc>
          <w:tcPr>
            <w:tcW w:w="33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4"/>
              </w:rPr>
            </w:pPr>
            <w:hyperlink w:anchor="page93">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22"/>
                <w:szCs w:val="22"/>
                <w:color w:val="auto"/>
              </w:rPr>
            </w:pPr>
          </w:p>
        </w:tc>
        <w:tc>
          <w:tcPr>
            <w:tcW w:w="6860" w:type="dxa"/>
            <w:vAlign w:val="bottom"/>
            <w:gridSpan w:val="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64"/>
        </w:trPr>
        <w:tc>
          <w:tcPr>
            <w:tcW w:w="276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95">
              <w:r>
                <w:rPr>
                  <w:rFonts w:ascii="Arial" w:cs="Arial" w:eastAsia="Arial" w:hAnsi="Arial"/>
                  <w:sz w:val="18"/>
                  <w:szCs w:val="18"/>
                  <w:color w:val="0000EE"/>
                  <w:w w:val="96"/>
                </w:rPr>
                <w:t>DIVIDEND REINVESTMENT PLAN</w:t>
              </w:r>
            </w:hyperlink>
          </w:p>
        </w:tc>
        <w:tc>
          <w:tcPr>
            <w:tcW w:w="8020" w:type="dxa"/>
            <w:vAlign w:val="bottom"/>
            <w:gridSpan w:val="1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4"/>
        </w:trPr>
        <w:tc>
          <w:tcPr>
            <w:tcW w:w="322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DESCRIPTION OF OUR CAPITAL STOCK</w:t>
              </w:r>
            </w:hyperlink>
          </w:p>
        </w:tc>
        <w:tc>
          <w:tcPr>
            <w:tcW w:w="7560" w:type="dxa"/>
            <w:vAlign w:val="bottom"/>
            <w:gridSpan w:val="1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DESCRIPTION OF OUR PREFERRED STOCK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64"/>
        </w:trPr>
        <w:tc>
          <w:tcPr>
            <w:tcW w:w="3480" w:type="dxa"/>
            <w:vAlign w:val="bottom"/>
            <w:tcBorders>
              <w:top w:val="single" w:sz="8" w:color="0000EE"/>
            </w:tcBorders>
            <w:gridSpan w:val="21"/>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DESCRIPTION OF OUR WARRANTS</w:t>
              </w:r>
            </w:hyperlink>
          </w:p>
        </w:tc>
        <w:tc>
          <w:tcPr>
            <w:tcW w:w="7300" w:type="dxa"/>
            <w:vAlign w:val="bottom"/>
            <w:gridSpan w:val="1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DESCRIPTION OF OUR SUBSCRIPTION RIGHTS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64"/>
        </w:trPr>
        <w:tc>
          <w:tcPr>
            <w:tcW w:w="33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22"/>
                <w:szCs w:val="22"/>
                <w:color w:val="auto"/>
              </w:rPr>
            </w:pPr>
          </w:p>
        </w:tc>
        <w:tc>
          <w:tcPr>
            <w:tcW w:w="6980" w:type="dxa"/>
            <w:vAlign w:val="bottom"/>
            <w:gridSpan w:val="1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64"/>
        </w:trPr>
        <w:tc>
          <w:tcPr>
            <w:tcW w:w="11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15">
              <w:r>
                <w:rPr>
                  <w:rFonts w:ascii="Arial" w:cs="Arial" w:eastAsia="Arial" w:hAnsi="Arial"/>
                  <w:sz w:val="18"/>
                  <w:szCs w:val="18"/>
                  <w:color w:val="0000EE"/>
                  <w:w w:val="93"/>
                </w:rPr>
                <w:t>REGULATION</w:t>
              </w:r>
            </w:hyperlink>
          </w:p>
        </w:tc>
        <w:tc>
          <w:tcPr>
            <w:tcW w:w="9660" w:type="dxa"/>
            <w:vAlign w:val="bottom"/>
            <w:gridSpan w:val="3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64"/>
        </w:trPr>
        <w:tc>
          <w:tcPr>
            <w:tcW w:w="4380" w:type="dxa"/>
            <w:vAlign w:val="bottom"/>
            <w:tcBorders>
              <w:bottom w:val="single" w:sz="8" w:color="0000EE"/>
            </w:tcBorders>
            <w:gridSpan w:val="25"/>
          </w:tcPr>
          <w:p>
            <w:pPr>
              <w:spacing w:after="0"/>
              <w:rPr>
                <w:rFonts w:ascii="Arial" w:cs="Arial" w:eastAsia="Arial" w:hAnsi="Arial"/>
                <w:sz w:val="18"/>
                <w:szCs w:val="18"/>
                <w:color w:val="0000EE"/>
                <w:w w:val="93"/>
              </w:rPr>
            </w:pPr>
            <w:hyperlink w:anchor="page119">
              <w:r>
                <w:rPr>
                  <w:rFonts w:ascii="Arial" w:cs="Arial" w:eastAsia="Arial" w:hAnsi="Arial"/>
                  <w:sz w:val="18"/>
                  <w:szCs w:val="18"/>
                  <w:color w:val="0000EE"/>
                  <w:w w:val="93"/>
                </w:rPr>
                <w:t>BROKERAGE ALLOCATIONS AND OTHER PRACTICES</w:t>
              </w:r>
            </w:hyperlink>
          </w:p>
        </w:tc>
        <w:tc>
          <w:tcPr>
            <w:tcW w:w="6400" w:type="dxa"/>
            <w:vAlign w:val="bottom"/>
            <w:gridSpan w:val="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64"/>
        </w:trPr>
        <w:tc>
          <w:tcPr>
            <w:tcW w:w="4760" w:type="dxa"/>
            <w:vAlign w:val="bottom"/>
            <w:tcBorders>
              <w:bottom w:val="single" w:sz="8" w:color="0000EE"/>
            </w:tcBorders>
            <w:gridSpan w:val="29"/>
          </w:tcPr>
          <w:p>
            <w:pPr>
              <w:spacing w:after="0"/>
              <w:rPr>
                <w:rFonts w:ascii="Arial" w:cs="Arial" w:eastAsia="Arial" w:hAnsi="Arial"/>
                <w:sz w:val="18"/>
                <w:szCs w:val="18"/>
                <w:color w:val="0000EE"/>
                <w:w w:val="94"/>
              </w:rPr>
            </w:pPr>
            <w:hyperlink w:anchor="page120">
              <w:r>
                <w:rPr>
                  <w:rFonts w:ascii="Arial" w:cs="Arial" w:eastAsia="Arial" w:hAnsi="Arial"/>
                  <w:sz w:val="18"/>
                  <w:szCs w:val="18"/>
                  <w:color w:val="0000EE"/>
                  <w:w w:val="94"/>
                </w:rPr>
                <w:t>MATERIAL U.S. FEDERAL INCOME TAX CONSIDERATIONS</w:t>
              </w:r>
            </w:hyperlink>
          </w:p>
        </w:tc>
        <w:tc>
          <w:tcPr>
            <w:tcW w:w="6020" w:type="dxa"/>
            <w:vAlign w:val="bottom"/>
            <w:gridSpan w:val="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PLAN OF DISTRIBUTION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5800" w:type="dxa"/>
            <w:vAlign w:val="bottom"/>
            <w:tcBorders>
              <w:bottom w:val="single" w:sz="8" w:color="0000EE"/>
            </w:tcBorders>
            <w:gridSpan w:val="30"/>
          </w:tcPr>
          <w:p>
            <w:pPr>
              <w:spacing w:after="0"/>
              <w:rPr>
                <w:rFonts w:ascii="Arial" w:cs="Arial" w:eastAsia="Arial" w:hAnsi="Arial"/>
                <w:sz w:val="18"/>
                <w:szCs w:val="18"/>
                <w:color w:val="0000EE"/>
                <w:w w:val="94"/>
              </w:rPr>
            </w:pPr>
            <w:hyperlink w:anchor="page127">
              <w:r>
                <w:rPr>
                  <w:rFonts w:ascii="Arial" w:cs="Arial" w:eastAsia="Arial" w:hAnsi="Arial"/>
                  <w:sz w:val="18"/>
                  <w:szCs w:val="18"/>
                  <w:color w:val="0000EE"/>
                  <w:w w:val="94"/>
                </w:rPr>
                <w:t>SUB-ADMINISTRATOR, CUSTODIAN, TRANSFER AGENT AND TRUSTEE</w:t>
              </w:r>
            </w:hyperlink>
          </w:p>
        </w:tc>
        <w:tc>
          <w:tcPr>
            <w:tcW w:w="4980" w:type="dxa"/>
            <w:vAlign w:val="bottom"/>
            <w:gridSpan w:val="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LEGAL MATTERS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18"/>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4"/>
        </w:trPr>
        <w:tc>
          <w:tcPr>
            <w:tcW w:w="4680" w:type="dxa"/>
            <w:vAlign w:val="bottom"/>
            <w:tcBorders>
              <w:top w:val="single" w:sz="8" w:color="0000EE"/>
            </w:tcBorders>
            <w:gridSpan w:val="28"/>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INDEX TO CONSOLIDATED FINANCIAL STATEMENTS</w:t>
              </w:r>
            </w:hyperlink>
          </w:p>
        </w:tc>
        <w:tc>
          <w:tcPr>
            <w:tcW w:w="6100" w:type="dxa"/>
            <w:vAlign w:val="bottom"/>
            <w:gridSpan w:val="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3"/>
        </w:trPr>
        <w:tc>
          <w:tcPr>
            <w:tcW w:w="8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gridSpan w:val="3"/>
          </w:tcPr>
          <w:p>
            <w:pPr>
              <w:jc w:val="center"/>
              <w:ind w:right="4120"/>
              <w:spacing w:after="0"/>
              <w:rPr>
                <w:sz w:val="20"/>
                <w:szCs w:val="20"/>
                <w:color w:val="auto"/>
              </w:rPr>
            </w:pPr>
            <w:r>
              <w:rPr>
                <w:rFonts w:ascii="Arial" w:cs="Arial" w:eastAsia="Arial" w:hAnsi="Arial"/>
                <w:sz w:val="18"/>
                <w:szCs w:val="18"/>
                <w:color w:val="auto"/>
              </w:rPr>
              <w:t>i</w:t>
            </w:r>
          </w:p>
        </w:tc>
        <w:tc>
          <w:tcPr>
            <w:tcW w:w="5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147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71475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1" w:lineRule="exact"/>
        <w:rPr>
          <w:sz w:val="20"/>
          <w:szCs w:val="20"/>
          <w:color w:val="auto"/>
        </w:rPr>
      </w:pPr>
    </w:p>
    <w:p>
      <w:pPr>
        <w:ind w:left="200" w:firstLine="553"/>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except where the context suggests otherwise: the terms “we,” “us,” “our” and “Company” refer to PennantPark Floating Rate Capital Ltd. and its wholly-owned consolidated subsidiaries; “Funding I” refers to PennantPark Floating Rate Funding I, LLC; “PennantPark Investment Advisers” or “Investment Adviser” refers to PennantPark Investment Advisers, LLC; “PennantPark Investment Administration” or “Administrator” refers to PennantPark Investment Administration, LLC;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and “Credit Facility” refers to our multi-currency senior secured revolving credit facility, as amended and restated with SunTrust Bank and other lenders, or the Lenders.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80" w:firstLine="553"/>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32" w:lineRule="exact"/>
        <w:rPr>
          <w:sz w:val="20"/>
          <w:szCs w:val="20"/>
          <w:color w:val="auto"/>
        </w:rPr>
      </w:pPr>
    </w:p>
    <w:p>
      <w:pPr>
        <w:ind w:left="200" w:right="20" w:firstLine="553"/>
        <w:spacing w:after="0" w:line="288"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left="200" w:right="140" w:firstLine="553"/>
        <w:spacing w:after="0" w:line="291"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20" w:lineRule="exact"/>
        <w:rPr>
          <w:sz w:val="20"/>
          <w:szCs w:val="20"/>
          <w:color w:val="auto"/>
        </w:rPr>
      </w:pPr>
    </w:p>
    <w:p>
      <w:pPr>
        <w:ind w:left="200" w:right="20" w:firstLine="553"/>
        <w:spacing w:after="0" w:line="294"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 For a description of our Credit Facility, see “Management’s Discussion and Analysis of Financial Condition and Results of Operations — Liquidity and Capital Resources.”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left="200" w:right="180" w:firstLine="553"/>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40" w:lineRule="exact"/>
        <w:rPr>
          <w:sz w:val="20"/>
          <w:szCs w:val="20"/>
          <w:color w:val="auto"/>
        </w:rPr>
      </w:pPr>
    </w:p>
    <w:p>
      <w:pPr>
        <w:ind w:left="200" w:right="340" w:firstLine="553"/>
        <w:spacing w:after="0" w:line="268"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250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72504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firstLine="553"/>
        <w:spacing w:after="0" w:line="259" w:lineRule="auto"/>
        <w:rPr>
          <w:sz w:val="20"/>
          <w:szCs w:val="20"/>
          <w:color w:val="auto"/>
        </w:rPr>
      </w:pPr>
      <w:r>
        <w:rPr>
          <w:rFonts w:ascii="Arial" w:cs="Arial" w:eastAsia="Arial" w:hAnsi="Arial"/>
          <w:sz w:val="18"/>
          <w:szCs w:val="18"/>
          <w:color w:val="auto"/>
        </w:rPr>
        <w:t>In August 2015, we completed the acquisition of MCG pursuant to the Agreement and Plan of Merger, or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right="40" w:firstLine="55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$3.0 billion in debt and equity capital and has invested $5.5 billion in more than 400 companies with over 160 different financial sponsors through its managed funds.</w:t>
      </w:r>
    </w:p>
    <w:p>
      <w:pPr>
        <w:spacing w:after="0" w:line="120" w:lineRule="exact"/>
        <w:rPr>
          <w:sz w:val="20"/>
          <w:szCs w:val="20"/>
          <w:color w:val="auto"/>
        </w:rPr>
      </w:pPr>
    </w:p>
    <w:p>
      <w:pPr>
        <w:ind w:left="200" w:right="80" w:firstLine="55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20" w:firstLine="553"/>
        <w:spacing w:after="0" w:line="291" w:lineRule="auto"/>
        <w:rPr>
          <w:sz w:val="20"/>
          <w:szCs w:val="20"/>
          <w:color w:val="auto"/>
        </w:rPr>
      </w:pPr>
      <w:r>
        <w:rPr>
          <w:rFonts w:ascii="Arial" w:cs="Arial" w:eastAsia="Arial" w:hAnsi="Arial"/>
          <w:sz w:val="16"/>
          <w:szCs w:val="16"/>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capital markets and private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with debt investments. See “Business” for more information.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200" w:right="180" w:firstLine="553"/>
        <w:spacing w:after="0" w:line="255" w:lineRule="auto"/>
        <w:rPr>
          <w:sz w:val="20"/>
          <w:szCs w:val="20"/>
          <w:color w:val="auto"/>
        </w:rPr>
      </w:pPr>
      <w:r>
        <w:rPr>
          <w:rFonts w:ascii="Arial" w:cs="Arial" w:eastAsia="Arial" w:hAnsi="Arial"/>
          <w:sz w:val="18"/>
          <w:szCs w:val="18"/>
          <w:color w:val="auto"/>
        </w:rPr>
        <w:t>We believe that we have competitive advantages over other capital providers to middle-market companies, such as a management team with an average of over 25 years of experience in senior lending, mezzanine lending, leveraged finance, distressed debt and private equity businesses, a disciplined investment approach with strong value orientation, an ability to source and evaluate transactions through our Investment Adviser’s proactive research capability and established network and flexible transaction structuring that allows for us to invest across the capital structure. See “Business”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280" w:firstLine="55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16" w:lineRule="exact"/>
        <w:rPr>
          <w:sz w:val="20"/>
          <w:szCs w:val="20"/>
          <w:color w:val="auto"/>
        </w:rPr>
      </w:pPr>
    </w:p>
    <w:p>
      <w:pPr>
        <w:ind w:left="200" w:firstLine="553"/>
        <w:spacing w:after="0" w:line="318"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 — Risk Relating to our Business and Structure — We operate in a highly competitive market for investment opportunities” for more information.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75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45751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firstLine="553"/>
        <w:spacing w:after="0" w:line="253" w:lineRule="auto"/>
        <w:rPr>
          <w:sz w:val="20"/>
          <w:szCs w:val="20"/>
          <w:color w:val="auto"/>
        </w:rPr>
      </w:pPr>
      <w:r>
        <w:rPr>
          <w:rFonts w:ascii="Arial" w:cs="Arial" w:eastAsia="Arial" w:hAnsi="Arial"/>
          <w:sz w:val="18"/>
          <w:szCs w:val="18"/>
          <w:color w:val="auto"/>
        </w:rPr>
        <w:t>We currently use and expect to continue to use leverage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ratio of the 1940 Act, may generally range between 70% and 90% of our net assets, or 40% and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77" w:lineRule="exact"/>
        <w:rPr>
          <w:sz w:val="20"/>
          <w:szCs w:val="20"/>
          <w:color w:val="auto"/>
        </w:rPr>
      </w:pPr>
    </w:p>
    <w:p>
      <w:pPr>
        <w:ind w:left="200" w:right="20" w:firstLine="553"/>
        <w:spacing w:after="0" w:line="255" w:lineRule="auto"/>
        <w:rPr>
          <w:sz w:val="20"/>
          <w:szCs w:val="20"/>
          <w:color w:val="auto"/>
        </w:rPr>
      </w:pPr>
      <w:r>
        <w:rPr>
          <w:rFonts w:ascii="Arial" w:cs="Arial" w:eastAsia="Arial" w:hAnsi="Arial"/>
          <w:sz w:val="18"/>
          <w:szCs w:val="18"/>
          <w:color w:val="auto"/>
        </w:rPr>
        <w:t>Our investment activities are managed by PennantPark Investment Advisers. Our board of directors, a majority of whom are independent of us, provides overall supervision of our activities, and the Investment Adviser supervises our day-to-day activities.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43" w:lineRule="exact"/>
        <w:rPr>
          <w:sz w:val="20"/>
          <w:szCs w:val="20"/>
          <w:color w:val="auto"/>
        </w:rPr>
      </w:pPr>
    </w:p>
    <w:p>
      <w:pPr>
        <w:ind w:left="200" w:right="120" w:firstLine="553"/>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ind w:left="200" w:right="280" w:firstLine="553"/>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20" w:firstLine="553"/>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more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808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28086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96" w:lineRule="exact"/>
        <w:rPr>
          <w:sz w:val="20"/>
          <w:szCs w:val="20"/>
          <w:color w:val="auto"/>
        </w:rPr>
      </w:pPr>
    </w:p>
    <w:p>
      <w:pPr>
        <w:ind w:left="200" w:right="80" w:firstLine="553"/>
        <w:spacing w:after="0" w:line="268" w:lineRule="auto"/>
        <w:rPr>
          <w:sz w:val="20"/>
          <w:szCs w:val="20"/>
          <w:color w:val="auto"/>
        </w:rPr>
      </w:pPr>
      <w:r>
        <w:rPr>
          <w:rFonts w:ascii="Arial" w:cs="Arial" w:eastAsia="Arial" w:hAnsi="Arial"/>
          <w:sz w:val="18"/>
          <w:szCs w:val="18"/>
          <w:color w:val="auto"/>
        </w:rPr>
        <w:t>We intend to continue our monthly distributions to our stockholders. Our monthly distributions, if any, are determined by our board of directors. See “Distributions”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160" w:firstLine="553"/>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firstLine="55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683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36830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200" w:right="220" w:firstLine="553"/>
        <w:spacing w:after="0" w:line="268" w:lineRule="auto"/>
        <w:rPr>
          <w:sz w:val="20"/>
          <w:szCs w:val="20"/>
          <w:color w:val="auto"/>
        </w:rPr>
      </w:pPr>
      <w:r>
        <w:rPr>
          <w:rFonts w:ascii="Arial" w:cs="Arial" w:eastAsia="Arial" w:hAnsi="Arial"/>
          <w:sz w:val="18"/>
          <w:szCs w:val="18"/>
          <w:color w:val="auto"/>
        </w:rPr>
        <w:t>We may offer, from time to time, up to $500 million of our securities, on terms to be determined at the time of each such offering and set forth in a supplement to this prospectus.</w:t>
      </w:r>
    </w:p>
    <w:p>
      <w:pPr>
        <w:spacing w:after="0" w:line="132" w:lineRule="exact"/>
        <w:rPr>
          <w:sz w:val="20"/>
          <w:szCs w:val="20"/>
          <w:color w:val="auto"/>
        </w:rPr>
      </w:pPr>
    </w:p>
    <w:p>
      <w:pPr>
        <w:ind w:left="200" w:firstLine="553"/>
        <w:spacing w:after="0" w:line="290"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18" w:lineRule="exact"/>
        <w:rPr>
          <w:sz w:val="20"/>
          <w:szCs w:val="20"/>
          <w:color w:val="auto"/>
        </w:rPr>
      </w:pPr>
    </w:p>
    <w:p>
      <w:pPr>
        <w:ind w:left="200" w:right="120" w:firstLine="553"/>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right="20" w:firstLine="553"/>
        <w:spacing w:after="0" w:line="289"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Information contained on our website is not incorporated by reference into this prospectus or any supplements to this prospectus,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w:t>
      </w:r>
      <w:r>
        <w:rPr>
          <w:rFonts w:ascii="Arial" w:cs="Arial" w:eastAsia="Arial" w:hAnsi="Arial"/>
          <w:sz w:val="16"/>
          <w:szCs w:val="16"/>
          <w:color w:val="auto"/>
        </w:rPr>
        <w:t>that contains material that we file with the SEC on the EDGAR Database.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20" w:type="dxa"/>
            <w:vAlign w:val="bottom"/>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220" w:type="dxa"/>
            <w:vAlign w:val="bottom"/>
          </w:tcPr>
          <w:p>
            <w:pPr>
              <w:spacing w:after="0"/>
              <w:rPr>
                <w:sz w:val="19"/>
                <w:szCs w:val="19"/>
                <w:color w:val="auto"/>
              </w:rPr>
            </w:pPr>
          </w:p>
        </w:tc>
      </w:tr>
      <w:tr>
        <w:trPr>
          <w:trHeight w:val="297"/>
        </w:trPr>
        <w:tc>
          <w:tcPr>
            <w:tcW w:w="8020" w:type="dxa"/>
            <w:vAlign w:val="bottom"/>
          </w:tcPr>
          <w:p>
            <w:pPr>
              <w:spacing w:after="0"/>
              <w:rPr>
                <w:sz w:val="20"/>
                <w:szCs w:val="20"/>
                <w:color w:val="auto"/>
              </w:rPr>
            </w:pPr>
            <w:r>
              <w:rPr>
                <w:rFonts w:ascii="Arial" w:cs="Arial" w:eastAsia="Arial" w:hAnsi="Arial"/>
                <w:sz w:val="18"/>
                <w:szCs w:val="18"/>
                <w:color w:val="auto"/>
              </w:rPr>
              <w:t>Sales load</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 expenses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Interest on borrowed funds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0"/>
          <w:szCs w:val="10"/>
          <w:color w:val="auto"/>
        </w:rPr>
        <w:t>(2)</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1.63 %</w:t>
      </w:r>
      <w:r>
        <w:rPr>
          <w:rFonts w:ascii="Arial" w:cs="Arial" w:eastAsia="Arial" w:hAnsi="Arial"/>
          <w:sz w:val="10"/>
          <w:szCs w:val="10"/>
          <w:color w:val="auto"/>
        </w:rPr>
        <w:t>(4)</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1.30 %</w:t>
      </w:r>
      <w:r>
        <w:rPr>
          <w:rFonts w:ascii="Arial" w:cs="Arial" w:eastAsia="Arial" w:hAnsi="Arial"/>
          <w:sz w:val="10"/>
          <w:szCs w:val="10"/>
          <w:color w:val="auto"/>
        </w:rPr>
        <w:t>(5)</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1.58 %</w:t>
      </w:r>
      <w:r>
        <w:rPr>
          <w:rFonts w:ascii="Arial" w:cs="Arial" w:eastAsia="Arial" w:hAnsi="Arial"/>
          <w:sz w:val="10"/>
          <w:szCs w:val="10"/>
          <w:color w:val="auto"/>
        </w:rPr>
        <w:t>(6)</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0.90 %</w:t>
      </w: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33020</wp:posOffset>
            </wp:positionV>
            <wp:extent cx="231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5.41 %</w:t>
      </w:r>
      <w:r>
        <w:rPr>
          <w:rFonts w:ascii="Arial" w:cs="Arial" w:eastAsia="Arial" w:hAnsi="Arial"/>
          <w:sz w:val="10"/>
          <w:szCs w:val="10"/>
          <w:color w:val="auto"/>
        </w:rPr>
        <w:t>(8)</w:t>
      </w:r>
    </w:p>
    <w:p>
      <w:pPr>
        <w:spacing w:after="0" w:line="214" w:lineRule="exact"/>
        <w:rPr>
          <w:sz w:val="20"/>
          <w:szCs w:val="20"/>
          <w:color w:val="auto"/>
        </w:rPr>
      </w:pPr>
    </w:p>
    <w:p>
      <w:pPr>
        <w:sectPr>
          <w:pgSz w:w="11900" w:h="16838" w:orient="portrait"/>
          <w:cols w:equalWidth="0" w:num="2">
            <w:col w:w="9900" w:space="720"/>
            <w:col w:w="740"/>
          </w:cols>
          <w:pgMar w:left="240" w:top="459" w:right="299" w:bottom="1440" w:gutter="0" w:footer="0" w:header="0"/>
          <w:type w:val="continuous"/>
        </w:sectPr>
      </w:pPr>
    </w:p>
    <w:p>
      <w:pPr>
        <w:spacing w:after="0" w:line="4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for the fiscal year ended September 30, 2016.</w:t>
      </w:r>
    </w:p>
    <w:p>
      <w:pPr>
        <w:spacing w:after="0" w:line="68" w:lineRule="exact"/>
        <w:rPr>
          <w:rFonts w:ascii="Arial" w:cs="Arial" w:eastAsia="Arial" w:hAnsi="Arial"/>
          <w:sz w:val="14"/>
          <w:szCs w:val="14"/>
          <w:color w:val="auto"/>
        </w:rPr>
      </w:pPr>
    </w:p>
    <w:p>
      <w:pPr>
        <w:ind w:left="580" w:right="400" w:hanging="572"/>
        <w:spacing w:after="0" w:line="239"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on September 30, 2016.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right="40" w:hanging="572"/>
        <w:spacing w:after="0" w:line="266"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fiscal year ended September 30, 2016.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2016.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580" w:right="80" w:hanging="572"/>
        <w:spacing w:after="0" w:line="273"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As of September 30, 2016, we had $232.9 million in borrowings outstanding under our $350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and amendment costs incurred on our Credit Facility for the fiscal year ended September 30, 2016 and we caution you that our actual interest expense in the future will depend on prevailing interest rates and our rate of borrowing, which may be substantially higher than the amount provided in this table. See “Risk Factors— 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jc w:val="both"/>
        <w:ind w:left="580" w:right="100" w:hanging="572"/>
        <w:spacing w:after="0" w:line="233"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57" w:lineRule="exact"/>
        <w:rPr>
          <w:rFonts w:ascii="Arial" w:cs="Arial" w:eastAsia="Arial" w:hAnsi="Arial"/>
          <w:sz w:val="14"/>
          <w:szCs w:val="14"/>
          <w:color w:val="auto"/>
        </w:rPr>
      </w:pPr>
    </w:p>
    <w:p>
      <w:pPr>
        <w:ind w:left="580" w:right="60" w:hanging="572"/>
        <w:spacing w:after="0" w:line="278"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37 of this prospectus.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77"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0.48%, (2) total net estimated annual expenses of 4.11%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sz w:val="20"/>
                <w:szCs w:val="20"/>
                <w:color w:val="auto"/>
              </w:rPr>
            </w:pPr>
            <w:r>
              <w:rPr>
                <w:rFonts w:ascii="Arial" w:cs="Arial" w:eastAsia="Arial" w:hAnsi="Arial"/>
                <w:sz w:val="14"/>
                <w:szCs w:val="14"/>
                <w:b w:val="1"/>
                <w:bCs w:val="1"/>
                <w:color w:val="auto"/>
              </w:rPr>
              <w:t>You would pay the following expenses on a $1,000 common stock investment:</w:t>
            </w: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3 years</w:t>
            </w:r>
          </w:p>
        </w:tc>
        <w:tc>
          <w:tcPr>
            <w:tcW w:w="2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2"/>
              </w:rPr>
              <w:t>5 years</w:t>
            </w:r>
          </w:p>
        </w:tc>
        <w:tc>
          <w:tcPr>
            <w:tcW w:w="26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10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Assuming a 5% annual return (assumes no return from net realized capital gains or net unrealized capital appreciation)</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75</w:t>
            </w:r>
          </w:p>
        </w:tc>
        <w:tc>
          <w:tcPr>
            <w:tcW w:w="28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155</w:t>
            </w:r>
          </w:p>
        </w:tc>
        <w:tc>
          <w:tcPr>
            <w:tcW w:w="40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238</w:t>
            </w:r>
          </w:p>
        </w:tc>
        <w:tc>
          <w:tcPr>
            <w:tcW w:w="440" w:type="dxa"/>
            <w:vAlign w:val="bottom"/>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00" w:type="dxa"/>
            <w:vAlign w:val="bottom"/>
            <w:gridSpan w:val="2"/>
          </w:tcPr>
          <w:p>
            <w:pPr>
              <w:spacing w:after="0"/>
              <w:rPr>
                <w:sz w:val="20"/>
                <w:szCs w:val="20"/>
                <w:color w:val="auto"/>
              </w:rPr>
            </w:pPr>
            <w:r>
              <w:rPr>
                <w:rFonts w:ascii="Arial" w:cs="Arial" w:eastAsia="Arial" w:hAnsi="Arial"/>
                <w:sz w:val="14"/>
                <w:szCs w:val="14"/>
                <w:color w:val="auto"/>
              </w:rPr>
              <w:t>Assuming a 5% annual return (assumes return from only realized capital gains and thus subject to the capital gains incentive fee)</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84</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183</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281</w:t>
            </w:r>
          </w:p>
        </w:tc>
        <w:tc>
          <w:tcPr>
            <w:tcW w:w="44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Reinvestment of distributions under our dividend reinvestment plan may occur at a price per share that differs from NAV. See “Distributions” and “Dividend Reinvestment Plan”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or any securities we may issue, may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77" w:lineRule="exact"/>
        <w:rPr>
          <w:sz w:val="20"/>
          <w:szCs w:val="20"/>
          <w:color w:val="auto"/>
        </w:rPr>
      </w:pPr>
    </w:p>
    <w:p>
      <w:pPr>
        <w:ind w:right="300" w:firstLine="228"/>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140"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The U.S. and global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regarding the United Kingdom referendum decision to leave the European Union (the so called “Brexit”), continuing signs of deteriorating sovereign debt conditions in Europe and an economic slowdown in China create uncertainty that could lead to further disruptions, instability and weakening consumer, corporate and financial confidence. We may in the future have difficulty accessing debt and equity capital markets, and a severe disruption in the global financial markets, deterioration in credit and financing conditions or uncertainty regarding U.S. government spending and deficit levels, Brexit, European sovereign debt, Chinese economic slowdown or other global economic conditions could have a material adverse effect on our business, financial condition and results of operations.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90" w:lineRule="exact"/>
        <w:rPr>
          <w:sz w:val="20"/>
          <w:szCs w:val="20"/>
          <w:color w:val="auto"/>
        </w:rPr>
      </w:pPr>
    </w:p>
    <w:p>
      <w:pPr>
        <w:ind w:right="20" w:firstLine="571"/>
        <w:spacing w:after="0" w:line="309" w:lineRule="auto"/>
        <w:rPr>
          <w:sz w:val="20"/>
          <w:szCs w:val="20"/>
          <w:color w:val="auto"/>
        </w:rPr>
      </w:pPr>
      <w:r>
        <w:rPr>
          <w:rFonts w:ascii="Arial" w:cs="Arial" w:eastAsia="Arial" w:hAnsi="Arial"/>
          <w:sz w:val="15"/>
          <w:szCs w:val="15"/>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08"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significant disruption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be subject to reduced availability and/or mandatory prepayments under Funding I’s Credit Facility.</w:t>
      </w:r>
    </w:p>
    <w:p>
      <w:pPr>
        <w:spacing w:after="0" w:line="90"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In addition to the asset coverage ratio requirements, our Credit Facility contains various covenants applicable to Funding I, which restricts our ability to borrow funds. For example, the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This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159"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requirement to retain our tax status as a RIC;</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requirement that our outstanding borrowings under the Credit Facility not exceed a certain percentage of the value of our portfolio.</w:t>
      </w:r>
    </w:p>
    <w:p>
      <w:pPr>
        <w:spacing w:after="0" w:line="171" w:lineRule="exact"/>
        <w:rPr>
          <w:sz w:val="20"/>
          <w:szCs w:val="20"/>
          <w:color w:val="auto"/>
        </w:rPr>
      </w:pPr>
    </w:p>
    <w:p>
      <w:pPr>
        <w:ind w:right="260" w:firstLine="571"/>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This could have a material adverse effect on our operations, as it would reduce availability under the Credit Facility and could trigger mandatory prepayment obligations under the terms of the Credit Facility.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90"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85"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43"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make long-term loans and debt investments, which may involve a high degree of repayment risk. Our investments with a deferred interest feature, such as original issue discount, or OID, income and payment-in-kind, or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05"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51"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43" w:lineRule="exact"/>
        <w:rPr>
          <w:sz w:val="20"/>
          <w:szCs w:val="20"/>
          <w:color w:val="auto"/>
        </w:rPr>
      </w:pPr>
    </w:p>
    <w:p>
      <w:pPr>
        <w:ind w:right="360" w:firstLine="571"/>
        <w:spacing w:after="0" w:line="259" w:lineRule="auto"/>
        <w:rPr>
          <w:sz w:val="20"/>
          <w:szCs w:val="20"/>
          <w:color w:val="auto"/>
        </w:rPr>
      </w:pPr>
      <w:r>
        <w:rPr>
          <w:rFonts w:ascii="Arial" w:cs="Arial" w:eastAsia="Arial" w:hAnsi="Arial"/>
          <w:sz w:val="18"/>
          <w:szCs w:val="18"/>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the target of litigation.</w:t>
      </w:r>
    </w:p>
    <w:p>
      <w:pPr>
        <w:spacing w:after="0" w:line="90" w:lineRule="exact"/>
        <w:rPr>
          <w:sz w:val="20"/>
          <w:szCs w:val="20"/>
          <w:color w:val="auto"/>
        </w:rPr>
      </w:pPr>
    </w:p>
    <w:p>
      <w:pPr>
        <w:ind w:right="380" w:firstLine="571"/>
        <w:spacing w:after="0" w:line="306" w:lineRule="auto"/>
        <w:rPr>
          <w:sz w:val="20"/>
          <w:szCs w:val="20"/>
          <w:color w:val="auto"/>
        </w:rPr>
      </w:pPr>
      <w:r>
        <w:rPr>
          <w:rFonts w:ascii="Arial" w:cs="Arial" w:eastAsia="Arial" w:hAnsi="Arial"/>
          <w:sz w:val="16"/>
          <w:szCs w:val="16"/>
          <w:color w:val="auto"/>
        </w:rPr>
        <w:t>We may be the target of securities litigation in the future, particularly if the trading price of our common stock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59" w:lineRule="exact"/>
        <w:rPr>
          <w:sz w:val="20"/>
          <w:szCs w:val="20"/>
          <w:color w:val="auto"/>
        </w:rPr>
      </w:pPr>
    </w:p>
    <w:p>
      <w:pPr>
        <w:ind w:right="20" w:firstLine="436"/>
        <w:spacing w:after="0" w:line="289"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18"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27"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90" w:lineRule="exact"/>
        <w:rPr>
          <w:sz w:val="20"/>
          <w:szCs w:val="20"/>
          <w:color w:val="auto"/>
        </w:rPr>
      </w:pPr>
    </w:p>
    <w:p>
      <w:pPr>
        <w:ind w:right="120" w:firstLine="571"/>
        <w:spacing w:after="0" w:line="287"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51"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221"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b w:val="1"/>
          <w:bCs w:val="1"/>
          <w:i w:val="1"/>
          <w:iCs w:val="1"/>
          <w:color w:val="auto"/>
        </w:rPr>
        <w:t>We may not replicate the historical performance of other investment companies and funds with which our senior and other investment professionals have been affiliated.</w:t>
      </w:r>
    </w:p>
    <w:p>
      <w:pPr>
        <w:spacing w:after="0" w:line="51"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of RIC tax status would substantially reduce our net assets and income available for debt service and distributions.</w:t>
      </w:r>
    </w:p>
    <w:p>
      <w:pPr>
        <w:spacing w:after="0" w:line="90"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We have operated and continue to operate so as to maintain our election to be treated as a RIC under Subchapter M of the Code. If we meet the annual source of income, quarterly asset diversification, and distribution requirements,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sum of (1) 98% of our net ordinary income (subject to certain deferrals and elections) for the calendar year, (2) 98.2% of our capital gain net income (adjusted for certain ordinary losses) generally for the one-year period ending on October 31 of the calendar year plus (3) any net ordinary income or capital gain net income for preceding years that was not distributed during such years and on which we were not subject to corporate income tax.</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13" w:lineRule="exact"/>
        <w:rPr>
          <w:sz w:val="20"/>
          <w:szCs w:val="20"/>
          <w:color w:val="auto"/>
        </w:rPr>
      </w:pPr>
    </w:p>
    <w:p>
      <w:pPr>
        <w:ind w:right="140" w:firstLine="571"/>
        <w:spacing w:after="0" w:line="253"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47"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have difficulty meeting the tax requirement to distribute at least 90% of the sum of our ordinary income and realized net short-term capital gains, if any, to obtain RIC tax benefits.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RIC tax status and thus be subject to corporate-level income tax.</w:t>
      </w:r>
    </w:p>
    <w:p>
      <w:pPr>
        <w:spacing w:after="0" w:line="62" w:lineRule="exact"/>
        <w:rPr>
          <w:sz w:val="20"/>
          <w:szCs w:val="20"/>
          <w:color w:val="auto"/>
        </w:rPr>
      </w:pPr>
    </w:p>
    <w:p>
      <w:pPr>
        <w:ind w:right="300" w:firstLine="228"/>
        <w:spacing w:after="0" w:line="357" w:lineRule="auto"/>
        <w:rPr>
          <w:sz w:val="20"/>
          <w:szCs w:val="20"/>
          <w:color w:val="auto"/>
        </w:rPr>
      </w:pPr>
      <w:r>
        <w:rPr>
          <w:rFonts w:ascii="Arial" w:cs="Arial" w:eastAsia="Arial" w:hAnsi="Arial"/>
          <w:sz w:val="15"/>
          <w:szCs w:val="15"/>
          <w:b w:val="1"/>
          <w:bCs w:val="1"/>
          <w:i w:val="1"/>
          <w:iCs w:val="1"/>
          <w:color w:val="auto"/>
        </w:rPr>
        <w:t>Because we intend to distribute substantially all of our income to our stockholders to maintain our tax status as a RIC, we will need to raise additional capital to finance our growth. If funds are not available to us, we may need to curtail new investments, and our common stock value could decline.</w:t>
      </w:r>
    </w:p>
    <w:p>
      <w:pPr>
        <w:ind w:right="120" w:firstLine="571"/>
        <w:spacing w:after="0" w:line="306" w:lineRule="auto"/>
        <w:rPr>
          <w:sz w:val="20"/>
          <w:szCs w:val="20"/>
          <w:color w:val="auto"/>
        </w:rPr>
      </w:pPr>
      <w:r>
        <w:rPr>
          <w:rFonts w:ascii="Arial" w:cs="Arial" w:eastAsia="Arial" w:hAnsi="Arial"/>
          <w:sz w:val="16"/>
          <w:szCs w:val="16"/>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07"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As a BDC, we generally are required to meet a 200%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6"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We are partially dependent on our subsidiary Funding I for cash distributions to enable us to meet the RIC distribution requirements. Funding I may be limited by its covenants from making certain distributions to us that may be necessary to fulfill our requirements to be subject to tax as a RIC for federal income tax purposes. We may have to request a waiver of these covenants’ restrictions for Funding I to make certain distributions to enable us to be treated as a RIC for federal income tax purposes. We cannot assure you that Funding I will be granted such a waiver, and if Funding I is unable to obtain a waiver, compliance with the covenants may cause us to incur a corporate-level income tax.</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90"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requirements permit us to issue senior securities or incur indebtedness subject to certain limits.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160" w:lineRule="exact"/>
        <w:rPr>
          <w:sz w:val="20"/>
          <w:szCs w:val="20"/>
          <w:color w:val="auto"/>
        </w:rPr>
      </w:pPr>
    </w:p>
    <w:p>
      <w:pPr>
        <w:ind w:left="46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we are exposed to typical risks associated with leverage, including an increased risk of loss. If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60" w:lineRule="exact"/>
        <w:rPr>
          <w:rFonts w:ascii="Arial" w:cs="Arial" w:eastAsia="Arial" w:hAnsi="Arial"/>
          <w:sz w:val="16"/>
          <w:szCs w:val="16"/>
          <w:color w:val="auto"/>
        </w:rPr>
      </w:pPr>
    </w:p>
    <w:p>
      <w:pPr>
        <w:ind w:left="460" w:right="20" w:hanging="452"/>
        <w:spacing w:after="0" w:line="290"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87" w:lineRule="auto"/>
        <w:rPr>
          <w:sz w:val="20"/>
          <w:szCs w:val="20"/>
          <w:color w:val="auto"/>
        </w:rPr>
      </w:pPr>
      <w:r>
        <w:rPr>
          <w:rFonts w:ascii="Arial" w:cs="Arial" w:eastAsia="Arial" w:hAnsi="Arial"/>
          <w:sz w:val="16"/>
          <w:szCs w:val="16"/>
          <w:color w:val="auto"/>
        </w:rPr>
        <w:t>of our common stock may differ materially from and will necessarily be more abbreviated than the procedures used by the board of directors to determine the NAV per share of our common stock at the end of each quarter because there is an extensive process each quarter to determine the NAV per share of our common stock which cannot be completed in 48 hours. Such procedures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63" w:lineRule="exact"/>
        <w:rPr>
          <w:sz w:val="20"/>
          <w:szCs w:val="20"/>
          <w:color w:val="auto"/>
        </w:rPr>
      </w:pPr>
    </w:p>
    <w:p>
      <w:pPr>
        <w:ind w:left="460" w:hanging="452"/>
        <w:spacing w:after="0" w:line="28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90"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Because we borrow funds through Funding I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and any cash that we use to service our indebtedness is not available for distribution to our common stockholders.</w:t>
      </w:r>
    </w:p>
    <w:p>
      <w:pPr>
        <w:spacing w:after="0" w:line="143"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color w:val="auto"/>
        </w:rPr>
        <w:t>Our current debt is governed by the terms of the Credit Facility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90" w:lineRule="exact"/>
        <w:rPr>
          <w:sz w:val="20"/>
          <w:szCs w:val="20"/>
          <w:color w:val="auto"/>
        </w:rPr>
      </w:pPr>
    </w:p>
    <w:p>
      <w:pPr>
        <w:ind w:right="20" w:firstLine="571"/>
        <w:spacing w:after="0" w:line="307" w:lineRule="auto"/>
        <w:rPr>
          <w:sz w:val="20"/>
          <w:szCs w:val="20"/>
          <w:color w:val="auto"/>
        </w:rPr>
      </w:pPr>
      <w:r>
        <w:rPr>
          <w:rFonts w:ascii="Arial" w:cs="Arial" w:eastAsia="Arial" w:hAnsi="Arial"/>
          <w:sz w:val="15"/>
          <w:szCs w:val="15"/>
          <w:color w:val="auto"/>
        </w:rPr>
        <w:t>We have indebtedness outstanding pursuant to our Credit Facility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2"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As of September 30, 2016, we had outstanding borrowings of $232.9 million under our Credit Facility with a current interest rate of 2.57% exclusive of the fees on the undrawn commitment. To cover the annual interest on our borrowings of $232.9 million outstanding at September 30, 2016, at the weighted average annual rate of 2.57%, we would have to receive an annual yield of at least 0.98%.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16" w:lineRule="exact"/>
        <w:rPr>
          <w:sz w:val="20"/>
          <w:szCs w:val="20"/>
          <w:color w:val="auto"/>
        </w:rPr>
      </w:pPr>
    </w:p>
    <w:p>
      <w:pPr>
        <w:ind w:right="260" w:firstLine="571"/>
        <w:spacing w:after="0" w:line="254" w:lineRule="auto"/>
        <w:rPr>
          <w:sz w:val="20"/>
          <w:szCs w:val="20"/>
          <w:color w:val="auto"/>
        </w:rPr>
      </w:pPr>
      <w:r>
        <w:rPr>
          <w:rFonts w:ascii="Arial" w:cs="Arial" w:eastAsia="Arial" w:hAnsi="Arial"/>
          <w:sz w:val="18"/>
          <w:szCs w:val="18"/>
          <w:color w:val="auto"/>
        </w:rPr>
        <w:t>The following table is designed to illustrate the effect on the return to a holder of our common stock of the leverage created by our use of borrowing at September 30, 2016 of 37% of total assets (including such borrowed funds), at the current interest rate at the time of 2.57%,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Assumed return on portfolio (net of expenses) </w:t>
            </w:r>
            <w:r>
              <w:rPr>
                <w:rFonts w:ascii="Arial" w:cs="Arial" w:eastAsia="Arial" w:hAnsi="Arial"/>
                <w:sz w:val="11"/>
                <w:szCs w:val="11"/>
                <w:color w:val="auto"/>
              </w:rPr>
              <w:t>(1)</w:t>
            </w:r>
          </w:p>
        </w:tc>
        <w:tc>
          <w:tcPr>
            <w:tcW w:w="2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 xml:space="preserve">Corresponding return to common stockholders </w:t>
            </w:r>
            <w:r>
              <w:rPr>
                <w:rFonts w:ascii="Arial" w:cs="Arial" w:eastAsia="Arial" w:hAnsi="Arial"/>
                <w:sz w:val="11"/>
                <w:szCs w:val="11"/>
                <w:color w:val="auto"/>
              </w:rPr>
              <w:t>(2)</w:t>
            </w:r>
          </w:p>
        </w:tc>
        <w:tc>
          <w:tcPr>
            <w:tcW w:w="2860" w:type="dxa"/>
            <w:vAlign w:val="bottom"/>
          </w:tcPr>
          <w:p>
            <w:pPr>
              <w:jc w:val="right"/>
              <w:ind w:right="52"/>
              <w:spacing w:after="0"/>
              <w:rPr>
                <w:sz w:val="20"/>
                <w:szCs w:val="20"/>
                <w:color w:val="auto"/>
              </w:rPr>
            </w:pPr>
            <w:r>
              <w:rPr>
                <w:rFonts w:ascii="Arial" w:cs="Arial" w:eastAsia="Arial" w:hAnsi="Arial"/>
                <w:sz w:val="18"/>
                <w:szCs w:val="18"/>
                <w:color w:val="auto"/>
              </w:rPr>
              <w:t>(18.4)%</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(10.0)%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6.8%</w:t>
            </w: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886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11"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220" w:right="20" w:hanging="212"/>
        <w:spacing w:after="0" w:line="277" w:lineRule="auto"/>
        <w:tabs>
          <w:tab w:leader="none" w:pos="2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01"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51" w:lineRule="exact"/>
        <w:rPr>
          <w:sz w:val="20"/>
          <w:szCs w:val="20"/>
          <w:color w:val="auto"/>
        </w:rPr>
      </w:pPr>
    </w:p>
    <w:p>
      <w:pPr>
        <w:ind w:right="260" w:firstLine="571"/>
        <w:spacing w:after="0" w:line="256" w:lineRule="auto"/>
        <w:rPr>
          <w:sz w:val="20"/>
          <w:szCs w:val="20"/>
          <w:color w:val="auto"/>
        </w:rPr>
      </w:pPr>
      <w:r>
        <w:rPr>
          <w:rFonts w:ascii="Arial" w:cs="Arial" w:eastAsia="Arial" w:hAnsi="Arial"/>
          <w:sz w:val="18"/>
          <w:szCs w:val="18"/>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debt securities in the future, it is likely that such securities will be governed by an indenture or other instrument containing covenants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90"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188"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would have a material adverse effect on our business.</w:t>
      </w:r>
    </w:p>
    <w:p>
      <w:pPr>
        <w:spacing w:after="0" w:line="51"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Our Credit Facility expires in August 2020. We utilize proceeds from the Credit Facility to make investments in our portfolio companies. The duration of many of our investments exceeds the duration of our indebtedness under our Credit Facility. This means that we will have to extend the maturity of our Credit Facility or refinance our indebtedness under our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04"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51"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interests in Funding I are subordinated.</w:t>
      </w:r>
    </w:p>
    <w:p>
      <w:pPr>
        <w:spacing w:after="0" w:line="9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20" w:lineRule="exact"/>
        <w:rPr>
          <w:sz w:val="20"/>
          <w:szCs w:val="20"/>
          <w:color w:val="auto"/>
        </w:rPr>
      </w:pPr>
    </w:p>
    <w:p>
      <w:pPr>
        <w:ind w:right="180" w:firstLine="571"/>
        <w:spacing w:after="0" w:line="298" w:lineRule="auto"/>
        <w:rPr>
          <w:sz w:val="20"/>
          <w:szCs w:val="20"/>
          <w:color w:val="auto"/>
        </w:rPr>
      </w:pPr>
      <w:r>
        <w:rPr>
          <w:rFonts w:ascii="Arial" w:cs="Arial" w:eastAsia="Arial" w:hAnsi="Arial"/>
          <w:sz w:val="16"/>
          <w:szCs w:val="16"/>
          <w:color w:val="auto"/>
        </w:rPr>
        <w:t>Our equity interests in Funding I are subordinate to all of the secured and unsecured creditors, known or unknown, of Funding I, including the Lenders.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receive cash on our equity interests from Funding I.</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maintain our ability to be subject to tax as a RIC. We also could be forced to sell investments in portfolio companies at less than their fair value in order to continue making such distributions.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90" w:lineRule="exact"/>
        <w:rPr>
          <w:sz w:val="20"/>
          <w:szCs w:val="20"/>
          <w:color w:val="auto"/>
        </w:rPr>
      </w:pPr>
    </w:p>
    <w:p>
      <w:pPr>
        <w:ind w:firstLine="571"/>
        <w:spacing w:after="0" w:line="306" w:lineRule="auto"/>
        <w:rPr>
          <w:sz w:val="20"/>
          <w:szCs w:val="20"/>
          <w:color w:val="auto"/>
        </w:rPr>
      </w:pPr>
      <w:r>
        <w:rPr>
          <w:rFonts w:ascii="Arial" w:cs="Arial" w:eastAsia="Arial" w:hAnsi="Arial"/>
          <w:sz w:val="15"/>
          <w:szCs w:val="15"/>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12"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44"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of these factors, results for any period should not be relied upon as being indicative of performance in future periods.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51"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ability to be subject to tax as a RIC for U.S. federal income tax purposes, which could have a material adverse effect on our business, financial condition and results of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we issue preferred stock, debt securities or convertible debt securities the NAV and market value of our common stock may become more volatile.</w:t>
      </w:r>
    </w:p>
    <w:p>
      <w:pPr>
        <w:spacing w:after="0" w:line="125"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2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ability to sell investments held by Funding I is limited.</w:t>
      </w:r>
    </w:p>
    <w:p>
      <w:pPr>
        <w:spacing w:after="0" w:line="90" w:lineRule="exact"/>
        <w:rPr>
          <w:sz w:val="20"/>
          <w:szCs w:val="20"/>
          <w:color w:val="auto"/>
        </w:rPr>
      </w:pPr>
    </w:p>
    <w:p>
      <w:pPr>
        <w:ind w:right="380" w:firstLine="571"/>
        <w:spacing w:after="0" w:line="268" w:lineRule="auto"/>
        <w:rPr>
          <w:sz w:val="20"/>
          <w:szCs w:val="20"/>
          <w:color w:val="auto"/>
        </w:rPr>
      </w:pPr>
      <w:r>
        <w:rPr>
          <w:rFonts w:ascii="Arial" w:cs="Arial" w:eastAsia="Arial" w:hAnsi="Arial"/>
          <w:sz w:val="18"/>
          <w:szCs w:val="18"/>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90"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factors include the following:</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or similar to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90"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Terms relating to debt redemption may have a material adverse effect on the return on any debt securities.</w:t>
      </w:r>
    </w:p>
    <w:p>
      <w:pPr>
        <w:spacing w:after="0" w:line="90" w:lineRule="exact"/>
        <w:rPr>
          <w:sz w:val="20"/>
          <w:szCs w:val="20"/>
          <w:color w:val="auto"/>
        </w:rPr>
      </w:pPr>
    </w:p>
    <w:p>
      <w:pPr>
        <w:ind w:firstLine="571"/>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1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62"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90"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or those of our portfolio companies may adversely affect our business.</w:t>
      </w:r>
    </w:p>
    <w:p>
      <w:pPr>
        <w:spacing w:after="0" w:line="90" w:lineRule="exact"/>
        <w:rPr>
          <w:sz w:val="20"/>
          <w:szCs w:val="20"/>
          <w:color w:val="auto"/>
        </w:rPr>
      </w:pPr>
    </w:p>
    <w:p>
      <w:pPr>
        <w:jc w:val="both"/>
        <w:ind w:right="500" w:firstLine="571"/>
        <w:spacing w:after="0" w:line="335" w:lineRule="auto"/>
        <w:rPr>
          <w:sz w:val="20"/>
          <w:szCs w:val="20"/>
          <w:color w:val="auto"/>
        </w:rPr>
      </w:pPr>
      <w:r>
        <w:rPr>
          <w:rFonts w:ascii="Arial" w:cs="Arial" w:eastAsia="Arial" w:hAnsi="Arial"/>
          <w:sz w:val="15"/>
          <w:szCs w:val="15"/>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“Regulation” for more information.</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13"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risks associated with cybersecurity and cyber incidents.</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6"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1" w:lineRule="exact"/>
        <w:rPr>
          <w:sz w:val="20"/>
          <w:szCs w:val="20"/>
          <w:color w:val="auto"/>
        </w:rPr>
      </w:pPr>
    </w:p>
    <w:p>
      <w:pPr>
        <w:ind w:right="80" w:firstLine="571"/>
        <w:spacing w:after="0" w:line="284" w:lineRule="auto"/>
        <w:rPr>
          <w:sz w:val="20"/>
          <w:szCs w:val="20"/>
          <w:color w:val="auto"/>
        </w:rPr>
      </w:pPr>
      <w:r>
        <w:rPr>
          <w:rFonts w:ascii="Arial" w:cs="Arial" w:eastAsia="Arial" w:hAnsi="Arial"/>
          <w:sz w:val="16"/>
          <w:szCs w:val="16"/>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w:t>
      </w:r>
    </w:p>
    <w:p>
      <w:pPr>
        <w:spacing w:after="0" w:line="1" w:lineRule="exact"/>
        <w:rPr>
          <w:sz w:val="20"/>
          <w:szCs w:val="20"/>
          <w:color w:val="auto"/>
        </w:rPr>
      </w:pPr>
    </w:p>
    <w:p>
      <w:pPr>
        <w:ind w:right="60" w:firstLine="8"/>
        <w:spacing w:after="0" w:line="290" w:lineRule="auto"/>
        <w:tabs>
          <w:tab w:leader="none" w:pos="35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18"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45"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180" w:firstLine="571"/>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9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280" w:firstLine="571"/>
        <w:spacing w:after="0" w:line="294" w:lineRule="auto"/>
        <w:rPr>
          <w:sz w:val="20"/>
          <w:szCs w:val="20"/>
          <w:color w:val="auto"/>
        </w:rPr>
      </w:pPr>
      <w:r>
        <w:rPr>
          <w:rFonts w:ascii="Arial" w:cs="Arial" w:eastAsia="Arial" w:hAnsi="Arial"/>
          <w:sz w:val="16"/>
          <w:szCs w:val="16"/>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invest in over-the-counter securities, which have and may continue to face liquidity constraints, to provide us with liquidity.</w:t>
      </w:r>
    </w:p>
    <w:p>
      <w:pPr>
        <w:spacing w:after="0" w:line="113"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90"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We intend to invest primarily in Floating Rate Loans, which may consist of senior secured debt and mezzanine debt, and, to a lesser extent, equity investments issued by U.S. middle-market companies.</w:t>
      </w:r>
    </w:p>
    <w:p>
      <w:pPr>
        <w:spacing w:after="0" w:line="118" w:lineRule="exact"/>
        <w:rPr>
          <w:sz w:val="20"/>
          <w:szCs w:val="20"/>
          <w:color w:val="auto"/>
        </w:rPr>
      </w:pPr>
    </w:p>
    <w:p>
      <w:pPr>
        <w:ind w:left="920" w:right="140" w:hanging="345"/>
        <w:spacing w:after="0" w:line="289"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Floating Rate Loans: </w:t>
      </w:r>
      <w:r>
        <w:rPr>
          <w:rFonts w:ascii="Arial" w:cs="Arial" w:eastAsia="Arial" w:hAnsi="Arial"/>
          <w:sz w:val="16"/>
          <w:szCs w:val="16"/>
          <w:color w:val="auto"/>
        </w:rPr>
        <w:t>The Floating Rate Loans we invest in are usually rated below investment grade or may also be unrated.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 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investment-grade, variable-rate securities.</w:t>
      </w:r>
    </w:p>
    <w:p>
      <w:pPr>
        <w:spacing w:after="0" w:line="91" w:lineRule="exact"/>
        <w:rPr>
          <w:rFonts w:ascii="Arial" w:cs="Arial" w:eastAsia="Arial" w:hAnsi="Arial"/>
          <w:sz w:val="16"/>
          <w:szCs w:val="16"/>
          <w:color w:val="auto"/>
        </w:rPr>
      </w:pPr>
    </w:p>
    <w:p>
      <w:pPr>
        <w:ind w:left="920" w:right="60"/>
        <w:spacing w:after="0" w:line="288" w:lineRule="auto"/>
        <w:rPr>
          <w:rFonts w:ascii="Arial" w:cs="Arial" w:eastAsia="Arial" w:hAnsi="Arial"/>
          <w:sz w:val="16"/>
          <w:szCs w:val="16"/>
          <w:color w:val="auto"/>
        </w:rPr>
      </w:pPr>
      <w:r>
        <w:rPr>
          <w:rFonts w:ascii="Arial" w:cs="Arial" w:eastAsia="Arial" w:hAnsi="Arial"/>
          <w:sz w:val="16"/>
          <w:szCs w:val="16"/>
          <w:color w:val="auto"/>
        </w:rPr>
        <w:t>Floating Rate Loans are subject to the risk of non-payment of scheduled interest or principal. Such non-payment would result in a reduction of income to us, a reduction in the fair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actions detrimental to the holders of loans including, in certain circumstances, invalidating such loans or causing interest previously paid to be refunded to the borrower. Either such step could materially negatively affect our performance.</w:t>
      </w:r>
    </w:p>
    <w:p>
      <w:pPr>
        <w:spacing w:after="0" w:line="92" w:lineRule="exact"/>
        <w:rPr>
          <w:rFonts w:ascii="Arial" w:cs="Arial" w:eastAsia="Arial" w:hAnsi="Arial"/>
          <w:sz w:val="16"/>
          <w:szCs w:val="16"/>
          <w:color w:val="auto"/>
        </w:rPr>
      </w:pPr>
    </w:p>
    <w:p>
      <w:pPr>
        <w:ind w:left="920" w:right="440"/>
        <w:spacing w:after="0" w:line="268" w:lineRule="auto"/>
        <w:rPr>
          <w:rFonts w:ascii="Arial" w:cs="Arial" w:eastAsia="Arial" w:hAnsi="Arial"/>
          <w:sz w:val="16"/>
          <w:szCs w:val="16"/>
          <w:color w:val="auto"/>
        </w:rPr>
      </w:pPr>
      <w:r>
        <w:rPr>
          <w:rFonts w:ascii="Arial" w:cs="Arial" w:eastAsia="Arial" w:hAnsi="Arial"/>
          <w:sz w:val="18"/>
          <w:szCs w:val="18"/>
          <w:color w:val="auto"/>
        </w:rPr>
        <w:t>We may acquire Floating Rate Loans through assignments or participations of interests in such loans. The purchaser of an assignment typically succeeds to all the rights and obligations of the assigning institution and becomes a lender under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308" w:lineRule="auto"/>
        <w:rPr>
          <w:sz w:val="20"/>
          <w:szCs w:val="20"/>
          <w:color w:val="auto"/>
        </w:rPr>
      </w:pPr>
      <w:r>
        <w:rPr>
          <w:rFonts w:ascii="Arial" w:cs="Arial" w:eastAsia="Arial" w:hAnsi="Arial"/>
          <w:sz w:val="15"/>
          <w:szCs w:val="15"/>
          <w:color w:val="auto"/>
        </w:rPr>
        <w:t>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96" w:lineRule="exact"/>
        <w:rPr>
          <w:sz w:val="20"/>
          <w:szCs w:val="20"/>
          <w:color w:val="auto"/>
        </w:rPr>
      </w:pPr>
    </w:p>
    <w:p>
      <w:pPr>
        <w:ind w:left="920" w:hanging="345"/>
        <w:spacing w:after="0" w:line="288"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Secured Debt: </w:t>
      </w:r>
      <w:r>
        <w:rPr>
          <w:rFonts w:ascii="Arial" w:cs="Arial" w:eastAsia="Arial" w:hAnsi="Arial"/>
          <w:sz w:val="16"/>
          <w:szCs w:val="16"/>
          <w:color w:val="auto"/>
        </w:rPr>
        <w:t>When we extend senior secured debt, which we define to include first lien debt, we will generally take a security interest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assets of these 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senior secured debt investment is secured does not guarantee that we will receive principal and interest payments according to the loan’s terms, or at all, or that we will be able to collect on the loan should we be forced to enforce our remedies.</w:t>
      </w:r>
    </w:p>
    <w:p>
      <w:pPr>
        <w:spacing w:after="0" w:line="106" w:lineRule="exact"/>
        <w:rPr>
          <w:rFonts w:ascii="Arial" w:cs="Arial" w:eastAsia="Arial" w:hAnsi="Arial"/>
          <w:sz w:val="16"/>
          <w:szCs w:val="16"/>
          <w:color w:val="auto"/>
        </w:rPr>
      </w:pPr>
    </w:p>
    <w:p>
      <w:pPr>
        <w:ind w:left="920" w:right="60" w:hanging="345"/>
        <w:spacing w:after="0" w:line="290"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subordinated to senior secured debt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hanging="345"/>
        <w:spacing w:after="0" w:line="289" w:lineRule="auto"/>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Equity Investments: </w:t>
      </w:r>
      <w:r>
        <w:rPr>
          <w:rFonts w:ascii="Arial" w:cs="Arial" w:eastAsia="Arial" w:hAnsi="Arial"/>
          <w:sz w:val="16"/>
          <w:szCs w:val="16"/>
          <w:color w:val="auto"/>
        </w:rPr>
        <w:t>We have made and expect to continue to make select equity investments, all of which are subordinated to debt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 when we invest in senior secured debt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investments, we may pay taxes at regular corporate tax rates, which will reduce the amount on gains or dividends available for distributions to our stockholders.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212" w:lineRule="exact"/>
        <w:rPr>
          <w:sz w:val="20"/>
          <w:szCs w:val="20"/>
          <w:color w:val="auto"/>
        </w:rPr>
      </w:pPr>
    </w:p>
    <w:p>
      <w:pPr>
        <w:jc w:val="both"/>
        <w:ind w:left="900" w:right="1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80" w:lineRule="exact"/>
        <w:rPr>
          <w:rFonts w:ascii="Arial" w:cs="Arial" w:eastAsia="Arial" w:hAnsi="Arial"/>
          <w:sz w:val="18"/>
          <w:szCs w:val="18"/>
          <w:color w:val="auto"/>
        </w:rPr>
      </w:pPr>
    </w:p>
    <w:p>
      <w:pPr>
        <w:jc w:val="both"/>
        <w:ind w:left="900" w:right="14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18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25"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53" w:lineRule="exact"/>
        <w:rPr>
          <w:rFonts w:ascii="Arial" w:cs="Arial" w:eastAsia="Arial" w:hAnsi="Arial"/>
          <w:sz w:val="16"/>
          <w:szCs w:val="16"/>
          <w:color w:val="auto"/>
        </w:rPr>
      </w:pPr>
    </w:p>
    <w:p>
      <w:pPr>
        <w:ind w:left="900" w:right="6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refinance their outstanding indebtedness upon maturity.</w:t>
      </w:r>
    </w:p>
    <w:p>
      <w:pPr>
        <w:spacing w:after="0" w:line="213"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4" w:lineRule="exact"/>
        <w:rPr>
          <w:sz w:val="20"/>
          <w:szCs w:val="20"/>
          <w:color w:val="auto"/>
        </w:rPr>
      </w:pPr>
    </w:p>
    <w:p>
      <w:pPr>
        <w:ind w:right="200" w:firstLine="571"/>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43"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9"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1" w:lineRule="exact"/>
        <w:rPr>
          <w:sz w:val="20"/>
          <w:szCs w:val="20"/>
          <w:color w:val="auto"/>
        </w:rPr>
      </w:pPr>
    </w:p>
    <w:p>
      <w:pPr>
        <w:ind w:right="140" w:firstLine="436"/>
        <w:spacing w:after="0" w:line="268"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portfolio diversification, and our investments could be concentrated in relatively few portfolio companies or industries.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9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17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201"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4" w:lineRule="exact"/>
        <w:rPr>
          <w:sz w:val="20"/>
          <w:szCs w:val="20"/>
          <w:color w:val="auto"/>
        </w:rPr>
      </w:pPr>
    </w:p>
    <w:p>
      <w:pPr>
        <w:ind w:right="20" w:firstLine="439"/>
        <w:spacing w:after="0" w:line="323" w:lineRule="auto"/>
        <w:rPr>
          <w:sz w:val="20"/>
          <w:szCs w:val="20"/>
          <w:color w:val="auto"/>
        </w:rPr>
      </w:pPr>
      <w:r>
        <w:rPr>
          <w:rFonts w:ascii="Arial" w:cs="Arial" w:eastAsia="Arial" w:hAnsi="Arial"/>
          <w:sz w:val="15"/>
          <w:szCs w:val="15"/>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228"/>
        <w:spacing w:after="0" w:line="259"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9"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225"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 and our portfolio companies may be highly leveraged.</w:t>
      </w:r>
    </w:p>
    <w:p>
      <w:pPr>
        <w:spacing w:after="0" w:line="51"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We invest primarily in Floating Rate Loans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90" w:lineRule="exact"/>
        <w:rPr>
          <w:sz w:val="20"/>
          <w:szCs w:val="20"/>
          <w:color w:val="auto"/>
        </w:rPr>
      </w:pPr>
    </w:p>
    <w:p>
      <w:pPr>
        <w:ind w:right="60" w:firstLine="571"/>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25"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90" w:lineRule="exact"/>
        <w:rPr>
          <w:sz w:val="20"/>
          <w:szCs w:val="20"/>
          <w:color w:val="auto"/>
        </w:rPr>
      </w:pPr>
    </w:p>
    <w:p>
      <w:pPr>
        <w:ind w:right="120" w:firstLine="439"/>
        <w:spacing w:after="0" w:line="291"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of companies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39"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97"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51"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90"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9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6"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26" w:lineRule="exact"/>
        <w:rPr>
          <w:sz w:val="20"/>
          <w:szCs w:val="20"/>
          <w:color w:val="auto"/>
        </w:rPr>
      </w:pPr>
    </w:p>
    <w:p>
      <w:pPr>
        <w:jc w:val="both"/>
        <w:ind w:right="40" w:firstLine="571"/>
        <w:spacing w:after="0" w:line="306" w:lineRule="auto"/>
        <w:rPr>
          <w:sz w:val="20"/>
          <w:szCs w:val="20"/>
          <w:color w:val="auto"/>
        </w:rPr>
      </w:pPr>
      <w:r>
        <w:rPr>
          <w:rFonts w:ascii="Arial" w:cs="Arial" w:eastAsia="Arial" w:hAnsi="Arial"/>
          <w:sz w:val="16"/>
          <w:szCs w:val="16"/>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07"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18"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90"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90" w:lineRule="exact"/>
        <w:rPr>
          <w:sz w:val="20"/>
          <w:szCs w:val="20"/>
          <w:color w:val="auto"/>
        </w:rPr>
      </w:pPr>
    </w:p>
    <w:p>
      <w:pPr>
        <w:ind w:right="260" w:firstLine="571"/>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90"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Shares of BDCs may trade at a market price that is less than the NAV that is attributable to those shares. Our shares have traded above and below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NAV. Our shares closed on the NASDAQ Global Select Market at $13.23 and $11.94 on September 30, 2016 and 2015, respectively. Our NAV per share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$14.06 and $13.95 for the same periods. The possibility that our shares of common stock will trade at a discount from NAV or at a premium that is unsustainable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the long term is separate and distinct from the risk that our NAV will decrease. It is not possible to predict whether our shares will trade at, above or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NAV in the future.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72" w:lineRule="exact"/>
        <w:rPr>
          <w:sz w:val="20"/>
          <w:szCs w:val="20"/>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loss of our BDC or RIC status;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211"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i w:val="1"/>
          <w:iCs w:val="1"/>
          <w:color w:val="auto"/>
        </w:rPr>
        <w:t>We may be unable to invest the net proceeds raised from offerings on acceptable terms, which would harm our financial condition and operating results.</w:t>
      </w:r>
    </w:p>
    <w:p>
      <w:pPr>
        <w:spacing w:after="0" w:line="125"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90"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51"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90"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or the Sarbanes-Oxley Act, and other rules implemented by the SEC and the listing standards of the NASDAQ Stock Market LLC.</w:t>
      </w:r>
    </w:p>
    <w:p>
      <w:pPr>
        <w:spacing w:after="0" w:line="224"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Maryland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Maryland Business Combination Act may discourage third parties from trying to acquire control of us and increase the difficulty of consummating such an offer.</w:t>
      </w:r>
    </w:p>
    <w:p>
      <w:pPr>
        <w:spacing w:after="0" w:line="12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2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20" w:firstLine="571"/>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62" w:lineRule="exact"/>
        <w:rPr>
          <w:sz w:val="20"/>
          <w:szCs w:val="20"/>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European sovereign debt, Brexit and other world economic and political issues.</w:t>
      </w:r>
    </w:p>
    <w:p>
      <w:pPr>
        <w:spacing w:after="0" w:line="171" w:lineRule="exact"/>
        <w:rPr>
          <w:sz w:val="20"/>
          <w:szCs w:val="20"/>
          <w:color w:val="auto"/>
        </w:rPr>
      </w:pPr>
    </w:p>
    <w:p>
      <w:pPr>
        <w:ind w:right="220" w:firstLine="571"/>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jc w:val="both"/>
        <w:ind w:right="60" w:firstLine="571"/>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or through reports that we in the future may file with the SEC, including reports on Form 10-K/Q and current reports on Form 8-K.</w:t>
      </w:r>
    </w:p>
    <w:p>
      <w:pPr>
        <w:spacing w:after="0" w:line="143"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 general corporate or strategic purposes. Any supplements to this prospectus relating to an offering may more fully identify the use of the proceeds from such offering.</w:t>
      </w:r>
    </w:p>
    <w:p>
      <w:pPr>
        <w:spacing w:after="0" w:line="140"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As of September 30, 2016, we had $232.9 million in borrowings outstanding under our $350 million multi-currency Credit Facility. Borrowings under our Credit Facility bear interest at LIBOR plus 200 basis points per annum during the revolving period, and the rate resets to LIBOR plus 425 basis points per annum for the remaining two years. At September 30, 2016, the interest rate was 2.57% exclusive of the fees on the undrawn commitment. The Credit Facility is a revolving facility maturing in August 2020 and is secured by all of the assets held by Funding I. Amounts repaid under our Credit Facility remain available for future borrowings during the revolving period. See “Management’s Discussion and Analysis of Financial Condition and Results of Operations” for more information.</w:t>
      </w:r>
    </w:p>
    <w:p>
      <w:pPr>
        <w:spacing w:after="0" w:line="144"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80" w:firstLine="571"/>
        <w:spacing w:after="0" w:line="256" w:lineRule="auto"/>
        <w:rPr>
          <w:sz w:val="20"/>
          <w:szCs w:val="20"/>
          <w:color w:val="auto"/>
        </w:rPr>
      </w:pPr>
      <w:r>
        <w:rPr>
          <w:rFonts w:ascii="Arial" w:cs="Arial" w:eastAsia="Arial" w:hAnsi="Arial"/>
          <w:sz w:val="18"/>
          <w:szCs w:val="18"/>
          <w:color w:val="auto"/>
        </w:rPr>
        <w:t>We have derived the data below from our audited and unaudited financial data. The Consolidated Statement of Operations data, Per share data, Consolidated Statement of Assets and Liabilities data and Total returns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w w:val="89"/>
              </w:rPr>
              <w:t>For the years ended September 30,</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340" w:type="dxa"/>
            <w:vAlign w:val="bottom"/>
          </w:tcPr>
          <w:p>
            <w:pPr>
              <w:spacing w:after="0"/>
              <w:rPr>
                <w:sz w:val="12"/>
                <w:szCs w:val="12"/>
                <w:color w:val="auto"/>
              </w:rPr>
            </w:pPr>
          </w:p>
        </w:tc>
        <w:tc>
          <w:tcPr>
            <w:tcW w:w="5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5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5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6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6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r>
      <w:tr>
        <w:trPr>
          <w:trHeight w:val="129"/>
        </w:trPr>
        <w:tc>
          <w:tcPr>
            <w:tcW w:w="73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5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income</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1"/>
              </w:rPr>
              <w:t>$ 46,301</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$ 30,355</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$ 30,357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$ 18,867</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$ 12,099</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18,965</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12,695</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13,721</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8,344</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5,789</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27,336</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17,660</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16,636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10,523</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6,310</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6,153</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(5,156)</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3,878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1,461</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5,651</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33,489</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12,504</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20,514</w:t>
            </w: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11,985</w:t>
            </w: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11,961</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14.06</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13.95</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14.40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14.10</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13.98</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1"/>
                <w:szCs w:val="11"/>
                <w:color w:val="auto"/>
              </w:rPr>
              <w:t xml:space="preserve">Net investment income </w:t>
            </w:r>
            <w:r>
              <w:rPr>
                <w:rFonts w:ascii="Arial" w:cs="Arial" w:eastAsia="Arial" w:hAnsi="Arial"/>
                <w:sz w:val="17"/>
                <w:szCs w:val="17"/>
                <w:color w:val="auto"/>
                <w:vertAlign w:val="superscript"/>
              </w:rPr>
              <w:t>(1)</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1.08</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0.92</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realized and unrealized gain (loss) </w:t>
            </w:r>
            <w:r>
              <w:rPr>
                <w:rFonts w:ascii="Arial" w:cs="Arial" w:eastAsia="Arial" w:hAnsi="Arial"/>
                <w:sz w:val="17"/>
                <w:szCs w:val="17"/>
                <w:color w:val="auto"/>
                <w:vertAlign w:val="superscript"/>
              </w:rPr>
              <w:t>(1)</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0.23</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(0.31)</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0.15</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0.83</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1"/>
                <w:szCs w:val="11"/>
                <w:color w:val="auto"/>
              </w:rPr>
              <w:t xml:space="preserve">Net increase in net assets resulting from operations </w:t>
            </w:r>
            <w:r>
              <w:rPr>
                <w:rFonts w:ascii="Arial" w:cs="Arial" w:eastAsia="Arial" w:hAnsi="Arial"/>
                <w:sz w:val="17"/>
                <w:szCs w:val="17"/>
                <w:color w:val="auto"/>
                <w:vertAlign w:val="superscript"/>
              </w:rPr>
              <w:t>(1)</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1.25</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0.77</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1.75</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Distributions declared </w:t>
            </w:r>
            <w:r>
              <w:rPr>
                <w:rFonts w:ascii="Arial" w:cs="Arial" w:eastAsia="Arial" w:hAnsi="Arial"/>
                <w:sz w:val="17"/>
                <w:szCs w:val="17"/>
                <w:color w:val="auto"/>
                <w:vertAlign w:val="superscript"/>
              </w:rPr>
              <w:t>(1), (2)</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1.14</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1.16</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1.08</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0.91</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Statements of Assets and Liabilities data:</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8"/>
              </w:rPr>
              <w:t>631,420</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8"/>
              </w:rPr>
              <w:t>416,120</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372,874</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328,802</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178,367</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Total investment portfolio</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8"/>
              </w:rPr>
              <w:t>598,888</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8"/>
              </w:rPr>
              <w:t>391,312</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348,428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317,804</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171,834</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Credit Facility payable </w:t>
            </w:r>
            <w:r>
              <w:rPr>
                <w:rFonts w:ascii="Arial" w:cs="Arial" w:eastAsia="Arial" w:hAnsi="Arial"/>
                <w:sz w:val="17"/>
                <w:szCs w:val="17"/>
                <w:color w:val="auto"/>
                <w:vertAlign w:val="superscript"/>
              </w:rPr>
              <w:t>(3)</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8"/>
              </w:rPr>
              <w:t>232,389</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29,600</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146,949</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99,600</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75,123</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8"/>
              </w:rPr>
              <w:t>375,907</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8"/>
              </w:rPr>
              <w:t>372,890</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214,528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210,066</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95,744</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1"/>
                <w:szCs w:val="11"/>
                <w:color w:val="auto"/>
              </w:rPr>
              <w:t xml:space="preserve">Total return </w:t>
            </w:r>
            <w:r>
              <w:rPr>
                <w:rFonts w:ascii="Arial" w:cs="Arial" w:eastAsia="Arial" w:hAnsi="Arial"/>
                <w:sz w:val="17"/>
                <w:szCs w:val="17"/>
                <w:color w:val="auto"/>
                <w:vertAlign w:val="superscript"/>
              </w:rPr>
              <w:t>(4)</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21.77%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(6.01)%</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8.05%</w:t>
            </w:r>
          </w:p>
        </w:tc>
        <w:tc>
          <w:tcPr>
            <w:tcW w:w="8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17.17%</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29.43%</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Number of portfolio companies </w:t>
            </w:r>
            <w:r>
              <w:rPr>
                <w:rFonts w:ascii="Arial" w:cs="Arial" w:eastAsia="Arial" w:hAnsi="Arial"/>
                <w:sz w:val="17"/>
                <w:szCs w:val="17"/>
                <w:color w:val="auto"/>
                <w:vertAlign w:val="superscript"/>
              </w:rPr>
              <w:t>(5)</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98</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76</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w:t>
            </w:r>
          </w:p>
        </w:tc>
      </w:tr>
      <w:tr>
        <w:trPr>
          <w:trHeight w:val="278"/>
        </w:trPr>
        <w:tc>
          <w:tcPr>
            <w:tcW w:w="7340" w:type="dxa"/>
            <w:vAlign w:val="bottom"/>
          </w:tcPr>
          <w:p>
            <w:pPr>
              <w:spacing w:after="0"/>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22"/>
                <w:szCs w:val="22"/>
                <w:color w:val="auto"/>
                <w:vertAlign w:val="superscript"/>
              </w:rPr>
              <w:t>(5)</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7.8%</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7.9%</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8.2%</w:t>
            </w: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8.1%</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8865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ind w:left="580" w:hanging="572"/>
        <w:spacing w:after="0" w:line="185" w:lineRule="auto"/>
        <w:tabs>
          <w:tab w:leader="none" w:pos="580" w:val="left"/>
        </w:tabs>
        <w:numPr>
          <w:ilvl w:val="0"/>
          <w:numId w:val="17"/>
        </w:numPr>
        <w:rPr>
          <w:rFonts w:ascii="Arial" w:cs="Arial" w:eastAsia="Arial" w:hAnsi="Arial"/>
          <w:sz w:val="19"/>
          <w:szCs w:val="19"/>
          <w:color w:val="auto"/>
          <w:vertAlign w:val="superscript"/>
        </w:rPr>
      </w:pPr>
      <w:r>
        <w:rPr>
          <w:rFonts w:ascii="Arial" w:cs="Arial" w:eastAsia="Arial" w:hAnsi="Arial"/>
          <w:sz w:val="12"/>
          <w:szCs w:val="12"/>
          <w:color w:val="auto"/>
        </w:rPr>
        <w:t>Based on the weighted average shares outstanding for the respective periods.</w:t>
      </w:r>
    </w:p>
    <w:p>
      <w:pPr>
        <w:ind w:left="580" w:right="140" w:hanging="572"/>
        <w:spacing w:after="0" w:line="182" w:lineRule="auto"/>
        <w:tabs>
          <w:tab w:leader="none" w:pos="580" w:val="left"/>
        </w:tabs>
        <w:numPr>
          <w:ilvl w:val="0"/>
          <w:numId w:val="17"/>
        </w:numPr>
        <w:rPr>
          <w:rFonts w:ascii="Arial" w:cs="Arial" w:eastAsia="Arial" w:hAnsi="Arial"/>
          <w:sz w:val="21"/>
          <w:szCs w:val="21"/>
          <w:color w:val="auto"/>
          <w:vertAlign w:val="superscript"/>
        </w:rPr>
      </w:pPr>
      <w:r>
        <w:rPr>
          <w:rFonts w:ascii="Arial" w:cs="Arial" w:eastAsia="Arial" w:hAnsi="Arial"/>
          <w:sz w:val="13"/>
          <w:szCs w:val="13"/>
          <w:color w:val="auto"/>
        </w:rPr>
        <w:t>The tax status of our distributions is calculated in accordance with income tax regulations, which may differ from amounts determined under GAAP and is reported on Form 1099-DIV each calendar year.</w:t>
      </w:r>
    </w:p>
    <w:p>
      <w:pPr>
        <w:ind w:left="580" w:hanging="572"/>
        <w:spacing w:after="0" w:line="182" w:lineRule="auto"/>
        <w:tabs>
          <w:tab w:leader="none" w:pos="580" w:val="left"/>
        </w:tabs>
        <w:numPr>
          <w:ilvl w:val="0"/>
          <w:numId w:val="17"/>
        </w:numPr>
        <w:rPr>
          <w:rFonts w:ascii="Arial" w:cs="Arial" w:eastAsia="Arial" w:hAnsi="Arial"/>
          <w:sz w:val="17"/>
          <w:szCs w:val="17"/>
          <w:color w:val="auto"/>
          <w:vertAlign w:val="superscript"/>
        </w:rPr>
      </w:pPr>
      <w:r>
        <w:rPr>
          <w:rFonts w:ascii="Arial" w:cs="Arial" w:eastAsia="Arial" w:hAnsi="Arial"/>
          <w:sz w:val="11"/>
          <w:szCs w:val="11"/>
          <w:color w:val="auto"/>
        </w:rPr>
        <w:t>At fair value.</w:t>
      </w:r>
    </w:p>
    <w:p>
      <w:pPr>
        <w:ind w:left="580" w:hanging="572"/>
        <w:spacing w:after="0" w:line="182" w:lineRule="auto"/>
        <w:tabs>
          <w:tab w:leader="none" w:pos="580" w:val="left"/>
        </w:tabs>
        <w:numPr>
          <w:ilvl w:val="0"/>
          <w:numId w:val="17"/>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periods and takes into account distributions, if any, reinvested in accordance with our dividend reinvestment plan.</w:t>
      </w:r>
    </w:p>
    <w:p>
      <w:pPr>
        <w:ind w:left="580" w:hanging="572"/>
        <w:spacing w:after="0" w:line="185" w:lineRule="auto"/>
        <w:tabs>
          <w:tab w:leader="none" w:pos="580"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Unaudited, at year end.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Q4</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15,396</w:t>
            </w:r>
          </w:p>
        </w:tc>
        <w:tc>
          <w:tcPr>
            <w:tcW w:w="3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10,803</w:t>
            </w: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11,346</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8,756</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8,155</w:t>
            </w:r>
          </w:p>
        </w:tc>
        <w:tc>
          <w:tcPr>
            <w:tcW w:w="5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6,830</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7,265</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5,086</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7,732</w:t>
            </w:r>
          </w:p>
        </w:tc>
        <w:tc>
          <w:tcPr>
            <w:tcW w:w="5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6,589</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(4,829)</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(3,339)</w:t>
            </w: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15,887</w:t>
            </w:r>
          </w:p>
        </w:tc>
        <w:tc>
          <w:tcPr>
            <w:tcW w:w="5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13,419</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2,436</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1,747</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0.59</w:t>
            </w:r>
          </w:p>
        </w:tc>
        <w:tc>
          <w:tcPr>
            <w:tcW w:w="5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0.50</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0.09</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14.06</w:t>
            </w:r>
          </w:p>
        </w:tc>
        <w:tc>
          <w:tcPr>
            <w:tcW w:w="5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13.75</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13.54</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13.73</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13.23</w:t>
            </w:r>
          </w:p>
        </w:tc>
        <w:tc>
          <w:tcPr>
            <w:tcW w:w="5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11.70</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7,791</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7,104</w:t>
            </w: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7,983</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7,477</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3,639</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4,097</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4,456</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5,468</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(2,424)</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1,668</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(5,030)</w:t>
            </w: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1,215</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4,727</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6,124</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438</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0.41</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13.95</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14.33</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14.30</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14.16</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13.88</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14.03</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8,221</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7,669</w:t>
            </w: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7,623</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6,844</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5,320</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4,363</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3,725</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3,228</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(3,043)</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3,513</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2,829</w:t>
            </w: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2,278</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4,942</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7,237</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6,057</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0.15</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0.33</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0.49</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14.40</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14.52</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14.46</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14.24</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13.78</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13.82</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8865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18"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80" w:firstLine="571"/>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3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8" w:lineRule="exact"/>
        <w:rPr>
          <w:sz w:val="20"/>
          <w:szCs w:val="20"/>
          <w:color w:val="auto"/>
        </w:rPr>
      </w:pPr>
    </w:p>
    <w:p>
      <w:pPr>
        <w:ind w:right="80" w:firstLine="571"/>
        <w:spacing w:after="0" w:line="318" w:lineRule="auto"/>
        <w:rPr>
          <w:sz w:val="20"/>
          <w:szCs w:val="20"/>
          <w:color w:val="auto"/>
        </w:rPr>
      </w:pPr>
      <w:r>
        <w:rPr>
          <w:rFonts w:ascii="Arial" w:cs="Arial" w:eastAsia="Arial" w:hAnsi="Arial"/>
          <w:sz w:val="15"/>
          <w:szCs w:val="15"/>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00" w:lineRule="exact"/>
        <w:rPr>
          <w:sz w:val="20"/>
          <w:szCs w:val="20"/>
          <w:color w:val="auto"/>
        </w:rPr>
      </w:pPr>
    </w:p>
    <w:p>
      <w:pPr>
        <w:ind w:right="22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In August 2015, we completed the acquisition of MCG pursuant to the Merger Agreement. As a result of the transactions contemplated by the Merger Agreement, MCG was merged with and into PFLT Panama, LLC with MCG as the surviving corporation, following which MCG was merged with and into PFLT Funding II, LLC with PFLT Funding II, LLC as the surviving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as interest income. We record prepayment penalties on loans and debt securities as income. Dividend income, if any, is recognized on an accrual basis on the ex-dividend date to the extent that we expect to collect such amounts. Litigation settlements are accounted for in accordance with the gain contingency provisions of ASC 450-30.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62" w:lineRule="exact"/>
        <w:rPr>
          <w:sz w:val="20"/>
          <w:szCs w:val="20"/>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76"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 w:hanging="314"/>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40" w:lineRule="exact"/>
        <w:rPr>
          <w:sz w:val="20"/>
          <w:szCs w:val="20"/>
          <w:color w:val="auto"/>
        </w:rPr>
      </w:pPr>
    </w:p>
    <w:p>
      <w:pPr>
        <w:jc w:val="both"/>
        <w:ind w:right="300" w:firstLine="571"/>
        <w:spacing w:after="0" w:line="306" w:lineRule="auto"/>
        <w:rPr>
          <w:sz w:val="20"/>
          <w:szCs w:val="20"/>
          <w:color w:val="auto"/>
        </w:rPr>
      </w:pPr>
      <w:r>
        <w:rPr>
          <w:rFonts w:ascii="Arial" w:cs="Arial" w:eastAsia="Arial" w:hAnsi="Arial"/>
          <w:sz w:val="16"/>
          <w:szCs w:val="16"/>
          <w:color w:val="auto"/>
        </w:rPr>
        <w:t>The SEC requires that “Total Estimated Annual Expenses” be calculated as a percentage of average net assets in the table on page 6 of this prospectus rather than as a percentage of average total assets. Total assets include assets that have been funded with borrowed money (leverage). For reference, the table below illustrates our “Total Estimated Annual Expenses” as a percentage of average total assets:</w:t>
      </w:r>
    </w:p>
    <w:p>
      <w:pPr>
        <w:spacing w:after="0" w:line="101"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620" w:type="dxa"/>
            <w:vAlign w:val="bottom"/>
            <w:gridSpan w:val="2"/>
          </w:tcPr>
          <w:p>
            <w:pPr>
              <w:ind w:left="1200"/>
              <w:spacing w:after="0"/>
              <w:rPr>
                <w:sz w:val="20"/>
                <w:szCs w:val="20"/>
                <w:color w:val="auto"/>
              </w:rPr>
            </w:pPr>
            <w:r>
              <w:rPr>
                <w:rFonts w:ascii="Arial" w:cs="Arial" w:eastAsia="Arial" w:hAnsi="Arial"/>
                <w:sz w:val="18"/>
                <w:szCs w:val="18"/>
                <w:b w:val="1"/>
                <w:bCs w:val="1"/>
                <w:color w:val="auto"/>
                <w:w w:val="87"/>
              </w:rPr>
              <w:t>Estimated Annual Expenses (as a Percentage of Average Total Assets</w:t>
            </w:r>
            <w:r>
              <w:rPr>
                <w:rFonts w:ascii="Arial" w:cs="Arial" w:eastAsia="Arial" w:hAnsi="Arial"/>
                <w:sz w:val="11"/>
                <w:szCs w:val="11"/>
                <w:b w:val="1"/>
                <w:bCs w:val="1"/>
                <w:color w:val="auto"/>
                <w:w w:val="87"/>
              </w:rPr>
              <w:t>(1)</w:t>
            </w:r>
            <w:r>
              <w:rPr>
                <w:rFonts w:ascii="Arial" w:cs="Arial" w:eastAsia="Arial" w:hAnsi="Arial"/>
                <w:sz w:val="18"/>
                <w:szCs w:val="18"/>
                <w:b w:val="1"/>
                <w:bCs w:val="1"/>
                <w:color w:val="auto"/>
                <w:w w:val="87"/>
              </w:rPr>
              <w:t>)</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1.00 % </w:t>
            </w:r>
            <w:r>
              <w:rPr>
                <w:rFonts w:ascii="Arial" w:cs="Arial" w:eastAsia="Arial" w:hAnsi="Arial"/>
                <w:sz w:val="11"/>
                <w:szCs w:val="11"/>
                <w:color w:val="auto"/>
              </w:rPr>
              <w:t>(2)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Incentive fees</w:t>
            </w:r>
          </w:p>
        </w:tc>
        <w:tc>
          <w:tcPr>
            <w:tcW w:w="780" w:type="dxa"/>
            <w:vAlign w:val="bottom"/>
          </w:tcPr>
          <w:p>
            <w:pPr>
              <w:jc w:val="right"/>
              <w:spacing w:after="0"/>
              <w:rPr>
                <w:sz w:val="20"/>
                <w:szCs w:val="20"/>
                <w:color w:val="auto"/>
              </w:rPr>
            </w:pPr>
            <w:r>
              <w:rPr>
                <w:rFonts w:ascii="Arial" w:cs="Arial" w:eastAsia="Arial" w:hAnsi="Arial"/>
                <w:sz w:val="18"/>
                <w:szCs w:val="18"/>
                <w:color w:val="auto"/>
              </w:rPr>
              <w:t xml:space="preserve">0.90 % </w:t>
            </w:r>
            <w:r>
              <w:rPr>
                <w:rFonts w:ascii="Arial" w:cs="Arial" w:eastAsia="Arial" w:hAnsi="Arial"/>
                <w:sz w:val="11"/>
                <w:szCs w:val="11"/>
                <w:color w:val="auto"/>
              </w:rPr>
              <w:t>(3)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borrowed funds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1.09 % </w:t>
            </w:r>
            <w:r>
              <w:rPr>
                <w:rFonts w:ascii="Arial" w:cs="Arial" w:eastAsia="Arial" w:hAnsi="Arial"/>
                <w:sz w:val="11"/>
                <w:szCs w:val="11"/>
                <w:color w:val="auto"/>
              </w:rPr>
              <w:t>(4)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expenses</w:t>
            </w:r>
          </w:p>
        </w:tc>
        <w:tc>
          <w:tcPr>
            <w:tcW w:w="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0.62 % </w:t>
            </w:r>
            <w:r>
              <w:rPr>
                <w:rFonts w:ascii="Arial" w:cs="Arial" w:eastAsia="Arial" w:hAnsi="Arial"/>
                <w:sz w:val="11"/>
                <w:szCs w:val="11"/>
                <w:color w:val="auto"/>
              </w:rPr>
              <w:t>(5)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3.61 % </w:t>
            </w:r>
            <w:r>
              <w:rPr>
                <w:rFonts w:ascii="Arial" w:cs="Arial" w:eastAsia="Arial" w:hAnsi="Arial"/>
                <w:sz w:val="11"/>
                <w:szCs w:val="11"/>
                <w:color w:val="auto"/>
              </w:rPr>
              <w:t>(6)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Average total assets attributable to common shares equals average gross assets for the fiscal year ended September 30, 2016.</w:t>
      </w:r>
    </w:p>
    <w:p>
      <w:pPr>
        <w:spacing w:after="0" w:line="68"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right="40" w:hanging="332"/>
        <w:spacing w:after="0" w:line="266"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fiscal year ended September 30, 2016.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2016.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340" w:right="20" w:hanging="332"/>
        <w:spacing w:after="0" w:line="273"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As of September 30, 2016, we had $232.9 million in borrowings outstanding under our $350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and amendment costs incurred on our Credit Facility for the fiscal year ended September 30, 2016 and we caution you that our actual interest expense will depend on prevailing interest rates and our rate of borrowing, which may be substantially higher than the amount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340" w:right="200" w:hanging="332"/>
        <w:spacing w:after="0" w:line="233"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57"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for the fiscal year ended September 30, 2016.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7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with a LIBOR or prime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LIBOR or prime floor) and 3% fixed-rate investments. As of September 30, 2015, we had one company on non-accrual, representing 1.6% and 0.9% of our overall portfolio on a cost and fair value basis, respectively. Overall, the portfolio had net unrealized depreciation of $6.0 million.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93"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2016, we invested $364.4 million of investments in 37 new and 25 existing portfolio companies with a weighted average yield on debt investments of 7.8%. Sales and repayments of investments for the year ended September 30, 2016 totaled $164.2 million.</w:t>
      </w:r>
    </w:p>
    <w:p>
      <w:pPr>
        <w:spacing w:after="0" w:line="58"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2015, we invested $224.2 million of investments in 32 new and 34 existing portfolio companies with a weighted average yield on debt investments of 7.7%. Sales and repayments of investments for the year ended September 30, 2015 totaled $195.0 million.</w:t>
      </w:r>
    </w:p>
    <w:p>
      <w:pPr>
        <w:spacing w:after="0" w:line="58"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2014, we invested $248.1 million of investments in 36 new and 33 existing portfolio companies with a weighted average yield on debt investments of 8.2%. Sales and repayments of investments for the year ended September 30, 2014 totaled $225.6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below.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81"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7" w:lineRule="exact"/>
        <w:rPr>
          <w:sz w:val="20"/>
          <w:szCs w:val="20"/>
          <w:color w:val="auto"/>
        </w:rPr>
      </w:pPr>
    </w:p>
    <w:p>
      <w:pPr>
        <w:ind w:left="900" w:right="4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7"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9"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5"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89"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58" w:lineRule="exact"/>
        <w:rPr>
          <w:sz w:val="20"/>
          <w:szCs w:val="20"/>
          <w:color w:val="auto"/>
        </w:rPr>
      </w:pPr>
    </w:p>
    <w:p>
      <w:pPr>
        <w:ind w:left="1700" w:right="1660" w:hanging="769"/>
        <w:spacing w:after="0" w:line="268" w:lineRule="auto"/>
        <w:tabs>
          <w:tab w:leader="none" w:pos="168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ind w:left="1700" w:right="940" w:hanging="769"/>
        <w:spacing w:after="0" w:line="306" w:lineRule="auto"/>
        <w:tabs>
          <w:tab w:leader="none" w:pos="16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3" w:lineRule="exact"/>
        <w:rPr>
          <w:sz w:val="20"/>
          <w:szCs w:val="20"/>
          <w:color w:val="auto"/>
        </w:rPr>
      </w:pPr>
    </w:p>
    <w:p>
      <w:pPr>
        <w:ind w:left="1700" w:right="1380" w:hanging="769"/>
        <w:spacing w:after="0" w:line="268" w:lineRule="auto"/>
        <w:tabs>
          <w:tab w:leader="none" w:pos="168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05"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6"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3"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$0.9 million, $2.3 million and $0.7 million, relating to amendment fees on the Credit Facility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2016, 2015 and 2014, our Credit Facility had a net change in unrealized depreciation (appreciation) of $0.5 million, $0.5 million and $(0.5) million, respectively. As of September 30, 2016 and 2015, the net unrealized depreciation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firstLine="571"/>
        <w:spacing w:after="0" w:line="323" w:lineRule="auto"/>
        <w:rPr>
          <w:sz w:val="20"/>
          <w:szCs w:val="20"/>
          <w:color w:val="auto"/>
        </w:rPr>
      </w:pPr>
      <w:r>
        <w:rPr>
          <w:rFonts w:ascii="Arial" w:cs="Arial" w:eastAsia="Arial" w:hAnsi="Arial"/>
          <w:sz w:val="15"/>
          <w:szCs w:val="15"/>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 of our portfolio investments and Credit Facility during the reporting period, including any reversal of previously recorded unrealized appreciation or depreciation, when gains or losses are realized.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books and records are maintained in U.S. dollars. Any foreign currency amounts are translated into U.S. dollars on the following basis:</w:t>
      </w:r>
    </w:p>
    <w:p>
      <w:pPr>
        <w:spacing w:after="0" w:line="167" w:lineRule="exact"/>
        <w:rPr>
          <w:sz w:val="20"/>
          <w:szCs w:val="20"/>
          <w:color w:val="auto"/>
        </w:rPr>
      </w:pPr>
    </w:p>
    <w:p>
      <w:pPr>
        <w:ind w:left="1100" w:hanging="179"/>
        <w:spacing w:after="0"/>
        <w:tabs>
          <w:tab w:leader="none" w:pos="11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67" w:lineRule="exact"/>
        <w:rPr>
          <w:rFonts w:ascii="Arial" w:cs="Arial" w:eastAsia="Arial" w:hAnsi="Arial"/>
          <w:sz w:val="16"/>
          <w:szCs w:val="16"/>
          <w:color w:val="auto"/>
        </w:rPr>
      </w:pPr>
    </w:p>
    <w:p>
      <w:pPr>
        <w:ind w:left="1100" w:hanging="179"/>
        <w:spacing w:after="0"/>
        <w:tabs>
          <w:tab w:leader="none" w:pos="11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Purchases and sales of investment securities, income and expenses – at the exchange rates prevailing on the respective dates of such transactions.</w:t>
      </w:r>
    </w:p>
    <w:p>
      <w:pPr>
        <w:spacing w:after="0" w:line="179" w:lineRule="exact"/>
        <w:rPr>
          <w:sz w:val="20"/>
          <w:szCs w:val="20"/>
          <w:color w:val="auto"/>
        </w:rPr>
      </w:pPr>
    </w:p>
    <w:p>
      <w:pPr>
        <w:jc w:val="both"/>
        <w:ind w:right="260" w:firstLine="571"/>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In order for us to maintain our ability to be treated as a RIC for federal income tax purposes, substantially all of this income must be paid out to stockholders in the form of dividends for U.S. federal income tax purposes, even though we have not collected any cash with respect to interest on PIK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to our stockholders in respect of each calendar year an amount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for federal income tax purposes, to provide us with additional liquidity.</w:t>
      </w:r>
    </w:p>
    <w:p>
      <w:pPr>
        <w:spacing w:after="0" w:line="91"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86"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Accordingly, the Taxable Subsidiaries will pay income taxes at regular corporate income tax rates. These Taxable Subsidiaries allow us to hold equity securities of certain portfolio companies treated as pass-through entities for U.S. federal income tax purposes while continuing to satisfy the requirements of a RIC under the Code.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the results of operations for the fiscal years ended September 30, 2016, 2015 and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Investment income for the fiscal year ended September 30, 2016 was $46.3 million and was attributable to $36.4 million from senior secured debt, $6.1 million from second lien secured debt and $3.8 million from subordinated debt (including $3.3 million from settlement proceeds). The increase in investment income over the prior year was primarily due to the growth of our portfolio.</w:t>
      </w:r>
    </w:p>
    <w:p>
      <w:pPr>
        <w:spacing w:after="0" w:line="113"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Investment income for the fiscal year ended September 30, 2015 was $30.4 million and was attributable to $23.5 million from senior secured debt, $5.7 million from second lien secured debt and $1.2 million from subordinated debt. Investment income was relatively the same compared to the prior year due to investing in debt with lower yields.</w:t>
      </w:r>
    </w:p>
    <w:p>
      <w:pPr>
        <w:spacing w:after="0" w:line="113"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Investment income for the fiscal year ended September 30, 2014 was $30.4 million and was attributable to $24.5 million from senior secured debt, $4.2 million from second lien secured debt and $1.7 million from subordinated debt.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Expenses for the fiscal year ended September 30, 2016 totaled $19.0 million. Base management fee for the same period totaled $5.0 million, incentive fee totaled $4.8 million (including $1.1 million on net unrealized gains accrued but not payable), Credit Facility expenses totaled $5.8 million (including $0.9 million of Credit Facility amendment expenses) and general and administrative expenses totaled $3.4 million. The increase in expenses over the prior year was primarily due to increases in base management and incentive fees as a result from the growth of our portfolio.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Expenses for the fiscal year ended September 30, 2015 totaled $12.7 million. Base management fee for the same period totaled $3.6 million, incentive fee totaled $1.1 million (including $(0.4) million on net realized gains and $(0.7) million on net unrealized gains accrued but not payable), Credit Facility expenses totaled $5.6 million (including $2.3 million of Credit Facility amendment expenses), general and administrative expenses totaled $2.0 million and excise taxes were $0.4 million. The decrease in expenses over the prior year was primarily due to a reduction in the accrual of incentive fees offset by increased Credit Facility amendment costs.</w:t>
      </w:r>
    </w:p>
    <w:p>
      <w:pPr>
        <w:spacing w:after="0" w:line="116"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Expenses for the fiscal year ended September 30, 2014 totaled $13.7 million. Base management fee for the same period totaled $3.7 million, incentive fee totaled $3.5 million (including $0.1 million on net unrealized gains accrued but not payable), Credit Facility expenses totaled $4.2 million (including $0.7 million of Credit Facility amendment expenses), general and administrative expenses totaled $1.8 million and excise taxes were $0.5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jc w:val="both"/>
        <w:ind w:right="20" w:firstLine="571"/>
        <w:spacing w:after="0" w:line="335" w:lineRule="auto"/>
        <w:rPr>
          <w:sz w:val="20"/>
          <w:szCs w:val="20"/>
          <w:color w:val="auto"/>
        </w:rPr>
      </w:pPr>
      <w:r>
        <w:rPr>
          <w:rFonts w:ascii="Arial" w:cs="Arial" w:eastAsia="Arial" w:hAnsi="Arial"/>
          <w:sz w:val="15"/>
          <w:szCs w:val="15"/>
          <w:color w:val="auto"/>
        </w:rPr>
        <w:t>Net investment income totaled $27.3 million or $1.02 per share, $17.7 million or $1.08 per share and $16.6 million or $1.12 per share, for the fiscal years ended September 30, 2016, 2015 and 2014, respectively. Although the net investment income increased, the net investment income per share for fiscal year ended September 30, 2016 decreased compared to the prior year primarily due to the issuance of new shares in connection with our acquisition of MCG in August 2015.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Sales and repayments of investments for the fiscal years ended September 30, 2016, 2015 and 2014 totaled $164.2 million, $195.0 million and $225.6 million, respectively. Net realized (losses) gains totaled $(1.4) million, $0.4 million and $2.9 million for the same periods, respectively. The decrease in realized gains for fiscal year ended September 30, 2016 compared to the prior year was driven by changes in market conditions for our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For the fiscal years ended September 30, 2016, 2015 and 2014, we reported unrealized appreciation (depreciation) on investments of $7.0 million, $(6.1) million and $1.6 million, respectively. As of September 30, 2016 and 2015, net unrealized appreciation (depreciation) on investments totaled $1.0 million and $(6.0) million, respectively. The net change in unrealized appreciation (depreciation) on our investments for fiscal year ended September 30, 2016 compared to the prior year was driven primarily by changes in the capital market conditions, financial performance of certain portfolio companies, and the reversal of unrealized depreciation (appreciation) of investments sold.</w:t>
      </w:r>
    </w:p>
    <w:p>
      <w:pPr>
        <w:spacing w:after="0" w:line="116"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For the fiscal years ended September 30, 2016, 2015 and 2014, our Credit Facility had a change in unrealized depreciation (appreciation) of $0.5 million, $0.5 million and $(0.5) million, respectively. As of September 30, 2016 and 2015, net unrealized depreciation on our Credit Facility totaled $0.5 million and zero, respectively. The change for fiscal year ended September 30, 2016 compared to the prior year was due to changes in the capital markets.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90"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color w:val="auto"/>
        </w:rPr>
        <w:t>Net change in net assets resulting from operations totaled $33.5 million or $1.25 per share, $12.5 million or $0.77 per share and $20.5 million or $1.38 per share, for the fiscal years ended September 30, 2016, 2015 and 2014, respectively. The increase in the net change in net assets from operations for fiscal year ended September 30, 2016 compared to the prior year reflects the change in portfolio investment valuation during the reporting period.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16" w:lineRule="exact"/>
        <w:rPr>
          <w:sz w:val="20"/>
          <w:szCs w:val="20"/>
          <w:color w:val="auto"/>
        </w:rPr>
      </w:pPr>
    </w:p>
    <w:p>
      <w:pPr>
        <w:ind w:firstLine="571"/>
        <w:spacing w:after="0" w:line="302" w:lineRule="auto"/>
        <w:rPr>
          <w:sz w:val="20"/>
          <w:szCs w:val="20"/>
          <w:color w:val="auto"/>
        </w:rPr>
      </w:pPr>
      <w:r>
        <w:rPr>
          <w:rFonts w:ascii="Arial" w:cs="Arial" w:eastAsia="Arial" w:hAnsi="Arial"/>
          <w:sz w:val="15"/>
          <w:szCs w:val="15"/>
          <w:color w:val="auto"/>
        </w:rPr>
        <w:t>Funding I’s multi-currency Credit Facility with the Lenders was $350 million as of September 30, 2016,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2016 and 2015, Funding I had $232.9 million and $29.6 million of outstanding borrowings under the Credit Facility, respectively. The Credit Facility had a weighted average interest rate of 2.57% and 2.20%, excluding the undrawn commitment fees of</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0.375% and 0.75% as of September 30, 2016 and 2015, respectively. The annualized weighted average cost of debt for the fiscal years ended September 30, 2016, 2015 and 2014, inclusive of the fee on the undrawn commitment on the Credit Facility but excluding amendment costs, was 3.51%, 2.62% and 2.35%, respectively. As of September 30, 2016 and 2015, we had $117.1 million and $260.4 million of unused borrowing capacity under our Credit Facility, respectively, subject to the regulatory restrictions.</w:t>
      </w:r>
    </w:p>
    <w:p>
      <w:pPr>
        <w:spacing w:after="0" w:line="11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2016, we were in compliance with the covenants relating to our Credit Facility.</w:t>
      </w:r>
    </w:p>
    <w:p>
      <w:pPr>
        <w:spacing w:after="0" w:line="89"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3"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93" w:lineRule="exact"/>
        <w:rPr>
          <w:sz w:val="20"/>
          <w:szCs w:val="20"/>
          <w:color w:val="auto"/>
        </w:rPr>
      </w:pPr>
    </w:p>
    <w:p>
      <w:pPr>
        <w:ind w:right="120" w:firstLine="571"/>
        <w:spacing w:after="0" w:line="254" w:lineRule="auto"/>
        <w:rPr>
          <w:sz w:val="20"/>
          <w:szCs w:val="20"/>
          <w:color w:val="auto"/>
        </w:rPr>
      </w:pPr>
      <w:r>
        <w:rPr>
          <w:rFonts w:ascii="Arial" w:cs="Arial" w:eastAsia="Arial" w:hAnsi="Arial"/>
          <w:sz w:val="18"/>
          <w:szCs w:val="18"/>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years ended September 30, 2016, 2015 and 2014, we issued zero, 11.8 million and zero shares, respectively. As a result, we raised approximately zero, $164.7 million and zero dollars in gross proceeds from issuances of our equity capital.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On September 30, 2016 and 2015, we had cash equivalents of $28.9 million and $21.4 million, respectively, available for investing and general corporate purposes. We believe our liquidity and capital resources are sufficient to take advantage of market opportunities.</w:t>
      </w:r>
    </w:p>
    <w:p>
      <w:pPr>
        <w:spacing w:after="0" w:line="132"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Our operating activities used cash of $165.5 million for the year ended September 30, 2016, and our financing activities provided cash of $172.8 million for the same period. Our operating activities used cash primarily for our investment activities and our financing activities provided cash primarily from net borrowings under the Credit Facility.</w:t>
      </w:r>
    </w:p>
    <w:p>
      <w:pPr>
        <w:spacing w:after="0" w:line="140"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Our operating activities used cash of $2.2 million for the year ended September 30, 2015, and our financing activities provided cash of $10.5 million for the same period. Our operating activities used cash primarily for our investment activities and our financing activities provided cash primarily from the MCG merger.</w:t>
      </w:r>
    </w:p>
    <w:p>
      <w:pPr>
        <w:spacing w:after="0" w:line="14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Our operating activities used cash of $22.3 million for the year ended September 30, 2014, and our financing activities provided cash of $30.8 million for the same period. Our operating activities used cash primarily for our investment activities and our financing activities provided cash primarily from net draws under the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summary of our significant contractual payment obligations as of September 30, 2016, including borrowings under our Credit Facility and other contractual obligations,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4"/>
              </w:rPr>
              <w:t>Payments due by period (millions)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500"/>
              <w:spacing w:after="0" w:line="129" w:lineRule="exact"/>
              <w:rPr>
                <w:sz w:val="20"/>
                <w:szCs w:val="20"/>
                <w:color w:val="auto"/>
              </w:rPr>
            </w:pPr>
            <w:r>
              <w:rPr>
                <w:rFonts w:ascii="Arial" w:cs="Arial" w:eastAsia="Arial" w:hAnsi="Arial"/>
                <w:sz w:val="14"/>
                <w:szCs w:val="14"/>
                <w:b w:val="1"/>
                <w:bCs w:val="1"/>
                <w:color w:val="auto"/>
              </w:rPr>
              <w:t>1-3</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320"/>
              <w:spacing w:after="0" w:line="129" w:lineRule="exact"/>
              <w:rPr>
                <w:sz w:val="20"/>
                <w:szCs w:val="20"/>
                <w:color w:val="auto"/>
              </w:rPr>
            </w:pPr>
            <w:r>
              <w:rPr>
                <w:rFonts w:ascii="Arial" w:cs="Arial" w:eastAsia="Arial" w:hAnsi="Arial"/>
                <w:sz w:val="14"/>
                <w:szCs w:val="14"/>
                <w:b w:val="1"/>
                <w:bCs w:val="1"/>
                <w:color w:val="auto"/>
              </w:rPr>
              <w:t>3-5</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ind w:right="280"/>
              <w:spacing w:after="0" w:line="129" w:lineRule="exact"/>
              <w:rPr>
                <w:sz w:val="20"/>
                <w:szCs w:val="20"/>
                <w:color w:val="auto"/>
              </w:rPr>
            </w:pPr>
            <w:r>
              <w:rPr>
                <w:rFonts w:ascii="Arial" w:cs="Arial" w:eastAsia="Arial" w:hAnsi="Arial"/>
                <w:sz w:val="14"/>
                <w:szCs w:val="14"/>
                <w:b w:val="1"/>
                <w:bCs w:val="1"/>
                <w:color w:val="auto"/>
              </w:rPr>
              <w:t>More than</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5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1"/>
                <w:szCs w:val="11"/>
                <w:color w:val="auto"/>
              </w:rPr>
              <w:t>(1)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8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246.4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(1) Unfunded investments are disclosed in the Consolidated Schedule of Investments and Note 12 of our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2016,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86"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directors who are not interested persons of us, in February 2016,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7"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currently engage in no off-balance sheet arrangements other than our funding requirements for the unfunded investments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In order to be treated as a RIC for federal income tax purposes and to not be subject to corporate-level tax on undistributed income or gains, we are required, under Subchapter M of the Code, to annually distribute to stockholders out of the assets legally available for distribution of an amount generally at least equal to 90% of the sum of our ordinary income and realized net short-term capital gains in excess of realized net long-term capital losses, or investment company taxable income, determined without regard to any deduction for dividends paid.</w:t>
      </w:r>
    </w:p>
    <w:p>
      <w:pPr>
        <w:spacing w:after="0" w:line="86"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to our stockholders in respect of each calendar year an amount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retain such net capital gains or investment company taxable income in the future, subject to maintaining our ability to be treated as a RIC for federal income tax purposes, to provide us with additional liquidity.</w:t>
      </w:r>
    </w:p>
    <w:p>
      <w:pPr>
        <w:spacing w:after="0" w:line="91"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During the years ended September 30, 2016, 2015 and 2014, we declared distributions of $1.14, $1.12 and $1.08 per share, respectively, for total distributions of $30.5 million, $18.9 million and $16.1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89"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We intend to continue to make monthly distributions to our stockholders. Our monthly distributions, if any, are determined by our board of directors quarterly.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13"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tax status. We cannot assure stockholders that they will receive any distributions at a particular level.</w:t>
      </w:r>
    </w:p>
    <w:p>
      <w:pPr>
        <w:spacing w:after="0" w:line="86"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7"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2016, our debt portfolio consisted of 99% variable-rate investments (including 94% with a LIBOR or prime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93"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Assuming that the most recent Consolidated Statement of Assets and Liabilities was to remain constant, and no actions were taken to alter the existing interest rate sensitivity, the following table shows the annualized impact of hypothetical base rate changes in interest rates.</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4960" w:type="dxa"/>
            <w:vAlign w:val="bottom"/>
            <w:gridSpan w:val="3"/>
          </w:tcPr>
          <w:p>
            <w:pPr>
              <w:ind w:left="3860"/>
              <w:spacing w:after="0"/>
              <w:rPr>
                <w:sz w:val="20"/>
                <w:szCs w:val="20"/>
                <w:color w:val="auto"/>
              </w:rPr>
            </w:pPr>
            <w:r>
              <w:rPr>
                <w:rFonts w:ascii="Arial" w:cs="Arial" w:eastAsia="Arial" w:hAnsi="Arial"/>
                <w:sz w:val="14"/>
                <w:szCs w:val="14"/>
                <w:b w:val="1"/>
                <w:bCs w:val="1"/>
                <w:color w:val="auto"/>
                <w:w w:val="88"/>
              </w:rPr>
              <w:t>Change In Interest</w:t>
            </w:r>
          </w:p>
        </w:tc>
        <w:tc>
          <w:tcPr>
            <w:tcW w:w="2180" w:type="dxa"/>
            <w:vAlign w:val="bottom"/>
            <w:gridSpan w:val="4"/>
          </w:tcPr>
          <w:p>
            <w:pPr>
              <w:ind w:left="980"/>
              <w:spacing w:after="0"/>
              <w:rPr>
                <w:sz w:val="20"/>
                <w:szCs w:val="20"/>
                <w:color w:val="auto"/>
              </w:rPr>
            </w:pPr>
            <w:r>
              <w:rPr>
                <w:rFonts w:ascii="Arial" w:cs="Arial" w:eastAsia="Arial" w:hAnsi="Arial"/>
                <w:sz w:val="14"/>
                <w:szCs w:val="14"/>
                <w:b w:val="1"/>
                <w:bCs w:val="1"/>
                <w:color w:val="auto"/>
                <w:w w:val="96"/>
              </w:rPr>
              <w:t>Change In Interest</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Income, Net Of</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Income, Net Of</w:t>
            </w: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38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Interest Expense</w:t>
            </w:r>
          </w:p>
        </w:tc>
        <w:tc>
          <w:tcPr>
            <w:tcW w:w="980" w:type="dxa"/>
            <w:vAlign w:val="bottom"/>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Interest Expense</w:t>
            </w: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9"/>
              <w:spacing w:after="0" w:line="148" w:lineRule="exact"/>
              <w:rPr>
                <w:sz w:val="20"/>
                <w:szCs w:val="20"/>
                <w:color w:val="auto"/>
              </w:rPr>
            </w:pPr>
            <w:r>
              <w:rPr>
                <w:rFonts w:ascii="Arial" w:cs="Arial" w:eastAsia="Arial" w:hAnsi="Arial"/>
                <w:sz w:val="14"/>
                <w:szCs w:val="14"/>
                <w:b w:val="1"/>
                <w:bCs w:val="1"/>
                <w:color w:val="auto"/>
                <w:w w:val="84"/>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Up 1%</w:t>
            </w:r>
          </w:p>
        </w:tc>
        <w:tc>
          <w:tcPr>
            <w:tcW w:w="3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209</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2%</w:t>
            </w:r>
          </w:p>
        </w:tc>
        <w:tc>
          <w:tcPr>
            <w:tcW w:w="3960" w:type="dxa"/>
            <w:vAlign w:val="bottom"/>
            <w:gridSpan w:val="2"/>
          </w:tcPr>
          <w:p>
            <w:pPr>
              <w:ind w:left="38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3,858</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3960" w:type="dxa"/>
            <w:vAlign w:val="bottom"/>
            <w:gridSpan w:val="2"/>
            <w:shd w:val="clear" w:color="auto" w:fill="CCEEFF"/>
          </w:tcPr>
          <w:p>
            <w:pPr>
              <w:ind w:left="38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20"/>
                <w:szCs w:val="20"/>
                <w:color w:val="auto"/>
              </w:rPr>
            </w:pPr>
            <w:r>
              <w:rPr>
                <w:rFonts w:ascii="Arial" w:cs="Arial" w:eastAsia="Arial" w:hAnsi="Arial"/>
                <w:sz w:val="18"/>
                <w:szCs w:val="18"/>
                <w:color w:val="auto"/>
              </w:rPr>
              <w:t>Up 4%</w:t>
            </w:r>
          </w:p>
        </w:tc>
        <w:tc>
          <w:tcPr>
            <w:tcW w:w="3960" w:type="dxa"/>
            <w:vAlign w:val="bottom"/>
            <w:gridSpan w:val="2"/>
          </w:tcPr>
          <w:p>
            <w:pPr>
              <w:ind w:left="38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11,156</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3"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prospectus, we did not engage in interest rate hedging activities or foreign currency derivatives hedging activities.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Information about our senior securities shown in the following table as of September 30,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Asset</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34"/>
        </w:trPr>
        <w:tc>
          <w:tcPr>
            <w:tcW w:w="6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Total Amount</w:t>
            </w: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Coverage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89"/>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Class and Year</w:t>
            </w:r>
          </w:p>
        </w:tc>
        <w:tc>
          <w:tcPr>
            <w:tcW w:w="1720" w:type="dxa"/>
            <w:vAlign w:val="bottom"/>
            <w:gridSpan w:val="2"/>
          </w:tcPr>
          <w:p>
            <w:pPr>
              <w:jc w:val="center"/>
              <w:ind w:right="160"/>
              <w:spacing w:after="0" w:line="189" w:lineRule="exact"/>
              <w:rPr>
                <w:sz w:val="20"/>
                <w:szCs w:val="20"/>
                <w:color w:val="auto"/>
              </w:rPr>
            </w:pPr>
            <w:r>
              <w:rPr>
                <w:rFonts w:ascii="Arial" w:cs="Arial" w:eastAsia="Arial" w:hAnsi="Arial"/>
                <w:sz w:val="13"/>
                <w:szCs w:val="13"/>
                <w:b w:val="1"/>
                <w:bCs w:val="1"/>
                <w:color w:val="auto"/>
                <w:w w:val="90"/>
              </w:rPr>
              <w:t xml:space="preserve">Outstanding </w:t>
            </w:r>
            <w:r>
              <w:rPr>
                <w:rFonts w:ascii="Arial" w:cs="Arial" w:eastAsia="Arial" w:hAnsi="Arial"/>
                <w:sz w:val="21"/>
                <w:szCs w:val="21"/>
                <w:b w:val="1"/>
                <w:bCs w:val="1"/>
                <w:color w:val="auto"/>
                <w:w w:val="90"/>
                <w:vertAlign w:val="superscript"/>
              </w:rPr>
              <w:t>(1)</w:t>
            </w:r>
          </w:p>
        </w:tc>
        <w:tc>
          <w:tcPr>
            <w:tcW w:w="1800" w:type="dxa"/>
            <w:vAlign w:val="bottom"/>
            <w:gridSpan w:val="2"/>
          </w:tcPr>
          <w:p>
            <w:pPr>
              <w:jc w:val="center"/>
              <w:ind w:right="120"/>
              <w:spacing w:after="0" w:line="189" w:lineRule="exact"/>
              <w:rPr>
                <w:sz w:val="20"/>
                <w:szCs w:val="20"/>
                <w:color w:val="auto"/>
              </w:rPr>
            </w:pPr>
            <w:r>
              <w:rPr>
                <w:rFonts w:ascii="Arial" w:cs="Arial" w:eastAsia="Arial" w:hAnsi="Arial"/>
                <w:sz w:val="13"/>
                <w:szCs w:val="13"/>
                <w:b w:val="1"/>
                <w:bCs w:val="1"/>
                <w:color w:val="auto"/>
                <w:w w:val="97"/>
              </w:rPr>
              <w:t xml:space="preserve">per Unit </w:t>
            </w:r>
            <w:r>
              <w:rPr>
                <w:rFonts w:ascii="Arial" w:cs="Arial" w:eastAsia="Arial" w:hAnsi="Arial"/>
                <w:sz w:val="21"/>
                <w:szCs w:val="21"/>
                <w:b w:val="1"/>
                <w:bCs w:val="1"/>
                <w:color w:val="auto"/>
                <w:w w:val="97"/>
                <w:vertAlign w:val="superscript"/>
              </w:rPr>
              <w:t>(2)</w:t>
            </w:r>
          </w:p>
        </w:tc>
        <w:tc>
          <w:tcPr>
            <w:tcW w:w="16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Unit </w:t>
            </w:r>
            <w:r>
              <w:rPr>
                <w:rFonts w:ascii="Arial" w:cs="Arial" w:eastAsia="Arial" w:hAnsi="Arial"/>
                <w:sz w:val="21"/>
                <w:szCs w:val="21"/>
                <w:b w:val="1"/>
                <w:bCs w:val="1"/>
                <w:color w:val="auto"/>
                <w:w w:val="91"/>
                <w:vertAlign w:val="superscript"/>
              </w:rPr>
              <w:t>(3)</w:t>
            </w:r>
          </w:p>
        </w:tc>
        <w:tc>
          <w:tcPr>
            <w:tcW w:w="0" w:type="dxa"/>
            <w:vAlign w:val="bottom"/>
          </w:tcPr>
          <w:p>
            <w:pPr>
              <w:spacing w:after="0"/>
              <w:rPr>
                <w:sz w:val="1"/>
                <w:szCs w:val="1"/>
                <w:color w:val="auto"/>
              </w:rPr>
            </w:pP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1600" w:type="dxa"/>
            <w:vAlign w:val="bottom"/>
            <w:vMerge w:val="restart"/>
          </w:tcPr>
          <w:p>
            <w:pPr>
              <w:jc w:val="right"/>
              <w:ind w:right="378"/>
              <w:spacing w:after="0"/>
              <w:rPr>
                <w:sz w:val="20"/>
                <w:szCs w:val="20"/>
                <w:color w:val="auto"/>
              </w:rPr>
            </w:pPr>
            <w:r>
              <w:rPr>
                <w:rFonts w:ascii="Arial" w:cs="Arial" w:eastAsia="Arial" w:hAnsi="Arial"/>
                <w:sz w:val="18"/>
                <w:szCs w:val="18"/>
                <w:color w:val="auto"/>
              </w:rPr>
              <w:t>$232,908</w:t>
            </w:r>
          </w:p>
        </w:tc>
        <w:tc>
          <w:tcPr>
            <w:tcW w:w="120" w:type="dxa"/>
            <w:vAlign w:val="bottom"/>
          </w:tcPr>
          <w:p>
            <w:pPr>
              <w:spacing w:after="0"/>
              <w:rPr>
                <w:sz w:val="19"/>
                <w:szCs w:val="19"/>
                <w:color w:val="auto"/>
              </w:rPr>
            </w:pPr>
          </w:p>
        </w:tc>
        <w:tc>
          <w:tcPr>
            <w:tcW w:w="1700" w:type="dxa"/>
            <w:vAlign w:val="bottom"/>
            <w:vMerge w:val="restart"/>
          </w:tcPr>
          <w:p>
            <w:pPr>
              <w:jc w:val="right"/>
              <w:ind w:right="479"/>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9"/>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1600" w:type="dxa"/>
            <w:vAlign w:val="bottom"/>
            <w:vMerge w:val="restart"/>
            <w:shd w:val="clear" w:color="auto" w:fill="CCEEFF"/>
          </w:tcPr>
          <w:p>
            <w:pPr>
              <w:jc w:val="right"/>
              <w:ind w:right="378"/>
              <w:spacing w:after="0"/>
              <w:rPr>
                <w:sz w:val="20"/>
                <w:szCs w:val="20"/>
                <w:color w:val="auto"/>
              </w:rPr>
            </w:pPr>
            <w:r>
              <w:rPr>
                <w:rFonts w:ascii="Arial" w:cs="Arial" w:eastAsia="Arial" w:hAnsi="Arial"/>
                <w:sz w:val="18"/>
                <w:szCs w:val="18"/>
                <w:color w:val="auto"/>
              </w:rPr>
              <w:t>$29,600</w:t>
            </w:r>
          </w:p>
        </w:tc>
        <w:tc>
          <w:tcPr>
            <w:tcW w:w="12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right"/>
              <w:ind w:right="479"/>
              <w:spacing w:after="0"/>
              <w:rPr>
                <w:sz w:val="20"/>
                <w:szCs w:val="20"/>
                <w:color w:val="auto"/>
              </w:rPr>
            </w:pPr>
            <w:r>
              <w:rPr>
                <w:rFonts w:ascii="Arial" w:cs="Arial" w:eastAsia="Arial" w:hAnsi="Arial"/>
                <w:sz w:val="18"/>
                <w:szCs w:val="18"/>
                <w:color w:val="auto"/>
              </w:rPr>
              <w:t>$13,598</w:t>
            </w:r>
          </w:p>
        </w:tc>
        <w:tc>
          <w:tcPr>
            <w:tcW w:w="1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1600" w:type="dxa"/>
            <w:vAlign w:val="bottom"/>
            <w:vMerge w:val="restart"/>
          </w:tcPr>
          <w:p>
            <w:pPr>
              <w:jc w:val="right"/>
              <w:ind w:right="378"/>
              <w:spacing w:after="0"/>
              <w:rPr>
                <w:sz w:val="20"/>
                <w:szCs w:val="20"/>
                <w:color w:val="auto"/>
              </w:rPr>
            </w:pPr>
            <w:r>
              <w:rPr>
                <w:rFonts w:ascii="Arial" w:cs="Arial" w:eastAsia="Arial" w:hAnsi="Arial"/>
                <w:sz w:val="18"/>
                <w:szCs w:val="18"/>
                <w:color w:val="auto"/>
              </w:rPr>
              <w:t>$146,400</w:t>
            </w:r>
          </w:p>
        </w:tc>
        <w:tc>
          <w:tcPr>
            <w:tcW w:w="120" w:type="dxa"/>
            <w:vAlign w:val="bottom"/>
          </w:tcPr>
          <w:p>
            <w:pPr>
              <w:spacing w:after="0"/>
              <w:rPr>
                <w:sz w:val="19"/>
                <w:szCs w:val="19"/>
                <w:color w:val="auto"/>
              </w:rPr>
            </w:pPr>
          </w:p>
        </w:tc>
        <w:tc>
          <w:tcPr>
            <w:tcW w:w="1700" w:type="dxa"/>
            <w:vAlign w:val="bottom"/>
            <w:vMerge w:val="restart"/>
          </w:tcPr>
          <w:p>
            <w:pPr>
              <w:jc w:val="right"/>
              <w:ind w:right="479"/>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9"/>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1600" w:type="dxa"/>
            <w:vAlign w:val="bottom"/>
            <w:vMerge w:val="restart"/>
            <w:shd w:val="clear" w:color="auto" w:fill="CCEEFF"/>
          </w:tcPr>
          <w:p>
            <w:pPr>
              <w:jc w:val="right"/>
              <w:ind w:right="378"/>
              <w:spacing w:after="0"/>
              <w:rPr>
                <w:sz w:val="20"/>
                <w:szCs w:val="20"/>
                <w:color w:val="auto"/>
              </w:rPr>
            </w:pPr>
            <w:r>
              <w:rPr>
                <w:rFonts w:ascii="Arial" w:cs="Arial" w:eastAsia="Arial" w:hAnsi="Arial"/>
                <w:sz w:val="18"/>
                <w:szCs w:val="18"/>
                <w:color w:val="auto"/>
              </w:rPr>
              <w:t>$99,600</w:t>
            </w:r>
          </w:p>
        </w:tc>
        <w:tc>
          <w:tcPr>
            <w:tcW w:w="12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right"/>
              <w:ind w:right="479"/>
              <w:spacing w:after="0"/>
              <w:rPr>
                <w:sz w:val="20"/>
                <w:szCs w:val="20"/>
                <w:color w:val="auto"/>
              </w:rPr>
            </w:pPr>
            <w:r>
              <w:rPr>
                <w:rFonts w:ascii="Arial" w:cs="Arial" w:eastAsia="Arial" w:hAnsi="Arial"/>
                <w:sz w:val="18"/>
                <w:szCs w:val="18"/>
                <w:color w:val="auto"/>
              </w:rPr>
              <w:t>$3,109</w:t>
            </w:r>
          </w:p>
        </w:tc>
        <w:tc>
          <w:tcPr>
            <w:tcW w:w="1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1600" w:type="dxa"/>
            <w:vAlign w:val="bottom"/>
            <w:vMerge w:val="restart"/>
          </w:tcPr>
          <w:p>
            <w:pPr>
              <w:jc w:val="right"/>
              <w:ind w:right="378"/>
              <w:spacing w:after="0"/>
              <w:rPr>
                <w:sz w:val="20"/>
                <w:szCs w:val="20"/>
                <w:color w:val="auto"/>
              </w:rPr>
            </w:pPr>
            <w:r>
              <w:rPr>
                <w:rFonts w:ascii="Arial" w:cs="Arial" w:eastAsia="Arial" w:hAnsi="Arial"/>
                <w:sz w:val="18"/>
                <w:szCs w:val="18"/>
                <w:color w:val="auto"/>
              </w:rPr>
              <w:t>$75,500</w:t>
            </w:r>
          </w:p>
        </w:tc>
        <w:tc>
          <w:tcPr>
            <w:tcW w:w="120" w:type="dxa"/>
            <w:vAlign w:val="bottom"/>
          </w:tcPr>
          <w:p>
            <w:pPr>
              <w:spacing w:after="0"/>
              <w:rPr>
                <w:sz w:val="19"/>
                <w:szCs w:val="19"/>
                <w:color w:val="auto"/>
              </w:rPr>
            </w:pPr>
          </w:p>
        </w:tc>
        <w:tc>
          <w:tcPr>
            <w:tcW w:w="1700" w:type="dxa"/>
            <w:vAlign w:val="bottom"/>
            <w:vMerge w:val="restart"/>
          </w:tcPr>
          <w:p>
            <w:pPr>
              <w:jc w:val="right"/>
              <w:ind w:right="479"/>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9"/>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p>
        </w:tc>
        <w:tc>
          <w:tcPr>
            <w:tcW w:w="1600" w:type="dxa"/>
            <w:vAlign w:val="bottom"/>
            <w:vMerge w:val="restart"/>
            <w:shd w:val="clear" w:color="auto" w:fill="CCEEFF"/>
          </w:tcPr>
          <w:p>
            <w:pPr>
              <w:jc w:val="right"/>
              <w:ind w:right="378"/>
              <w:spacing w:after="0"/>
              <w:rPr>
                <w:sz w:val="20"/>
                <w:szCs w:val="20"/>
                <w:color w:val="auto"/>
              </w:rPr>
            </w:pPr>
            <w:r>
              <w:rPr>
                <w:rFonts w:ascii="Arial" w:cs="Arial" w:eastAsia="Arial" w:hAnsi="Arial"/>
                <w:sz w:val="18"/>
                <w:szCs w:val="18"/>
                <w:color w:val="auto"/>
              </w:rPr>
              <w:t>$24,650</w:t>
            </w:r>
          </w:p>
        </w:tc>
        <w:tc>
          <w:tcPr>
            <w:tcW w:w="12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right"/>
              <w:ind w:right="479"/>
              <w:spacing w:after="0"/>
              <w:rPr>
                <w:sz w:val="20"/>
                <w:szCs w:val="20"/>
                <w:color w:val="auto"/>
              </w:rPr>
            </w:pPr>
            <w:r>
              <w:rPr>
                <w:rFonts w:ascii="Arial" w:cs="Arial" w:eastAsia="Arial" w:hAnsi="Arial"/>
                <w:sz w:val="18"/>
                <w:szCs w:val="18"/>
                <w:color w:val="auto"/>
              </w:rPr>
              <w:t>$4,735</w:t>
            </w:r>
          </w:p>
        </w:tc>
        <w:tc>
          <w:tcPr>
            <w:tcW w:w="1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460" w:right="280" w:hanging="452"/>
        <w:spacing w:after="0" w:line="258" w:lineRule="auto"/>
        <w:tabs>
          <w:tab w:leader="none" w:pos="4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ind w:left="460" w:hanging="452"/>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Not applicable, as senior securities are not registered for public trading.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32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“PFLT.” The following table lists the high and low closing sale prices for our common stock, the closing sale prices as a premium or (discount) to our NAV per share and distributions per share since October 1, 2014. On December 14, 2016, the last reported closing price of our common stock was $14.07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Premium /</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Premium /</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(Discount)</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(Discount)</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Closing Sales Price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of High Sales</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of Low Sales</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5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110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Price to</w:t>
            </w:r>
          </w:p>
        </w:tc>
        <w:tc>
          <w:tcPr>
            <w:tcW w:w="9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Price to</w:t>
            </w:r>
          </w:p>
        </w:tc>
        <w:tc>
          <w:tcPr>
            <w:tcW w:w="1080" w:type="dxa"/>
            <w:vAlign w:val="bottom"/>
            <w:gridSpan w:val="2"/>
            <w:vMerge w:val="restart"/>
          </w:tcPr>
          <w:p>
            <w:pPr>
              <w:jc w:val="right"/>
              <w:ind w:right="320"/>
              <w:spacing w:after="0" w:line="135" w:lineRule="exact"/>
              <w:rPr>
                <w:sz w:val="20"/>
                <w:szCs w:val="20"/>
                <w:color w:val="auto"/>
              </w:rPr>
            </w:pPr>
            <w:r>
              <w:rPr>
                <w:rFonts w:ascii="Arial" w:cs="Arial" w:eastAsia="Arial" w:hAnsi="Arial"/>
                <w:sz w:val="14"/>
                <w:szCs w:val="14"/>
                <w:b w:val="1"/>
                <w:bCs w:val="1"/>
                <w:color w:val="auto"/>
                <w:w w:val="85"/>
              </w:rPr>
              <w:t>Distributions</w:t>
            </w:r>
          </w:p>
        </w:tc>
        <w:tc>
          <w:tcPr>
            <w:tcW w:w="0" w:type="dxa"/>
            <w:vAlign w:val="bottom"/>
          </w:tcPr>
          <w:p>
            <w:pPr>
              <w:spacing w:after="0"/>
              <w:rPr>
                <w:sz w:val="1"/>
                <w:szCs w:val="1"/>
                <w:color w:val="auto"/>
              </w:rPr>
            </w:pPr>
          </w:p>
        </w:tc>
      </w:tr>
      <w:tr>
        <w:trPr>
          <w:trHeight w:val="35"/>
        </w:trPr>
        <w:tc>
          <w:tcPr>
            <w:tcW w:w="300" w:type="dxa"/>
            <w:vAlign w:val="bottom"/>
          </w:tcPr>
          <w:p>
            <w:pPr>
              <w:spacing w:after="0"/>
              <w:rPr>
                <w:sz w:val="3"/>
                <w:szCs w:val="3"/>
                <w:color w:val="auto"/>
              </w:rPr>
            </w:pPr>
          </w:p>
        </w:tc>
        <w:tc>
          <w:tcPr>
            <w:tcW w:w="5500" w:type="dxa"/>
            <w:vAlign w:val="bottom"/>
          </w:tcPr>
          <w:p>
            <w:pPr>
              <w:spacing w:after="0"/>
              <w:rPr>
                <w:sz w:val="3"/>
                <w:szCs w:val="3"/>
                <w:color w:val="auto"/>
              </w:rPr>
            </w:pPr>
          </w:p>
        </w:tc>
        <w:tc>
          <w:tcPr>
            <w:tcW w:w="660" w:type="dxa"/>
            <w:vAlign w:val="bottom"/>
            <w:gridSpan w:val="2"/>
            <w:vMerge w:val="restart"/>
          </w:tcPr>
          <w:p>
            <w:pPr>
              <w:jc w:val="right"/>
              <w:ind w:right="200"/>
              <w:spacing w:after="0" w:line="197" w:lineRule="exact"/>
              <w:rPr>
                <w:sz w:val="20"/>
                <w:szCs w:val="20"/>
                <w:color w:val="auto"/>
              </w:rPr>
            </w:pPr>
            <w:r>
              <w:rPr>
                <w:rFonts w:ascii="Arial" w:cs="Arial" w:eastAsia="Arial" w:hAnsi="Arial"/>
                <w:sz w:val="22"/>
                <w:szCs w:val="22"/>
                <w:b w:val="1"/>
                <w:bCs w:val="1"/>
                <w:color w:val="auto"/>
                <w:vertAlign w:val="subscript"/>
              </w:rPr>
              <w:t>NAV</w:t>
            </w:r>
            <w:r>
              <w:rPr>
                <w:rFonts w:ascii="Arial" w:cs="Arial" w:eastAsia="Arial" w:hAnsi="Arial"/>
                <w:sz w:val="10"/>
                <w:szCs w:val="10"/>
                <w:b w:val="1"/>
                <w:bCs w:val="1"/>
                <w:color w:val="auto"/>
              </w:rPr>
              <w:t>(1)</w:t>
            </w:r>
          </w:p>
        </w:tc>
        <w:tc>
          <w:tcPr>
            <w:tcW w:w="16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100" w:type="dxa"/>
            <w:vAlign w:val="bottom"/>
            <w:gridSpan w:val="2"/>
          </w:tcPr>
          <w:p>
            <w:pPr>
              <w:jc w:val="center"/>
              <w:ind w:right="34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 xml:space="preserve"> (2)</w:t>
            </w:r>
          </w:p>
        </w:tc>
        <w:tc>
          <w:tcPr>
            <w:tcW w:w="980" w:type="dxa"/>
            <w:vAlign w:val="bottom"/>
            <w:gridSpan w:val="2"/>
          </w:tcPr>
          <w:p>
            <w:pPr>
              <w:jc w:val="center"/>
              <w:ind w:right="26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 xml:space="preserve"> (2)</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2017</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First quarter (through December 14, 2016)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 N/A</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$14.07</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$12.44</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  0.2850</w:t>
            </w:r>
            <w:r>
              <w:rPr>
                <w:rFonts w:ascii="Arial" w:cs="Arial" w:eastAsia="Arial" w:hAnsi="Arial"/>
                <w:sz w:val="11"/>
                <w:szCs w:val="11"/>
                <w:color w:val="auto"/>
                <w:w w:val="99"/>
              </w:rPr>
              <w:t>(3)</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14.06</w:t>
            </w: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13.26</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12.54</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12.51</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11.58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13.54</w:t>
            </w: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11.70</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10.09</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12.42</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10.79</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14.30</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11.35</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14.33</w:t>
            </w: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14.48</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13.88</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14.16</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13.25</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0.2750</w:t>
            </w:r>
          </w:p>
        </w:tc>
        <w:tc>
          <w:tcPr>
            <w:tcW w:w="0" w:type="dxa"/>
            <w:vAlign w:val="bottom"/>
          </w:tcPr>
          <w:p>
            <w:pPr>
              <w:spacing w:after="0"/>
              <w:rPr>
                <w:sz w:val="1"/>
                <w:szCs w:val="1"/>
                <w:color w:val="auto"/>
              </w:rPr>
            </w:pPr>
          </w:p>
        </w:tc>
      </w:tr>
      <w:tr>
        <w:trPr>
          <w:trHeight w:val="222"/>
        </w:trPr>
        <w:tc>
          <w:tcPr>
            <w:tcW w:w="58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14.16</w:t>
            </w:r>
          </w:p>
        </w:tc>
        <w:tc>
          <w:tcPr>
            <w:tcW w:w="16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14.23</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12.98</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5060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6" w:lineRule="exact"/>
        <w:rPr>
          <w:sz w:val="20"/>
          <w:szCs w:val="20"/>
          <w:color w:val="auto"/>
        </w:rPr>
      </w:pPr>
    </w:p>
    <w:p>
      <w:pPr>
        <w:ind w:left="220" w:right="80" w:hanging="212"/>
        <w:spacing w:after="0" w:line="230" w:lineRule="auto"/>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220" w:hanging="212"/>
        <w:spacing w:after="0" w:line="221" w:lineRule="auto"/>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Calculated as the respective high or low closing sales price less NAV per share, divided by the quarter-end NAV per share.</w:t>
      </w: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a dividend of $0.0950 per share payable on January 3, 2017 to stockholders of record as of December 22, 2016.</w:t>
      </w:r>
    </w:p>
    <w:p>
      <w:pPr>
        <w:spacing w:after="0" w:line="113"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$13.23 and $11.94 on September 30, 2016 and 2015, respectively. Our NAV per share was $14.06 and $13.95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22, 2016 we had 40 stockholders of record.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right="240" w:firstLine="571"/>
        <w:spacing w:after="0" w:line="306" w:lineRule="auto"/>
        <w:rPr>
          <w:sz w:val="20"/>
          <w:szCs w:val="20"/>
          <w:color w:val="auto"/>
        </w:rPr>
      </w:pPr>
      <w:r>
        <w:rPr>
          <w:rFonts w:ascii="Arial" w:cs="Arial" w:eastAsia="Arial" w:hAnsi="Arial"/>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26" w:lineRule="exact"/>
        <w:rPr>
          <w:sz w:val="20"/>
          <w:szCs w:val="20"/>
          <w:color w:val="auto"/>
        </w:rPr>
      </w:pPr>
    </w:p>
    <w:p>
      <w:pPr>
        <w:ind w:left="660" w:right="200" w:hanging="314"/>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amount per share by which the offering price per share and the net proceeds per share are less than the most recently determined NAV per share;</w:t>
      </w:r>
    </w:p>
    <w:p>
      <w:pPr>
        <w:spacing w:after="0" w:line="113" w:lineRule="exact"/>
        <w:rPr>
          <w:rFonts w:ascii="Arial" w:cs="Arial" w:eastAsia="Arial" w:hAnsi="Arial"/>
          <w:sz w:val="16"/>
          <w:szCs w:val="16"/>
          <w:color w:val="auto"/>
        </w:rPr>
      </w:pPr>
    </w:p>
    <w:p>
      <w:pPr>
        <w:ind w:left="660" w:right="40" w:hanging="314"/>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660" w:right="140" w:hanging="314"/>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ind w:right="220" w:firstLine="571"/>
        <w:spacing w:after="0" w:line="306" w:lineRule="auto"/>
        <w:rPr>
          <w:sz w:val="20"/>
          <w:szCs w:val="20"/>
          <w:color w:val="auto"/>
        </w:rPr>
      </w:pPr>
      <w:r>
        <w:rPr>
          <w:rFonts w:ascii="Arial" w:cs="Arial" w:eastAsia="Arial" w:hAnsi="Arial"/>
          <w:sz w:val="16"/>
          <w:szCs w:val="16"/>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0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65"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18" w:lineRule="exact"/>
        <w:rPr>
          <w:sz w:val="20"/>
          <w:szCs w:val="20"/>
          <w:color w:val="auto"/>
        </w:rPr>
      </w:pPr>
    </w:p>
    <w:p>
      <w:pPr>
        <w:jc w:val="both"/>
        <w:ind w:right="22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100" w:firstLine="571"/>
        <w:spacing w:after="0" w:line="254"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86"/>
              </w:rPr>
              <w:t>Example 1</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86"/>
              </w:rPr>
              <w:t>Example 2</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Example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700" w:type="dxa"/>
            <w:vAlign w:val="bottom"/>
            <w:gridSpan w:val="4"/>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Prior to Sale</w:t>
            </w:r>
          </w:p>
        </w:tc>
        <w:tc>
          <w:tcPr>
            <w:tcW w:w="100" w:type="dxa"/>
            <w:vAlign w:val="bottom"/>
          </w:tcPr>
          <w:p>
            <w:pPr>
              <w:spacing w:after="0"/>
              <w:rPr>
                <w:sz w:val="14"/>
                <w:szCs w:val="14"/>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1700" w:type="dxa"/>
            <w:vAlign w:val="bottom"/>
            <w:gridSpan w:val="4"/>
          </w:tcPr>
          <w:p>
            <w:pPr>
              <w:jc w:val="center"/>
              <w:ind w:right="17"/>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Following</w:t>
            </w:r>
          </w:p>
        </w:tc>
        <w:tc>
          <w:tcPr>
            <w:tcW w:w="56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Following</w:t>
            </w:r>
          </w:p>
        </w:tc>
        <w:tc>
          <w:tcPr>
            <w:tcW w:w="60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Following</w:t>
            </w:r>
          </w:p>
        </w:tc>
        <w:tc>
          <w:tcPr>
            <w:tcW w:w="72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Below NAV</w:t>
            </w:r>
          </w:p>
        </w:tc>
        <w:tc>
          <w:tcPr>
            <w:tcW w:w="10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Sale</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7"/>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9"/>
                <w:szCs w:val="19"/>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w w:val="84"/>
              </w:rPr>
              <w:t>1,000,000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4"/>
              </w:rPr>
              <w:t>1,050,000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6"/>
              </w:rPr>
              <w:t>5.00 %</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w w:val="87"/>
              </w:rPr>
              <w:t>1,100,000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w w:val="87"/>
              </w:rPr>
              <w:t>1,250,000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85"/>
              </w:rPr>
              <w:t>(0.20)%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1"/>
              </w:rPr>
              <w:t>(0.90)%</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19"/>
                <w:szCs w:val="19"/>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5"/>
              </w:rPr>
              <w:t>(5.00)%</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0.91%</w:t>
            </w: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(9.00)%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99,800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5"/>
              </w:rPr>
              <w:t>(0.20)%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99,100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(0.90)%</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580"/>
              <w:spacing w:after="0"/>
              <w:rPr>
                <w:sz w:val="20"/>
                <w:szCs w:val="20"/>
                <w:color w:val="auto"/>
              </w:rPr>
            </w:pPr>
            <w:r>
              <w:rPr>
                <w:rFonts w:ascii="Arial" w:cs="Arial" w:eastAsia="Arial" w:hAnsi="Arial"/>
                <w:sz w:val="18"/>
                <w:szCs w:val="18"/>
                <w:color w:val="auto"/>
                <w:w w:val="79"/>
              </w:rPr>
              <w:t>50</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Total investment by stockholder A (assumed to be $10.00 per share)</w:t>
      </w:r>
    </w:p>
    <w:p>
      <w:pPr>
        <w:spacing w:after="0" w:line="37" w:lineRule="exact"/>
        <w:rPr>
          <w:sz w:val="20"/>
          <w:szCs w:val="20"/>
          <w:color w:val="auto"/>
        </w:rPr>
      </w:pPr>
    </w:p>
    <w:p>
      <w:pPr>
        <w:ind w:left="440" w:right="420"/>
        <w:spacing w:after="0" w:line="268" w:lineRule="auto"/>
        <w:rPr>
          <w:sz w:val="20"/>
          <w:szCs w:val="20"/>
          <w:color w:val="auto"/>
        </w:rPr>
      </w:pPr>
      <w:r>
        <w:rPr>
          <w:rFonts w:ascii="Arial" w:cs="Arial" w:eastAsia="Arial" w:hAnsi="Arial"/>
          <w:sz w:val="18"/>
          <w:szCs w:val="18"/>
          <w:color w:val="auto"/>
        </w:rPr>
        <w:t>Total dilution to stockholder A (total NAV less total investment)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Amounts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left="367"/>
              <w:spacing w:after="0"/>
              <w:rPr>
                <w:sz w:val="20"/>
                <w:szCs w:val="20"/>
                <w:color w:val="auto"/>
              </w:rPr>
            </w:pPr>
            <w:r>
              <w:rPr>
                <w:rFonts w:ascii="Arial" w:cs="Arial" w:eastAsia="Arial" w:hAnsi="Arial"/>
                <w:sz w:val="14"/>
                <w:szCs w:val="14"/>
                <w:b w:val="1"/>
                <w:bCs w:val="1"/>
                <w:color w:val="auto"/>
                <w:w w:val="86"/>
              </w:rPr>
              <w:t>Example 1</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89"/>
              </w:rPr>
              <w:t>Example 2</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86"/>
              </w:rPr>
              <w:t>Example 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20" w:type="dxa"/>
            <w:vAlign w:val="bottom"/>
          </w:tcPr>
          <w:p>
            <w:pPr>
              <w:spacing w:after="0"/>
              <w:rPr>
                <w:sz w:val="12"/>
                <w:szCs w:val="12"/>
                <w:color w:val="auto"/>
              </w:rPr>
            </w:pPr>
          </w:p>
        </w:tc>
        <w:tc>
          <w:tcPr>
            <w:tcW w:w="1580" w:type="dxa"/>
            <w:vAlign w:val="bottom"/>
            <w:gridSpan w:val="4"/>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8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4"/>
              </w:rPr>
              <w:t>Prior to Sale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at 5% Discount</w:t>
            </w:r>
          </w:p>
        </w:tc>
        <w:tc>
          <w:tcPr>
            <w:tcW w:w="120" w:type="dxa"/>
            <w:vAlign w:val="bottom"/>
          </w:tcPr>
          <w:p>
            <w:pPr>
              <w:spacing w:after="0"/>
              <w:rPr>
                <w:sz w:val="14"/>
                <w:szCs w:val="14"/>
                <w:color w:val="auto"/>
              </w:rPr>
            </w:pPr>
          </w:p>
        </w:tc>
        <w:tc>
          <w:tcPr>
            <w:tcW w:w="1580" w:type="dxa"/>
            <w:vAlign w:val="bottom"/>
            <w:gridSpan w:val="4"/>
          </w:tcPr>
          <w:p>
            <w:pPr>
              <w:jc w:val="center"/>
              <w:ind w:right="22"/>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42"/>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Following</w:t>
            </w:r>
          </w:p>
        </w:tc>
        <w:tc>
          <w:tcPr>
            <w:tcW w:w="540" w:type="dxa"/>
            <w:vAlign w:val="bottom"/>
            <w:tcBorders>
              <w:top w:val="single" w:sz="8" w:color="auto"/>
            </w:tcBorders>
          </w:tcPr>
          <w:p>
            <w:pPr>
              <w:jc w:val="right"/>
              <w:ind w:right="18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Below NAV</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3"/>
              </w:rPr>
              <w:t>Sale</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78"/>
        </w:trPr>
        <w:tc>
          <w:tcPr>
            <w:tcW w:w="880" w:type="dxa"/>
            <w:vAlign w:val="bottom"/>
          </w:tcPr>
          <w:p>
            <w:pPr>
              <w:jc w:val="right"/>
              <w:ind w:right="62"/>
              <w:spacing w:after="0"/>
              <w:rPr>
                <w:sz w:val="20"/>
                <w:szCs w:val="20"/>
                <w:color w:val="auto"/>
              </w:rPr>
            </w:pPr>
            <w:r>
              <w:rPr>
                <w:rFonts w:ascii="Arial" w:cs="Arial" w:eastAsia="Arial" w:hAnsi="Arial"/>
                <w:sz w:val="18"/>
                <w:szCs w:val="18"/>
                <w:color w:val="auto"/>
                <w:w w:val="89"/>
              </w:rPr>
              <w:t>$ 100,000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right="7"/>
              <w:spacing w:after="0"/>
              <w:rPr>
                <w:sz w:val="20"/>
                <w:szCs w:val="20"/>
                <w:color w:val="auto"/>
              </w:rPr>
            </w:pPr>
            <w:r>
              <w:rPr>
                <w:rFonts w:ascii="Arial" w:cs="Arial" w:eastAsia="Arial" w:hAnsi="Arial"/>
                <w:sz w:val="18"/>
                <w:szCs w:val="18"/>
                <w:color w:val="auto"/>
                <w:w w:val="89"/>
              </w:rPr>
              <w:t>100,000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center"/>
              <w:ind w:right="27"/>
              <w:spacing w:after="0"/>
              <w:rPr>
                <w:sz w:val="20"/>
                <w:szCs w:val="20"/>
                <w:color w:val="auto"/>
              </w:rPr>
            </w:pPr>
            <w:r>
              <w:rPr>
                <w:rFonts w:ascii="Arial" w:cs="Arial" w:eastAsia="Arial" w:hAnsi="Arial"/>
                <w:sz w:val="18"/>
                <w:szCs w:val="18"/>
                <w:color w:val="auto"/>
                <w:w w:val="86"/>
              </w:rPr>
              <w:t>100,000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right="27"/>
              <w:spacing w:after="0"/>
              <w:rPr>
                <w:sz w:val="20"/>
                <w:szCs w:val="20"/>
                <w:color w:val="auto"/>
              </w:rPr>
            </w:pPr>
            <w:r>
              <w:rPr>
                <w:rFonts w:ascii="Arial" w:cs="Arial" w:eastAsia="Arial" w:hAnsi="Arial"/>
                <w:sz w:val="18"/>
                <w:szCs w:val="18"/>
                <w:color w:val="auto"/>
                <w:w w:val="89"/>
              </w:rPr>
              <w:t>100,000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88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7"/>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-632460</wp:posOffset>
            </wp:positionV>
            <wp:extent cx="7246620" cy="3175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1270</wp:posOffset>
            </wp:positionV>
            <wp:extent cx="7246620"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4500" w:space="280"/>
            <w:col w:w="66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70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9.98</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auto"/>
              </w:rPr>
              <w:t>9.91</w:t>
            </w:r>
          </w:p>
        </w:tc>
        <w:tc>
          <w:tcPr>
            <w:tcW w:w="860" w:type="dxa"/>
            <w:vAlign w:val="bottom"/>
            <w:vMerge w:val="restart"/>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9.50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9"/>
        </w:trPr>
        <w:tc>
          <w:tcPr>
            <w:tcW w:w="47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Investment per share held by stockholder A (assumed to be</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$10.00 per share on shares held prior to sale)</w:t>
            </w:r>
          </w:p>
        </w:tc>
        <w:tc>
          <w:tcPr>
            <w:tcW w:w="9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   10.00</w:t>
            </w:r>
          </w:p>
        </w:tc>
        <w:tc>
          <w:tcPr>
            <w:tcW w:w="3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6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70"/>
        </w:trPr>
        <w:tc>
          <w:tcPr>
            <w:tcW w:w="47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440"/>
              <w:spacing w:after="0"/>
              <w:rPr>
                <w:sz w:val="20"/>
                <w:szCs w:val="20"/>
                <w:color w:val="auto"/>
              </w:rPr>
            </w:pPr>
            <w:r>
              <w:rPr>
                <w:rFonts w:ascii="Arial" w:cs="Arial" w:eastAsia="Arial" w:hAnsi="Arial"/>
                <w:sz w:val="18"/>
                <w:szCs w:val="18"/>
                <w:color w:val="auto"/>
                <w:w w:val="94"/>
              </w:rPr>
              <w:t>Dilution per share held by stockholder A (NAV per share</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440"/>
              <w:spacing w:after="0"/>
              <w:rPr>
                <w:sz w:val="20"/>
                <w:szCs w:val="20"/>
                <w:color w:val="auto"/>
              </w:rPr>
            </w:pPr>
            <w:r>
              <w:rPr>
                <w:rFonts w:ascii="Arial" w:cs="Arial" w:eastAsia="Arial" w:hAnsi="Arial"/>
                <w:sz w:val="18"/>
                <w:szCs w:val="18"/>
                <w:color w:val="auto"/>
              </w:rPr>
              <w:t>less investment per share)</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92"/>
              <w:spacing w:after="0"/>
              <w:rPr>
                <w:sz w:val="20"/>
                <w:szCs w:val="20"/>
                <w:color w:val="auto"/>
              </w:rPr>
            </w:pPr>
            <w:r>
              <w:rPr>
                <w:rFonts w:ascii="Arial" w:cs="Arial" w:eastAsia="Arial" w:hAnsi="Arial"/>
                <w:sz w:val="18"/>
                <w:szCs w:val="18"/>
                <w:color w:val="auto"/>
              </w:rPr>
              <w:t>(0.02)</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92"/>
              <w:spacing w:after="0"/>
              <w:rPr>
                <w:sz w:val="20"/>
                <w:szCs w:val="20"/>
                <w:color w:val="auto"/>
              </w:rPr>
            </w:pPr>
            <w:r>
              <w:rPr>
                <w:rFonts w:ascii="Arial" w:cs="Arial" w:eastAsia="Arial" w:hAnsi="Arial"/>
                <w:sz w:val="18"/>
                <w:szCs w:val="18"/>
                <w:color w:val="auto"/>
              </w:rPr>
              <w:t>(0.09)</w:t>
            </w:r>
          </w:p>
        </w:tc>
        <w:tc>
          <w:tcPr>
            <w:tcW w:w="860" w:type="dxa"/>
            <w:vAlign w:val="bottom"/>
            <w:vMerge w:val="restart"/>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92"/>
              <w:spacing w:after="0"/>
              <w:rPr>
                <w:sz w:val="20"/>
                <w:szCs w:val="20"/>
                <w:color w:val="auto"/>
              </w:rPr>
            </w:pPr>
            <w:r>
              <w:rPr>
                <w:rFonts w:ascii="Arial" w:cs="Arial" w:eastAsia="Arial" w:hAnsi="Arial"/>
                <w:sz w:val="18"/>
                <w:szCs w:val="18"/>
                <w:color w:val="auto"/>
              </w:rPr>
              <w:t>(0.50)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9"/>
        </w:trPr>
        <w:tc>
          <w:tcPr>
            <w:tcW w:w="47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Percentage dilution to stockholder A (dilution per share</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divided by investment per share)</w:t>
            </w:r>
          </w:p>
        </w:tc>
        <w:tc>
          <w:tcPr>
            <w:tcW w:w="9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(0.20)%</w:t>
            </w:r>
          </w:p>
        </w:tc>
        <w:tc>
          <w:tcPr>
            <w:tcW w:w="3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(0.90)%</w:t>
            </w:r>
          </w:p>
        </w:tc>
        <w:tc>
          <w:tcPr>
            <w:tcW w:w="30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(5.00)%</w:t>
            </w:r>
          </w:p>
        </w:tc>
        <w:tc>
          <w:tcPr>
            <w:tcW w:w="0" w:type="dxa"/>
            <w:vAlign w:val="bottom"/>
          </w:tcPr>
          <w:p>
            <w:pPr>
              <w:spacing w:after="0"/>
              <w:rPr>
                <w:sz w:val="1"/>
                <w:szCs w:val="1"/>
                <w:color w:val="auto"/>
              </w:rPr>
            </w:pPr>
          </w:p>
        </w:tc>
      </w:tr>
      <w:tr>
        <w:trPr>
          <w:trHeight w:val="70"/>
        </w:trPr>
        <w:tc>
          <w:tcPr>
            <w:tcW w:w="47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100" w:firstLine="571"/>
        <w:spacing w:after="0" w:line="283"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w:t>
      </w:r>
    </w:p>
    <w:p>
      <w:pPr>
        <w:spacing w:after="0" w:line="3" w:lineRule="exact"/>
        <w:rPr>
          <w:sz w:val="20"/>
          <w:szCs w:val="20"/>
          <w:color w:val="auto"/>
        </w:rPr>
      </w:pPr>
    </w:p>
    <w:p>
      <w:pPr>
        <w:ind w:right="380" w:firstLine="8"/>
        <w:spacing w:after="0" w:line="261"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150% of their proportionate share of the offering (i.e. 3,750 shares which is 1.50% of the offering of 250,000 shares rather than their 1.00% proportionate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Prior to Sale</w:t>
            </w:r>
          </w:p>
        </w:tc>
        <w:tc>
          <w:tcPr>
            <w:tcW w:w="120" w:type="dxa"/>
            <w:vAlign w:val="bottom"/>
          </w:tcPr>
          <w:p>
            <w:pPr>
              <w:spacing w:after="0"/>
              <w:rPr>
                <w:sz w:val="14"/>
                <w:szCs w:val="14"/>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50% Participation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Below NAV</w:t>
            </w: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Offering Price</w:t>
            </w:r>
          </w:p>
        </w:tc>
        <w:tc>
          <w:tcPr>
            <w:tcW w:w="2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200" w:type="dxa"/>
            <w:vAlign w:val="bottom"/>
          </w:tcPr>
          <w:p>
            <w:pPr>
              <w:spacing w:after="0"/>
              <w:rPr>
                <w:sz w:val="19"/>
                <w:szCs w:val="19"/>
                <w:color w:val="auto"/>
              </w:rPr>
            </w:pP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20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3940" w:type="dxa"/>
            <w:vAlign w:val="bottom"/>
            <w:shd w:val="clear" w:color="auto" w:fill="CCEEFF"/>
          </w:tcPr>
          <w:p>
            <w:pPr>
              <w:spacing w:after="0"/>
              <w:rPr>
                <w:sz w:val="5"/>
                <w:szCs w:val="5"/>
                <w:color w:val="auto"/>
              </w:rPr>
            </w:pPr>
          </w:p>
        </w:tc>
        <w:tc>
          <w:tcPr>
            <w:tcW w:w="220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480" w:type="dxa"/>
            <w:vAlign w:val="bottom"/>
            <w:gridSpan w:val="2"/>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3940" w:type="dxa"/>
            <w:vAlign w:val="bottom"/>
          </w:tcPr>
          <w:p>
            <w:pPr>
              <w:spacing w:after="0"/>
              <w:rPr>
                <w:sz w:val="24"/>
                <w:szCs w:val="24"/>
                <w:color w:val="auto"/>
              </w:rPr>
            </w:pPr>
          </w:p>
        </w:tc>
        <w:tc>
          <w:tcPr>
            <w:tcW w:w="2200" w:type="dxa"/>
            <w:vAlign w:val="bottom"/>
          </w:tcPr>
          <w:p>
            <w:pPr>
              <w:jc w:val="right"/>
              <w:ind w:right="252"/>
              <w:spacing w:after="0"/>
              <w:rPr>
                <w:sz w:val="20"/>
                <w:szCs w:val="20"/>
                <w:color w:val="auto"/>
              </w:rPr>
            </w:pPr>
            <w:r>
              <w:rPr>
                <w:rFonts w:ascii="Arial" w:cs="Arial" w:eastAsia="Arial" w:hAnsi="Arial"/>
                <w:sz w:val="18"/>
                <w:szCs w:val="18"/>
                <w:color w:val="auto"/>
              </w:rPr>
              <w:t>51</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Prior to Sale</w:t>
            </w:r>
          </w:p>
        </w:tc>
        <w:tc>
          <w:tcPr>
            <w:tcW w:w="100" w:type="dxa"/>
            <w:vAlign w:val="bottom"/>
          </w:tcPr>
          <w:p>
            <w:pPr>
              <w:spacing w:after="0"/>
              <w:rPr>
                <w:sz w:val="14"/>
                <w:szCs w:val="14"/>
                <w:color w:val="auto"/>
              </w:rPr>
            </w:pPr>
          </w:p>
        </w:tc>
        <w:tc>
          <w:tcPr>
            <w:tcW w:w="19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7"/>
              </w:rPr>
              <w:t>Following</w:t>
            </w:r>
          </w:p>
        </w:tc>
        <w:tc>
          <w:tcPr>
            <w:tcW w:w="720" w:type="dxa"/>
            <w:vAlign w:val="bottom"/>
            <w:tcBorders>
              <w:top w:val="single" w:sz="8" w:color="auto"/>
            </w:tcBorders>
          </w:tcPr>
          <w:p>
            <w:pPr>
              <w:jc w:val="right"/>
              <w:ind w:right="21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Following</w:t>
            </w:r>
          </w:p>
        </w:tc>
        <w:tc>
          <w:tcPr>
            <w:tcW w:w="64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Below NAV</w:t>
            </w: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Increases in Shares and Decrease to NAV</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restart"/>
          </w:tcPr>
          <w:p>
            <w:pPr>
              <w:jc w:val="right"/>
              <w:ind w:right="35"/>
              <w:spacing w:after="0"/>
              <w:rPr>
                <w:sz w:val="20"/>
                <w:szCs w:val="20"/>
                <w:color w:val="auto"/>
              </w:rPr>
            </w:pPr>
            <w:r>
              <w:rPr>
                <w:rFonts w:ascii="Arial" w:cs="Arial" w:eastAsia="Arial" w:hAnsi="Arial"/>
                <w:sz w:val="18"/>
                <w:szCs w:val="18"/>
                <w:color w:val="auto"/>
                <w:w w:val="87"/>
              </w:rPr>
              <w:t>1,000,000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w w:val="87"/>
              </w:rPr>
              <w:t>1,250,000</w:t>
            </w:r>
          </w:p>
        </w:tc>
        <w:tc>
          <w:tcPr>
            <w:tcW w:w="20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25.00 %</w:t>
            </w:r>
          </w:p>
        </w:tc>
        <w:tc>
          <w:tcPr>
            <w:tcW w:w="100" w:type="dxa"/>
            <w:vAlign w:val="bottom"/>
          </w:tcPr>
          <w:p>
            <w:pPr>
              <w:spacing w:after="0"/>
              <w:rPr>
                <w:sz w:val="19"/>
                <w:szCs w:val="19"/>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w w:val="84"/>
              </w:rPr>
              <w:t>1,250,000</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25.00 %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NAV per share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(Dilution)/Accretion to Participating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11,250</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12.50 %</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13,750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37.50 %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0.90%</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5"/>
              </w:rPr>
              <w:t>(10.00)%</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1.10%</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NAV held by stockholder A</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rPr>
              <w:t>106,875</w:t>
            </w:r>
          </w:p>
        </w:tc>
        <w:tc>
          <w:tcPr>
            <w:tcW w:w="20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6.88 %</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130,625</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30.63 %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88"/>
              </w:rPr>
              <w:t>Total investment by stockholder A (assumed to be $10.00 per share on shares held prior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sale)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109,863</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9.86 %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129,588</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29.59 %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(dilution)/accretion to stockholder A (total NAV less total investment)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(2,988)</w:t>
            </w:r>
          </w:p>
        </w:tc>
        <w:tc>
          <w:tcPr>
            <w:tcW w:w="200" w:type="dxa"/>
            <w:vAlign w:val="bottom"/>
          </w:tcPr>
          <w:p>
            <w:pPr>
              <w:spacing w:after="0"/>
              <w:rPr>
                <w:sz w:val="19"/>
                <w:szCs w:val="19"/>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NAV per share held by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Investment per share held by stockholder A (assumed to be $10.00 per share 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held prior to sale)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9.77</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9.42</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(Dilution)/accretion per share held by stockholder A (NAV per share less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640"/>
              <w:spacing w:after="0"/>
              <w:rPr>
                <w:sz w:val="20"/>
                <w:szCs w:val="20"/>
                <w:color w:val="auto"/>
              </w:rPr>
            </w:pPr>
            <w:r>
              <w:rPr>
                <w:rFonts w:ascii="Arial" w:cs="Arial" w:eastAsia="Arial" w:hAnsi="Arial"/>
                <w:sz w:val="18"/>
                <w:szCs w:val="18"/>
                <w:color w:val="auto"/>
              </w:rPr>
              <w:t>investment per share)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19"/>
                <w:szCs w:val="19"/>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Percentage (dilution)/accretion to stockholder A ((dilution)/accretion per share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divided by investment per share)</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1</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2</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00" w:type="dxa"/>
            <w:vAlign w:val="bottom"/>
          </w:tcPr>
          <w:p>
            <w:pPr>
              <w:spacing w:after="0"/>
              <w:rPr>
                <w:sz w:val="12"/>
                <w:szCs w:val="12"/>
                <w:color w:val="auto"/>
              </w:rPr>
            </w:pPr>
          </w:p>
        </w:tc>
        <w:tc>
          <w:tcPr>
            <w:tcW w:w="19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7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1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8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Decrease to NAV</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84"/>
              </w:rPr>
              <w:t>1,050,000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84"/>
              </w:rPr>
              <w:t>1,250,000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25.00 %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NAV per share</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9.98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(0.20)%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(0.90)%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Dilution to Stockholder A</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0.90%</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stockholder A</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4,990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23,750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00" w:type="dxa"/>
            <w:vAlign w:val="bottom"/>
          </w:tcPr>
          <w:p>
            <w:pPr>
              <w:ind w:left="440"/>
              <w:spacing w:after="0"/>
              <w:rPr>
                <w:sz w:val="20"/>
                <w:szCs w:val="20"/>
                <w:color w:val="auto"/>
              </w:rPr>
            </w:pPr>
            <w:r>
              <w:rPr>
                <w:rFonts w:ascii="Arial" w:cs="Arial" w:eastAsia="Arial" w:hAnsi="Arial"/>
                <w:sz w:val="18"/>
                <w:szCs w:val="18"/>
                <w:color w:val="auto"/>
              </w:rPr>
              <w:t>Total investment by</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660"/>
              <w:spacing w:after="0"/>
              <w:rPr>
                <w:sz w:val="20"/>
                <w:szCs w:val="20"/>
                <w:color w:val="auto"/>
              </w:rPr>
            </w:pPr>
            <w:r>
              <w:rPr>
                <w:rFonts w:ascii="Arial" w:cs="Arial" w:eastAsia="Arial" w:hAnsi="Arial"/>
                <w:sz w:val="18"/>
                <w:szCs w:val="18"/>
                <w:color w:val="auto"/>
              </w:rPr>
              <w:t>stockholder A</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19,725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Total (dilution)/accretion to stockholder A (total NAV</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less total investment)</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4,025</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9.98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(Dilution)/accretion per share held by stockholder A</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per share less investment per share)</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00" w:type="dxa"/>
            <w:vAlign w:val="bottom"/>
          </w:tcPr>
          <w:p>
            <w:pPr>
              <w:ind w:left="440"/>
              <w:spacing w:after="0"/>
              <w:rPr>
                <w:sz w:val="20"/>
                <w:szCs w:val="20"/>
                <w:color w:val="auto"/>
              </w:rPr>
            </w:pPr>
            <w:r>
              <w:rPr>
                <w:rFonts w:ascii="Arial" w:cs="Arial" w:eastAsia="Arial" w:hAnsi="Arial"/>
                <w:sz w:val="18"/>
                <w:szCs w:val="18"/>
                <w:color w:val="auto"/>
              </w:rPr>
              <w:t>Percentage (dilution)/accretion to stockholder A</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660"/>
              <w:spacing w:after="0"/>
              <w:rPr>
                <w:sz w:val="20"/>
                <w:szCs w:val="20"/>
                <w:color w:val="auto"/>
              </w:rPr>
            </w:pPr>
            <w:r>
              <w:rPr>
                <w:rFonts w:ascii="Arial" w:cs="Arial" w:eastAsia="Arial" w:hAnsi="Arial"/>
                <w:sz w:val="18"/>
                <w:szCs w:val="18"/>
                <w:color w:val="auto"/>
              </w:rPr>
              <w:t>((dilution)/accretion per share divided by</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660"/>
              <w:spacing w:after="0"/>
              <w:rPr>
                <w:sz w:val="20"/>
                <w:szCs w:val="20"/>
                <w:color w:val="auto"/>
              </w:rPr>
            </w:pPr>
            <w:r>
              <w:rPr>
                <w:rFonts w:ascii="Arial" w:cs="Arial" w:eastAsia="Arial" w:hAnsi="Arial"/>
                <w:sz w:val="18"/>
                <w:szCs w:val="18"/>
                <w:color w:val="auto"/>
              </w:rPr>
              <w:t>investment per share)</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(0.20)%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9"/>
              </w:rPr>
              <w:t>4.65 %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518"/>
              <w:spacing w:after="0"/>
              <w:rPr>
                <w:sz w:val="20"/>
                <w:szCs w:val="20"/>
                <w:color w:val="auto"/>
              </w:rPr>
            </w:pPr>
            <w:r>
              <w:rPr>
                <w:rFonts w:ascii="Arial" w:cs="Arial" w:eastAsia="Arial" w:hAnsi="Arial"/>
                <w:sz w:val="18"/>
                <w:szCs w:val="18"/>
                <w:color w:val="auto"/>
                <w:w w:val="89"/>
              </w:rPr>
              <w:t>53</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per share that we have declared on our common stock since October 1, 2014.</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4400" w:type="dxa"/>
            <w:vAlign w:val="bottom"/>
            <w:vMerge w:val="restart"/>
          </w:tcPr>
          <w:p>
            <w:pPr>
              <w:spacing w:after="0"/>
              <w:rPr>
                <w:sz w:val="14"/>
                <w:szCs w:val="14"/>
                <w:color w:val="auto"/>
              </w:rPr>
            </w:pPr>
          </w:p>
        </w:tc>
        <w:tc>
          <w:tcPr>
            <w:tcW w:w="3920" w:type="dxa"/>
            <w:vAlign w:val="bottom"/>
            <w:gridSpan w:val="3"/>
            <w:vMerge w:val="restart"/>
          </w:tcPr>
          <w:p>
            <w:pPr>
              <w:jc w:val="right"/>
              <w:ind w:right="760"/>
              <w:spacing w:after="0"/>
              <w:rPr>
                <w:sz w:val="20"/>
                <w:szCs w:val="20"/>
                <w:color w:val="auto"/>
              </w:rPr>
            </w:pPr>
            <w:r>
              <w:rPr>
                <w:rFonts w:ascii="Arial" w:cs="Arial" w:eastAsia="Arial" w:hAnsi="Arial"/>
                <w:sz w:val="14"/>
                <w:szCs w:val="14"/>
                <w:b w:val="1"/>
                <w:bCs w:val="1"/>
                <w:color w:val="auto"/>
              </w:rPr>
              <w:t>Payment Dates</w:t>
            </w:r>
          </w:p>
        </w:tc>
        <w:tc>
          <w:tcPr>
            <w:tcW w:w="1120" w:type="dxa"/>
            <w:vAlign w:val="bottom"/>
            <w:gridSpan w:val="4"/>
          </w:tcPr>
          <w:p>
            <w:pPr>
              <w:ind w:left="240"/>
              <w:spacing w:after="0"/>
              <w:rPr>
                <w:sz w:val="20"/>
                <w:szCs w:val="20"/>
                <w:color w:val="auto"/>
              </w:rPr>
            </w:pPr>
            <w:r>
              <w:rPr>
                <w:rFonts w:ascii="Arial" w:cs="Arial" w:eastAsia="Arial" w:hAnsi="Arial"/>
                <w:sz w:val="14"/>
                <w:szCs w:val="14"/>
                <w:b w:val="1"/>
                <w:bCs w:val="1"/>
                <w:color w:val="auto"/>
                <w:w w:val="99"/>
              </w:rPr>
              <w:t>Distributions</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4400" w:type="dxa"/>
            <w:vAlign w:val="bottom"/>
            <w:vMerge w:val="continue"/>
          </w:tcPr>
          <w:p>
            <w:pPr>
              <w:spacing w:after="0"/>
              <w:rPr>
                <w:sz w:val="12"/>
                <w:szCs w:val="12"/>
                <w:color w:val="auto"/>
              </w:rPr>
            </w:pPr>
          </w:p>
        </w:tc>
        <w:tc>
          <w:tcPr>
            <w:tcW w:w="39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2017</w:t>
            </w:r>
          </w:p>
        </w:tc>
        <w:tc>
          <w:tcPr>
            <w:tcW w:w="2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December 22, 2016</w:t>
            </w:r>
          </w:p>
        </w:tc>
        <w:tc>
          <w:tcPr>
            <w:tcW w:w="23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January 3, 2017</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November 18, 2016</w:t>
            </w:r>
          </w:p>
        </w:tc>
        <w:tc>
          <w:tcPr>
            <w:tcW w:w="2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December 1, 2016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October 20, 2016</w:t>
            </w:r>
          </w:p>
        </w:tc>
        <w:tc>
          <w:tcPr>
            <w:tcW w:w="230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November 1, 2016</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2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September 21, 2016</w:t>
            </w:r>
          </w:p>
        </w:tc>
        <w:tc>
          <w:tcPr>
            <w:tcW w:w="2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3, 2016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August 19, 2016</w:t>
            </w:r>
          </w:p>
        </w:tc>
        <w:tc>
          <w:tcPr>
            <w:tcW w:w="23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September 1, 2016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July 20, 2016</w:t>
            </w:r>
          </w:p>
        </w:tc>
        <w:tc>
          <w:tcPr>
            <w:tcW w:w="2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August 1, 2016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June 20, 2016</w:t>
            </w:r>
          </w:p>
        </w:tc>
        <w:tc>
          <w:tcPr>
            <w:tcW w:w="23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July 1, 2016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May 20, 2016</w:t>
            </w:r>
          </w:p>
        </w:tc>
        <w:tc>
          <w:tcPr>
            <w:tcW w:w="2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June 1, 2016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April 20, 2016</w:t>
            </w:r>
          </w:p>
        </w:tc>
        <w:tc>
          <w:tcPr>
            <w:tcW w:w="23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May 2, 2016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March 18, 2016</w:t>
            </w:r>
          </w:p>
        </w:tc>
        <w:tc>
          <w:tcPr>
            <w:tcW w:w="2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April 1, 2016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February 18, 2016</w:t>
            </w:r>
          </w:p>
        </w:tc>
        <w:tc>
          <w:tcPr>
            <w:tcW w:w="23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March 1, 2016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January 20, 2016</w:t>
            </w:r>
          </w:p>
        </w:tc>
        <w:tc>
          <w:tcPr>
            <w:tcW w:w="2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February 1, 2016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December 24, 2015</w:t>
            </w:r>
          </w:p>
        </w:tc>
        <w:tc>
          <w:tcPr>
            <w:tcW w:w="23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January 4, 2016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November 19, 2015</w:t>
            </w:r>
          </w:p>
        </w:tc>
        <w:tc>
          <w:tcPr>
            <w:tcW w:w="2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December 1, 2015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October 21, 2015</w:t>
            </w:r>
          </w:p>
        </w:tc>
        <w:tc>
          <w:tcPr>
            <w:tcW w:w="230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November 2, 2015</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2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September 21, 2015</w:t>
            </w:r>
          </w:p>
        </w:tc>
        <w:tc>
          <w:tcPr>
            <w:tcW w:w="2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1, 2015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August 24, 2015</w:t>
            </w:r>
          </w:p>
        </w:tc>
        <w:tc>
          <w:tcPr>
            <w:tcW w:w="23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September 1, 2015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July 22, 2015</w:t>
            </w:r>
          </w:p>
        </w:tc>
        <w:tc>
          <w:tcPr>
            <w:tcW w:w="2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August 3, 2015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June 15, 2015</w:t>
            </w:r>
          </w:p>
        </w:tc>
        <w:tc>
          <w:tcPr>
            <w:tcW w:w="23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July 1, 2015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May 20, 2015</w:t>
            </w:r>
          </w:p>
        </w:tc>
        <w:tc>
          <w:tcPr>
            <w:tcW w:w="2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June 1, 2015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April 20, 2015</w:t>
            </w:r>
          </w:p>
        </w:tc>
        <w:tc>
          <w:tcPr>
            <w:tcW w:w="23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May 1, 2015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March 20, 2015</w:t>
            </w:r>
          </w:p>
        </w:tc>
        <w:tc>
          <w:tcPr>
            <w:tcW w:w="2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April 1, 2015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February 18, 2015</w:t>
            </w:r>
          </w:p>
        </w:tc>
        <w:tc>
          <w:tcPr>
            <w:tcW w:w="23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March 2, 2015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January 21, 2015</w:t>
            </w:r>
          </w:p>
        </w:tc>
        <w:tc>
          <w:tcPr>
            <w:tcW w:w="2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February 2, 2015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December 19, 2014</w:t>
            </w:r>
          </w:p>
        </w:tc>
        <w:tc>
          <w:tcPr>
            <w:tcW w:w="23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January 2, 2015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November 19, 2014</w:t>
            </w:r>
          </w:p>
        </w:tc>
        <w:tc>
          <w:tcPr>
            <w:tcW w:w="2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December 1, 2014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October 22, 2014</w:t>
            </w:r>
          </w:p>
        </w:tc>
        <w:tc>
          <w:tcPr>
            <w:tcW w:w="230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November 3, 2014</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860" w:firstLine="571"/>
        <w:spacing w:after="0" w:line="268" w:lineRule="auto"/>
        <w:rPr>
          <w:sz w:val="20"/>
          <w:szCs w:val="20"/>
          <w:color w:val="auto"/>
        </w:rPr>
      </w:pPr>
      <w:r>
        <w:rPr>
          <w:rFonts w:ascii="Arial" w:cs="Arial" w:eastAsia="Arial" w:hAnsi="Arial"/>
          <w:sz w:val="18"/>
          <w:szCs w:val="18"/>
          <w:color w:val="auto"/>
        </w:rPr>
        <w:t>In January 2017, a Form 1099-DIV will be sent to stockholders subject to information reporting that will state the amount and composition of distributions and provide information with respect to appropriate tax treatment of our distributions.</w:t>
      </w:r>
    </w:p>
    <w:p>
      <w:pPr>
        <w:spacing w:after="0" w:line="105"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The tax characteristics of distributions declared, in accordance with Section 19(a) of the 1940 Act, during the fiscal years ended September 30, 2016 and 2015 from ordinary income (including short-term capital gains) totaled $30.5 million and $17.2 million, or $1.14 and $1.06 per share, respectively, based on the weighted average shares outstanding for the respective periods. Additionally, for the fiscal year ended September 30, 2015, we had long-term capital gain distributions of $1.7 million, or $0.10 per share, based on the weighted average shares outstanding.</w:t>
      </w:r>
    </w:p>
    <w:p>
      <w:pPr>
        <w:spacing w:after="0" w:line="86" w:lineRule="exact"/>
        <w:rPr>
          <w:sz w:val="20"/>
          <w:szCs w:val="20"/>
          <w:color w:val="auto"/>
        </w:rPr>
      </w:pPr>
    </w:p>
    <w:p>
      <w:pPr>
        <w:ind w:right="40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tax status. We cannot assure stockholders that they will receive any distributions or distributions at a particular level.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engage in any sales of unregistered securities during the fiscal year ended September 30,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 Park Floating Rate Capital Ltd.</w:t>
      </w:r>
    </w:p>
    <w:p>
      <w:pPr>
        <w:spacing w:after="0" w:line="96" w:lineRule="exact"/>
        <w:rPr>
          <w:sz w:val="20"/>
          <w:szCs w:val="20"/>
          <w:color w:val="auto"/>
        </w:rPr>
      </w:pPr>
    </w:p>
    <w:p>
      <w:pPr>
        <w:ind w:right="380" w:firstLine="571"/>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51"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7"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instruments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35" w:lineRule="exact"/>
        <w:rPr>
          <w:sz w:val="20"/>
          <w:szCs w:val="20"/>
          <w:color w:val="auto"/>
        </w:rPr>
      </w:pPr>
    </w:p>
    <w:p>
      <w:pPr>
        <w:ind w:right="22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59"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51"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In August 2015, we completed the acquisition of MCG pursuant to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00" w:firstLine="571"/>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$3.0 billion in debt and equity capital and has invested $5.5 billion in more than 400 companies with over 160 different financial sponsors through its managed funds.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may provide,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660" w:hanging="314"/>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 companies look to</w:t>
      </w:r>
      <w:r>
        <w:rPr>
          <w:rFonts w:ascii="Arial" w:cs="Arial" w:eastAsia="Arial" w:hAnsi="Arial"/>
          <w:sz w:val="18"/>
          <w:szCs w:val="18"/>
          <w:b w:val="1"/>
          <w:bCs w:val="1"/>
          <w:color w:val="auto"/>
        </w:rPr>
        <w:t xml:space="preserve"> </w:t>
      </w:r>
      <w:r>
        <w:rPr>
          <w:rFonts w:ascii="Arial" w:cs="Arial" w:eastAsia="Arial" w:hAnsi="Arial"/>
          <w:sz w:val="18"/>
          <w:szCs w:val="18"/>
          <w:color w:val="auto"/>
        </w:rPr>
        <w:t>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55" w:lineRule="exact"/>
        <w:rPr>
          <w:rFonts w:ascii="Arial" w:cs="Arial" w:eastAsia="Arial" w:hAnsi="Arial"/>
          <w:sz w:val="18"/>
          <w:szCs w:val="18"/>
          <w:color w:val="auto"/>
        </w:rPr>
      </w:pPr>
    </w:p>
    <w:p>
      <w:pPr>
        <w:ind w:left="660" w:right="260" w:hanging="314"/>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 companies, hedge</w:t>
      </w:r>
      <w:r>
        <w:rPr>
          <w:rFonts w:ascii="Arial" w:cs="Arial" w:eastAsia="Arial" w:hAnsi="Arial"/>
          <w:sz w:val="18"/>
          <w:szCs w:val="18"/>
          <w:b w:val="1"/>
          <w:bCs w:val="1"/>
          <w:color w:val="auto"/>
        </w:rPr>
        <w:t xml:space="preserve"> </w:t>
      </w:r>
      <w:r>
        <w:rPr>
          <w:rFonts w:ascii="Arial" w:cs="Arial" w:eastAsia="Arial" w:hAnsi="Arial"/>
          <w:sz w:val="18"/>
          <w:szCs w:val="18"/>
          <w:color w:val="auto"/>
        </w:rPr>
        <w:t>funds and CLO funds have withdrawn, and may again withdraw, capital from the middle-market, resulting in opportunities for alternative funding sources.</w:t>
      </w:r>
    </w:p>
    <w:p>
      <w:pPr>
        <w:spacing w:after="0" w:line="51" w:lineRule="exact"/>
        <w:rPr>
          <w:rFonts w:ascii="Arial" w:cs="Arial" w:eastAsia="Arial" w:hAnsi="Arial"/>
          <w:sz w:val="18"/>
          <w:szCs w:val="18"/>
          <w:color w:val="auto"/>
        </w:rPr>
      </w:pPr>
    </w:p>
    <w:p>
      <w:pPr>
        <w:jc w:val="both"/>
        <w:ind w:left="660" w:right="40" w:hanging="314"/>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credit market dislocation for middle-market companies improves the risk-reward on our investments. </w:t>
      </w:r>
      <w:r>
        <w:rPr>
          <w:rFonts w:ascii="Arial" w:cs="Arial" w:eastAsia="Arial" w:hAnsi="Arial"/>
          <w:sz w:val="18"/>
          <w:szCs w:val="18"/>
          <w:color w:val="auto"/>
        </w:rPr>
        <w:t>From time to time, market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have reduced lending to middle-market and non-investment grade borrowers. As a result, we believe there is less competition in our market, more conservative capital structures, higher yields and stronger covenants.</w:t>
      </w:r>
    </w:p>
    <w:p>
      <w:pPr>
        <w:spacing w:after="0" w:line="51" w:lineRule="exact"/>
        <w:rPr>
          <w:rFonts w:ascii="Arial" w:cs="Arial" w:eastAsia="Arial" w:hAnsi="Arial"/>
          <w:sz w:val="18"/>
          <w:szCs w:val="18"/>
          <w:color w:val="auto"/>
        </w:rPr>
      </w:pPr>
    </w:p>
    <w:p>
      <w:pPr>
        <w:ind w:left="660" w:right="180" w:hanging="314"/>
        <w:spacing w:after="0" w:line="30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debt and/or mezzanine debt provided by other sources, and we believe that our capital is well-positioned to partner with such equity investors.</w:t>
      </w:r>
    </w:p>
    <w:p>
      <w:pPr>
        <w:spacing w:after="0" w:line="22" w:lineRule="exact"/>
        <w:rPr>
          <w:rFonts w:ascii="Arial" w:cs="Arial" w:eastAsia="Arial" w:hAnsi="Arial"/>
          <w:sz w:val="16"/>
          <w:szCs w:val="16"/>
          <w:color w:val="auto"/>
        </w:rPr>
      </w:pPr>
    </w:p>
    <w:p>
      <w:pPr>
        <w:ind w:left="660" w:right="40" w:hanging="314"/>
        <w:spacing w:after="0" w:line="29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substantial supply of opportunities resulting from maturing loans that seek refinancing. </w:t>
      </w:r>
      <w:r>
        <w:rPr>
          <w:rFonts w:ascii="Arial" w:cs="Arial" w:eastAsia="Arial" w:hAnsi="Arial"/>
          <w:sz w:val="16"/>
          <w:szCs w:val="16"/>
          <w:color w:val="auto"/>
        </w:rPr>
        <w:t>A high volume of financings will</w:t>
      </w:r>
      <w:r>
        <w:rPr>
          <w:rFonts w:ascii="Arial" w:cs="Arial" w:eastAsia="Arial" w:hAnsi="Arial"/>
          <w:sz w:val="16"/>
          <w:szCs w:val="16"/>
          <w:b w:val="1"/>
          <w:bCs w:val="1"/>
          <w:color w:val="auto"/>
        </w:rPr>
        <w:t xml:space="preserve"> </w:t>
      </w:r>
      <w:r>
        <w:rPr>
          <w:rFonts w:ascii="Arial" w:cs="Arial" w:eastAsia="Arial" w:hAnsi="Arial"/>
          <w:sz w:val="16"/>
          <w:szCs w:val="16"/>
          <w:color w:val="auto"/>
        </w:rPr>
        <w:t>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32"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jc w:val="both"/>
        <w:ind w:right="100" w:firstLine="571"/>
        <w:spacing w:after="0" w:line="323" w:lineRule="auto"/>
        <w:rPr>
          <w:sz w:val="20"/>
          <w:szCs w:val="20"/>
          <w:color w:val="auto"/>
        </w:rPr>
      </w:pPr>
      <w:r>
        <w:rPr>
          <w:rFonts w:ascii="Arial" w:cs="Arial" w:eastAsia="Arial" w:hAnsi="Arial"/>
          <w:sz w:val="15"/>
          <w:szCs w:val="15"/>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7"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325"/>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171" w:lineRule="exact"/>
        <w:rPr>
          <w:rFonts w:ascii="Arial" w:cs="Arial" w:eastAsia="Arial" w:hAnsi="Arial"/>
          <w:sz w:val="18"/>
          <w:szCs w:val="18"/>
          <w:color w:val="auto"/>
        </w:rPr>
      </w:pPr>
    </w:p>
    <w:p>
      <w:pPr>
        <w:ind w:left="420" w:hanging="184"/>
        <w:spacing w:after="0"/>
        <w:tabs>
          <w:tab w:leader="none" w:pos="420" w:val="left"/>
        </w:tabs>
        <w:numPr>
          <w:ilvl w:val="0"/>
          <w:numId w:val="3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Proactive Research Capability and Established Network</w:t>
      </w:r>
    </w:p>
    <w:p>
      <w:pPr>
        <w:spacing w:after="0" w:line="113"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59"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51"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firstLine="571"/>
        <w:spacing w:after="0" w:line="28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However, we believe that from time to time there has been a reduction in the amount of debt capital available to middle-market companies, which we believe has resulted in a less competitive environment for making new investments.</w:t>
      </w:r>
    </w:p>
    <w:p>
      <w:pPr>
        <w:spacing w:after="0" w:line="57"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As of September 30, 2016, we maintained a $350 million Credit Facility, which matures in August 2020, with the Lenders. During the Credit Facility’s revolving period, which extends to August 2018, it bears interest at LIBOR plus 200 basis points, and after the revolving period, the rate sets to LIBOR plus 425 basis points for the remaining two years. The Credit Facility is secured by all of the assets held by Funding I, under which we had $232.9 million outstanding. The annualized weighted average cost of debt for the year ended September 30, 2016, inclusive of the fee on the undrawn commitment on the Credit Facility but excluding amendment costs, was 3.51%. As of September 30, 2016 and 2015, we had $117.1 million and $260.4 million of unused borrowing capacity under our Credit Facility, respectively, subject to regulatory restrictions. We believe that our capital resources provide us with the flexibility to take advantage of market opportunities when they arise. Our use of leverage, as calculated under the asset coverage ratio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for more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MCG was a party to certain legal proceedings incidental to the normal course of its business, including the enforcement of its rights under contracts with its portfolio companies. We inherited this litigation upon the closing of our acquisition of MCG. While the outcome of these and any future legal proceedings cannot be predicted with certainty, we do not expect that these proceedings will have a material effect upon our financial condition or results of operations, although we cannot assure you that amounts received in settlement may not be requested to be returned or that we may not be found liable in any such litigation.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OBJECTIVES AND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We seek to create a diversified portfolio primarily of Floating Rate Loans by generally targeting an investment size of $3 million to $15 million in securities, on average, of middle-market companies. We expect this investment size to vary proportionately with the size of our capital base.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8" w:lineRule="exact"/>
        <w:rPr>
          <w:sz w:val="20"/>
          <w:szCs w:val="20"/>
          <w:color w:val="auto"/>
        </w:rPr>
      </w:pPr>
    </w:p>
    <w:p>
      <w:pPr>
        <w:ind w:right="200" w:firstLine="571"/>
        <w:spacing w:after="0" w:line="254" w:lineRule="auto"/>
        <w:rPr>
          <w:sz w:val="20"/>
          <w:szCs w:val="20"/>
          <w:color w:val="auto"/>
        </w:rPr>
      </w:pPr>
      <w:r>
        <w:rPr>
          <w:rFonts w:ascii="Arial" w:cs="Arial" w:eastAsia="Arial" w:hAnsi="Arial"/>
          <w:sz w:val="18"/>
          <w:szCs w:val="18"/>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 See “Regulation—Qualifying Assets” and “Investment Objectives and Policies—Investment Selection Criteria” for more information.</w:t>
      </w:r>
    </w:p>
    <w:p>
      <w:pPr>
        <w:spacing w:after="0" w:line="144"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Structurally, senior secured debt (which we define as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debt, mezzanine debt generally earns a higher return than senior secured debt.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184" w:lineRule="exact"/>
        <w:rPr>
          <w:sz w:val="20"/>
          <w:szCs w:val="20"/>
          <w:color w:val="auto"/>
        </w:rPr>
      </w:pPr>
    </w:p>
    <w:p>
      <w:pPr>
        <w:ind w:left="1140" w:hanging="335"/>
        <w:spacing w:after="0"/>
        <w:tabs>
          <w:tab w:leader="none" w:pos="114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181" w:lineRule="exact"/>
        <w:rPr>
          <w:sz w:val="20"/>
          <w:szCs w:val="20"/>
          <w:color w:val="auto"/>
        </w:rPr>
      </w:pPr>
    </w:p>
    <w:p>
      <w:pPr>
        <w:ind w:left="1140" w:hanging="335"/>
        <w:spacing w:after="0"/>
        <w:tabs>
          <w:tab w:leader="none" w:pos="114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56" w:lineRule="exact"/>
        <w:rPr>
          <w:sz w:val="20"/>
          <w:szCs w:val="20"/>
          <w:color w:val="auto"/>
        </w:rPr>
      </w:pPr>
    </w:p>
    <w:p>
      <w:pPr>
        <w:ind w:left="1140" w:hanging="335"/>
        <w:spacing w:after="0"/>
        <w:tabs>
          <w:tab w:leader="none" w:pos="114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81" w:lineRule="exact"/>
        <w:rPr>
          <w:sz w:val="20"/>
          <w:szCs w:val="20"/>
          <w:color w:val="auto"/>
        </w:rPr>
      </w:pPr>
    </w:p>
    <w:p>
      <w:pPr>
        <w:ind w:left="1140" w:hanging="335"/>
        <w:spacing w:after="0"/>
        <w:tabs>
          <w:tab w:leader="none" w:pos="114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53" w:lineRule="exact"/>
        <w:rPr>
          <w:sz w:val="20"/>
          <w:szCs w:val="20"/>
          <w:color w:val="auto"/>
        </w:rPr>
      </w:pPr>
    </w:p>
    <w:p>
      <w:pPr>
        <w:ind w:left="1140" w:hanging="335"/>
        <w:spacing w:after="0"/>
        <w:tabs>
          <w:tab w:leader="none" w:pos="114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industries and geographies</w:t>
      </w:r>
    </w:p>
    <w:p>
      <w:pPr>
        <w:spacing w:after="0" w:line="90" w:lineRule="exact"/>
        <w:rPr>
          <w:sz w:val="20"/>
          <w:szCs w:val="20"/>
          <w:color w:val="auto"/>
        </w:rPr>
      </w:pPr>
    </w:p>
    <w:p>
      <w:pPr>
        <w:ind w:right="500" w:firstLine="571"/>
        <w:spacing w:after="0" w:line="306" w:lineRule="auto"/>
        <w:rPr>
          <w:sz w:val="20"/>
          <w:szCs w:val="20"/>
          <w:color w:val="auto"/>
        </w:rPr>
      </w:pPr>
      <w:r>
        <w:rPr>
          <w:rFonts w:ascii="Arial" w:cs="Arial" w:eastAsia="Arial" w:hAnsi="Arial"/>
          <w:sz w:val="16"/>
          <w:szCs w:val="16"/>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147" w:lineRule="exact"/>
        <w:rPr>
          <w:sz w:val="20"/>
          <w:szCs w:val="20"/>
          <w:color w:val="auto"/>
        </w:rPr>
      </w:pPr>
    </w:p>
    <w:p>
      <w:pPr>
        <w:ind w:left="1140" w:hanging="335"/>
        <w:spacing w:after="0"/>
        <w:tabs>
          <w:tab w:leader="none" w:pos="114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due diligence may include:</w:t>
      </w:r>
    </w:p>
    <w:p>
      <w:pPr>
        <w:spacing w:after="0" w:line="90"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171"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Upon the completion of due diligence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40"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85" w:lineRule="exact"/>
        <w:rPr>
          <w:sz w:val="20"/>
          <w:szCs w:val="20"/>
          <w:color w:val="auto"/>
        </w:rPr>
      </w:pPr>
    </w:p>
    <w:p>
      <w:pPr>
        <w:ind w:right="60" w:firstLine="571"/>
        <w:spacing w:after="0" w:line="323" w:lineRule="auto"/>
        <w:rPr>
          <w:sz w:val="20"/>
          <w:szCs w:val="20"/>
          <w:color w:val="auto"/>
        </w:rPr>
      </w:pPr>
      <w:r>
        <w:rPr>
          <w:rFonts w:ascii="Arial" w:cs="Arial" w:eastAsia="Arial" w:hAnsi="Arial"/>
          <w:sz w:val="15"/>
          <w:szCs w:val="15"/>
          <w:color w:val="auto"/>
        </w:rPr>
        <w:t>Typically, our mezzanine debt investments have maturities of three to ten years. Mezzanine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9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7" w:lineRule="exact"/>
        <w:rPr>
          <w:sz w:val="20"/>
          <w:szCs w:val="20"/>
          <w:color w:val="auto"/>
        </w:rPr>
      </w:pPr>
    </w:p>
    <w:p>
      <w:pPr>
        <w:ind w:left="900" w:right="2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jc w:val="both"/>
        <w:ind w:left="900" w:right="320" w:hanging="325"/>
        <w:spacing w:after="0" w:line="306"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on preserving capital. Such restrictions may include affirmative and negative covenants, default penalties, lien protection, change of control provisions and board rights, including either observation or participation rights.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120" w:firstLine="571"/>
        <w:spacing w:after="0" w:line="332" w:lineRule="auto"/>
        <w:rPr>
          <w:sz w:val="20"/>
          <w:szCs w:val="20"/>
          <w:color w:val="auto"/>
        </w:rPr>
      </w:pPr>
      <w:r>
        <w:rPr>
          <w:rFonts w:ascii="Arial" w:cs="Arial" w:eastAsia="Arial" w:hAnsi="Arial"/>
          <w:sz w:val="16"/>
          <w:szCs w:val="16"/>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60" w:firstLine="571"/>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85"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of periodic financial statements and financial projections for portfolio companies.</w:t>
      </w:r>
    </w:p>
    <w:p>
      <w:pPr>
        <w:spacing w:after="0" w:line="171"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Under normal market conditions, we expect that at least 80% of the value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140"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While our investment objectives are to seek high current income and capital appreciation through investments in Floating Rate Loans, we may invest up to 35% of the portfolio in opportunistic investments. These investments may include investments in second-lien, high yield, mezzanine and distressed debt securities and, to a lesser extent equity investments and securities of companies located outside of the United States. We expect that these public foreign companies generally will have debt securities that are non-investment grade.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90"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w:t>
      </w:r>
    </w:p>
    <w:p>
      <w:pPr>
        <w:spacing w:after="0" w:line="144"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8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Aerospace and Defense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Energy/Utilities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Auto Sector</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Environmental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Beverage, Food and Tobacco</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Financial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Broadcasting and Entertainment</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Grocery</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Buildings and Real Estate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Healthcare, Education and Childcare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Building Materials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High Tech Industries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Business Services</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w w:val="89"/>
              </w:rPr>
              <w:t>• Home &amp; Office Furnishings, Housewares &amp; Durable Consumer Products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Cable Television</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Hotels, Motels, Inns and Gaming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Capital Equipment</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Insurance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Cargo Transportation</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Leisure, Amusement, Motion Picture, Entertainment</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Chemicals, Plastics and Rubber</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Logistics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Manufacturing/Basic Industries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Consumer Products</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rPr>
              <w:t>•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Consumer Services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Mining, Steel, Iron and Non-Precious Metals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Containers Packaging &amp; Glass</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rPr>
              <w:t>• Oil and Gas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Other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Diversified/Conglomerate Manufacturing</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Personal, Food and Miscellaneous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Diversified/Conglomerate Services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Printing and Publishing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Diversified Natural Resources, Precious Metals and Minerals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Retail</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Education</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rPr>
              <w:t>• Wholesale</w:t>
            </w: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Electronics</w:t>
            </w:r>
          </w:p>
        </w:tc>
        <w:tc>
          <w:tcPr>
            <w:tcW w:w="680" w:type="dxa"/>
            <w:vAlign w:val="bottom"/>
          </w:tcPr>
          <w:p>
            <w:pPr>
              <w:spacing w:after="0"/>
              <w:rPr>
                <w:sz w:val="19"/>
                <w:szCs w:val="19"/>
                <w:color w:val="auto"/>
              </w:rPr>
            </w:pPr>
          </w:p>
        </w:tc>
        <w:tc>
          <w:tcPr>
            <w:tcW w:w="5180" w:type="dxa"/>
            <w:vAlign w:val="bottom"/>
          </w:tcPr>
          <w:p>
            <w:pPr>
              <w:spacing w:after="0"/>
              <w:rPr>
                <w:sz w:val="19"/>
                <w:szCs w:val="19"/>
                <w:color w:val="auto"/>
              </w:rPr>
            </w:pPr>
          </w:p>
        </w:tc>
      </w:tr>
    </w:tbl>
    <w:p>
      <w:pPr>
        <w:spacing w:after="0" w:line="88"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 September 30: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2016</w:t>
            </w:r>
          </w:p>
        </w:tc>
        <w:tc>
          <w:tcPr>
            <w:tcW w:w="260" w:type="dxa"/>
            <w:vAlign w:val="bottom"/>
          </w:tcPr>
          <w:p>
            <w:pPr>
              <w:spacing w:after="0"/>
              <w:rPr>
                <w:sz w:val="21"/>
                <w:szCs w:val="21"/>
                <w:color w:val="auto"/>
              </w:rPr>
            </w:pPr>
          </w:p>
        </w:tc>
        <w:tc>
          <w:tcPr>
            <w:tcW w:w="4840" w:type="dxa"/>
            <w:vAlign w:val="bottom"/>
            <w:gridSpan w:val="2"/>
          </w:tcPr>
          <w:p>
            <w:pPr>
              <w:ind w:left="140"/>
              <w:spacing w:after="0"/>
              <w:rPr>
                <w:sz w:val="20"/>
                <w:szCs w:val="20"/>
                <w:color w:val="auto"/>
              </w:rPr>
            </w:pPr>
            <w:r>
              <w:rPr>
                <w:rFonts w:ascii="Arial" w:cs="Arial" w:eastAsia="Arial" w:hAnsi="Arial"/>
                <w:sz w:val="18"/>
                <w:szCs w:val="18"/>
                <w:b w:val="1"/>
                <w:bCs w:val="1"/>
                <w:color w:val="auto"/>
              </w:rPr>
              <w:t>Portfolio Company</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2015</w:t>
            </w:r>
          </w:p>
        </w:tc>
      </w:tr>
      <w:tr>
        <w:trPr>
          <w:trHeight w:val="20"/>
        </w:trPr>
        <w:tc>
          <w:tcPr>
            <w:tcW w:w="5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Marketplace Events LLC</w:t>
            </w: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AKA Diversified Holdings, Inc.</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1"/>
        </w:trPr>
        <w:tc>
          <w:tcPr>
            <w:tcW w:w="5260" w:type="dxa"/>
            <w:vAlign w:val="bottom"/>
            <w:gridSpan w:val="2"/>
          </w:tcPr>
          <w:p>
            <w:pPr>
              <w:spacing w:after="0"/>
              <w:rPr>
                <w:sz w:val="20"/>
                <w:szCs w:val="20"/>
                <w:color w:val="auto"/>
              </w:rPr>
            </w:pPr>
            <w:r>
              <w:rPr>
                <w:rFonts w:ascii="Arial" w:cs="Arial" w:eastAsia="Arial" w:hAnsi="Arial"/>
                <w:sz w:val="18"/>
                <w:szCs w:val="18"/>
                <w:color w:val="auto"/>
              </w:rPr>
              <w:t>Advanced Cable Communications, LLC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Bowlmor AMF Corp.</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r>
      <w:tr>
        <w:trPr>
          <w:trHeight w:val="232"/>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ALG USA Holdings, LLC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CRGT Inc.</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AMF Bowling Centers, Inc.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Howard Berger Co. LLC</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CD&amp;R TZ Purchaser, Inc.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Instant Web, LLC</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CRGT Inc.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Language Line, LLC</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Efficient Collaborative Retail Marketing Company, LLC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Novitex Acquisition, LLC</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KHC Holdings, Inc.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Polyconcept Finance B.V.</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Novitex Acquisition, LLC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Surgical Specialties Corporation (US), Inc.</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55"/>
        </w:trPr>
        <w:tc>
          <w:tcPr>
            <w:tcW w:w="5260" w:type="dxa"/>
            <w:vAlign w:val="bottom"/>
            <w:gridSpan w:val="2"/>
          </w:tcPr>
          <w:p>
            <w:pPr>
              <w:spacing w:after="0"/>
              <w:rPr>
                <w:sz w:val="20"/>
                <w:szCs w:val="20"/>
                <w:color w:val="auto"/>
              </w:rPr>
            </w:pPr>
            <w:r>
              <w:rPr>
                <w:rFonts w:ascii="Arial" w:cs="Arial" w:eastAsia="Arial" w:hAnsi="Arial"/>
                <w:sz w:val="18"/>
                <w:szCs w:val="18"/>
                <w:color w:val="auto"/>
              </w:rPr>
              <w:t>Triad Manufacturing, Inc.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iEnergizer Limited and Aptara, Inc.</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Pr>
          <w:p>
            <w:pPr>
              <w:spacing w:after="0"/>
              <w:rPr>
                <w:sz w:val="20"/>
                <w:szCs w:val="20"/>
                <w:color w:val="auto"/>
              </w:rPr>
            </w:pPr>
            <w:r>
              <w:rPr>
                <w:rFonts w:ascii="Arial" w:cs="Arial" w:eastAsia="Arial" w:hAnsi="Arial"/>
                <w:sz w:val="18"/>
                <w:szCs w:val="18"/>
                <w:b w:val="1"/>
                <w:bCs w:val="1"/>
                <w:color w:val="auto"/>
              </w:rPr>
              <w:t>Industry</w:t>
            </w: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2016</w:t>
            </w:r>
          </w:p>
        </w:tc>
        <w:tc>
          <w:tcPr>
            <w:tcW w:w="260" w:type="dxa"/>
            <w:vAlign w:val="bottom"/>
          </w:tcPr>
          <w:p>
            <w:pPr>
              <w:spacing w:after="0"/>
              <w:rPr>
                <w:sz w:val="21"/>
                <w:szCs w:val="21"/>
                <w:color w:val="auto"/>
              </w:rPr>
            </w:pPr>
          </w:p>
        </w:tc>
        <w:tc>
          <w:tcPr>
            <w:tcW w:w="4840" w:type="dxa"/>
            <w:vAlign w:val="bottom"/>
            <w:gridSpan w:val="2"/>
          </w:tcPr>
          <w:p>
            <w:pPr>
              <w:ind w:left="140"/>
              <w:spacing w:after="0"/>
              <w:rPr>
                <w:sz w:val="20"/>
                <w:szCs w:val="20"/>
                <w:color w:val="auto"/>
              </w:rPr>
            </w:pPr>
            <w:r>
              <w:rPr>
                <w:rFonts w:ascii="Arial" w:cs="Arial" w:eastAsia="Arial" w:hAnsi="Arial"/>
                <w:sz w:val="18"/>
                <w:szCs w:val="18"/>
                <w:b w:val="1"/>
                <w:bCs w:val="1"/>
                <w:color w:val="auto"/>
              </w:rPr>
              <w:t>Industry</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2015</w:t>
            </w:r>
          </w:p>
        </w:tc>
      </w:tr>
      <w:tr>
        <w:trPr>
          <w:trHeight w:val="20"/>
        </w:trPr>
        <w:tc>
          <w:tcPr>
            <w:tcW w:w="5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High Tech Industries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Healthcare and Pharmaceuticals</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12</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Business Services</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Consumer Goods: Durable</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Retail</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Construction and Building</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Consumer Services</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Hotel, Gaming and Leisure</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Consumer Goods: Non-Durable</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55"/>
        </w:trPr>
        <w:tc>
          <w:tcPr>
            <w:tcW w:w="5260" w:type="dxa"/>
            <w:vAlign w:val="bottom"/>
            <w:gridSpan w:val="2"/>
          </w:tcPr>
          <w:p>
            <w:pPr>
              <w:spacing w:after="0"/>
              <w:rPr>
                <w:sz w:val="20"/>
                <w:szCs w:val="20"/>
                <w:color w:val="auto"/>
              </w:rPr>
            </w:pPr>
            <w:r>
              <w:rPr>
                <w:rFonts w:ascii="Arial" w:cs="Arial" w:eastAsia="Arial" w:hAnsi="Arial"/>
                <w:sz w:val="18"/>
                <w:szCs w:val="18"/>
                <w:color w:val="auto"/>
              </w:rPr>
              <w:t>Wholesale</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Media: Advertising, Printing and Publishing</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7"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24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96" w:lineRule="exact"/>
        <w:rPr>
          <w:sz w:val="20"/>
          <w:szCs w:val="20"/>
          <w:color w:val="auto"/>
        </w:rPr>
      </w:pPr>
    </w:p>
    <w:p>
      <w:pPr>
        <w:ind w:right="260" w:firstLine="571"/>
        <w:spacing w:after="0" w:line="323" w:lineRule="auto"/>
        <w:rPr>
          <w:sz w:val="20"/>
          <w:szCs w:val="20"/>
          <w:color w:val="auto"/>
        </w:rPr>
      </w:pPr>
      <w:r>
        <w:rPr>
          <w:rFonts w:ascii="Arial" w:cs="Arial" w:eastAsia="Arial" w:hAnsi="Arial"/>
          <w:sz w:val="15"/>
          <w:szCs w:val="15"/>
          <w:color w:val="auto"/>
        </w:rPr>
        <w:t>The following is a listing of each portfolio company or its affiliate, together referred to as portfolio companies, in which we had an investment as of September 30, 2016.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elsewhere in this prospectus.</w:t>
      </w:r>
    </w:p>
    <w:p>
      <w:pPr>
        <w:spacing w:after="0" w:line="17"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September 30, 2016, there was no portfolio company in which we have made an investment that represents greater than 5% of our total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Voting Percentage</w:t>
            </w:r>
          </w:p>
        </w:tc>
        <w:tc>
          <w:tcPr>
            <w:tcW w:w="1700" w:type="dxa"/>
            <w:vAlign w:val="bottom"/>
          </w:tcPr>
          <w:p>
            <w:pPr>
              <w:jc w:val="right"/>
              <w:ind w:right="4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3"/>
              </w:rPr>
              <w:t>Nature of Business</w:t>
            </w:r>
          </w:p>
        </w:tc>
        <w:tc>
          <w:tcPr>
            <w:tcW w:w="120" w:type="dxa"/>
            <w:vAlign w:val="bottom"/>
          </w:tcPr>
          <w:p>
            <w:pPr>
              <w:spacing w:after="0"/>
              <w:rPr>
                <w:sz w:val="17"/>
                <w:szCs w:val="17"/>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820" w:type="dxa"/>
            <w:vAlign w:val="bottom"/>
            <w:gridSpan w:val="2"/>
          </w:tcPr>
          <w:p>
            <w:pPr>
              <w:ind w:left="460"/>
              <w:spacing w:after="0" w:line="176" w:lineRule="exact"/>
              <w:rPr>
                <w:sz w:val="20"/>
                <w:szCs w:val="20"/>
                <w:color w:val="auto"/>
              </w:rPr>
            </w:pPr>
            <w:r>
              <w:rPr>
                <w:rFonts w:ascii="Arial" w:cs="Arial" w:eastAsia="Arial" w:hAnsi="Arial"/>
                <w:sz w:val="13"/>
                <w:szCs w:val="13"/>
                <w:b w:val="1"/>
                <w:bCs w:val="1"/>
                <w:color w:val="auto"/>
              </w:rPr>
              <w:t xml:space="preserve">Ownership </w:t>
            </w:r>
            <w:r>
              <w:rPr>
                <w:rFonts w:ascii="Arial" w:cs="Arial" w:eastAsia="Arial" w:hAnsi="Arial"/>
                <w:sz w:val="20"/>
                <w:szCs w:val="20"/>
                <w:b w:val="1"/>
                <w:bCs w:val="1"/>
                <w:color w:val="auto"/>
                <w:vertAlign w:val="superscript"/>
              </w:rPr>
              <w:t>(1)</w:t>
            </w:r>
          </w:p>
        </w:tc>
        <w:tc>
          <w:tcPr>
            <w:tcW w:w="1700" w:type="dxa"/>
            <w:vAlign w:val="bottom"/>
          </w:tcPr>
          <w:p>
            <w:pPr>
              <w:jc w:val="right"/>
              <w:ind w:right="356"/>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88"/>
              </w:rPr>
              <w:t>Companies Less than 5% Owned</w:t>
            </w:r>
          </w:p>
        </w:tc>
        <w:tc>
          <w:tcPr>
            <w:tcW w:w="68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Advanced Cable Communications,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Telecommunications</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8"/>
                <w:szCs w:val="18"/>
                <w:color w:val="auto"/>
              </w:rPr>
            </w:pP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$ 12,601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(TPC Broadband Investors, LP)</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12409 NW 35 Street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Coral Springs, FL 33065</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Holdings,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Consumer Goods: Durable</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Inc.)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Subordinated Debt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(Affinion International Holdings Limited)</w:t>
            </w:r>
            <w:r>
              <w:rPr>
                <w:rFonts w:ascii="Arial" w:cs="Arial" w:eastAsia="Arial" w:hAnsi="Arial"/>
                <w:sz w:val="11"/>
                <w:szCs w:val="11"/>
                <w:color w:val="auto"/>
                <w:w w:val="97"/>
              </w:rPr>
              <w:t>(2)</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Connecticut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Norwalk, CT 06850</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gridSpan w:val="3"/>
          </w:tcPr>
          <w:p>
            <w:pPr>
              <w:spacing w:after="0"/>
              <w:rPr>
                <w:sz w:val="20"/>
                <w:szCs w:val="20"/>
                <w:color w:val="auto"/>
              </w:rPr>
            </w:pPr>
            <w:r>
              <w:rPr>
                <w:rFonts w:ascii="Arial" w:cs="Arial" w:eastAsia="Arial" w:hAnsi="Arial"/>
                <w:sz w:val="18"/>
                <w:szCs w:val="18"/>
                <w:color w:val="auto"/>
              </w:rPr>
              <w:t>ALG USA Holdings,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Hotel, Gaming and Leisure</w:t>
            </w:r>
          </w:p>
        </w:tc>
        <w:tc>
          <w:tcPr>
            <w:tcW w:w="12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12,064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 Campus Boulevard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Newtown Square, PA 19073</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Alvogen Pharma US, Inc.</w:t>
            </w:r>
            <w:r>
              <w:rPr>
                <w:rFonts w:ascii="Arial" w:cs="Arial" w:eastAsia="Arial" w:hAnsi="Arial"/>
                <w:sz w:val="11"/>
                <w:szCs w:val="11"/>
                <w:color w:val="auto"/>
              </w:rPr>
              <w:t>(2)</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Healthcare and Pharmaceuticals</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Bloomfield Avenue, Building B</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Pine Brook, NJ 07058</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gridSpan w:val="3"/>
          </w:tcPr>
          <w:p>
            <w:pPr>
              <w:spacing w:after="0"/>
              <w:rPr>
                <w:sz w:val="20"/>
                <w:szCs w:val="20"/>
                <w:color w:val="auto"/>
              </w:rPr>
            </w:pPr>
            <w:r>
              <w:rPr>
                <w:rFonts w:ascii="Arial" w:cs="Arial" w:eastAsia="Arial" w:hAnsi="Arial"/>
                <w:sz w:val="18"/>
                <w:szCs w:val="18"/>
                <w:color w:val="auto"/>
              </w:rPr>
              <w:t>American Bath Group,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Consumer Goods: Durable</w:t>
            </w:r>
          </w:p>
        </w:tc>
        <w:tc>
          <w:tcPr>
            <w:tcW w:w="12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435 Industrial Road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Savannah, TN 38372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Gilsonite Company</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Metals and Mining</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1717 St. James Place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77056</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gridSpan w:val="3"/>
          </w:tcPr>
          <w:p>
            <w:pPr>
              <w:spacing w:after="0"/>
              <w:rPr>
                <w:sz w:val="20"/>
                <w:szCs w:val="20"/>
                <w:color w:val="auto"/>
              </w:rPr>
            </w:pPr>
            <w:r>
              <w:rPr>
                <w:rFonts w:ascii="Arial" w:cs="Arial" w:eastAsia="Arial" w:hAnsi="Arial"/>
                <w:sz w:val="18"/>
                <w:szCs w:val="18"/>
                <w:color w:val="auto"/>
              </w:rPr>
              <w:t>American Scaffold</w:t>
            </w:r>
          </w:p>
        </w:tc>
        <w:tc>
          <w:tcPr>
            <w:tcW w:w="2300" w:type="dxa"/>
            <w:vAlign w:val="bottom"/>
          </w:tcPr>
          <w:p>
            <w:pPr>
              <w:jc w:val="center"/>
              <w:spacing w:after="0"/>
              <w:rPr>
                <w:sz w:val="20"/>
                <w:szCs w:val="20"/>
                <w:color w:val="auto"/>
              </w:rPr>
            </w:pPr>
            <w:r>
              <w:rPr>
                <w:rFonts w:ascii="Arial" w:cs="Arial" w:eastAsia="Arial" w:hAnsi="Arial"/>
                <w:sz w:val="18"/>
                <w:szCs w:val="18"/>
                <w:color w:val="auto"/>
                <w:w w:val="85"/>
              </w:rPr>
              <w:t>Aerospace and Defense</w:t>
            </w:r>
          </w:p>
        </w:tc>
        <w:tc>
          <w:tcPr>
            <w:tcW w:w="12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3210 Commercial Street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San Diego, CA 92113</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Centers,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Retail</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14,931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222 W. 44</w:t>
            </w:r>
            <w:r>
              <w:rPr>
                <w:rFonts w:ascii="Arial" w:cs="Arial" w:eastAsia="Arial" w:hAnsi="Arial"/>
                <w:sz w:val="11"/>
                <w:szCs w:val="11"/>
                <w:color w:val="auto"/>
              </w:rPr>
              <w:t>th</w:t>
            </w:r>
            <w:r>
              <w:rPr>
                <w:rFonts w:ascii="Arial" w:cs="Arial" w:eastAsia="Arial" w:hAnsi="Arial"/>
                <w:sz w:val="18"/>
                <w:szCs w:val="18"/>
                <w:color w:val="auto"/>
              </w:rPr>
              <w:t xml:space="preserve"> St.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10036</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gridSpan w:val="3"/>
          </w:tcPr>
          <w:p>
            <w:pPr>
              <w:spacing w:after="0"/>
              <w:rPr>
                <w:sz w:val="20"/>
                <w:szCs w:val="20"/>
                <w:color w:val="auto"/>
              </w:rPr>
            </w:pPr>
            <w:r>
              <w:rPr>
                <w:rFonts w:ascii="Arial" w:cs="Arial" w:eastAsia="Arial" w:hAnsi="Arial"/>
                <w:sz w:val="18"/>
                <w:szCs w:val="18"/>
                <w:color w:val="auto"/>
              </w:rPr>
              <w:t>AP Gaming I,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Hotel, Gaming and Leisure</w:t>
            </w:r>
          </w:p>
        </w:tc>
        <w:tc>
          <w:tcPr>
            <w:tcW w:w="12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6680 Amelia Earhart Court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Las Vegas, NV 89119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API Technologies Corp.</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Aerospace and Defense</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4705 S. Apopka Vineland Rd., Suite 210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Orlando, FL 32819</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80" w:type="dxa"/>
            <w:vAlign w:val="bottom"/>
            <w:gridSpan w:val="2"/>
          </w:tcPr>
          <w:p>
            <w:pPr>
              <w:jc w:val="right"/>
              <w:ind w:right="191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(1)</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2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Azure Midstream Energy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Energy: Oil and Gas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1250 Wood Bridge Branch Park Dr., Ste.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jc w:val="right"/>
              <w:ind w:right="1972"/>
              <w:spacing w:after="0"/>
              <w:rPr>
                <w:sz w:val="20"/>
                <w:szCs w:val="20"/>
                <w:color w:val="auto"/>
              </w:rPr>
            </w:pPr>
            <w:r>
              <w:rPr>
                <w:rFonts w:ascii="Arial" w:cs="Arial" w:eastAsia="Arial" w:hAnsi="Arial"/>
                <w:sz w:val="18"/>
                <w:szCs w:val="18"/>
                <w:color w:val="auto"/>
              </w:rPr>
              <w:t>100</w:t>
            </w:r>
          </w:p>
        </w:tc>
        <w:tc>
          <w:tcPr>
            <w:tcW w:w="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77079</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Blue Bird Body Company</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Automotive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402 Blue Bird Boulevard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Fort Valley, GA 31030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Broder Bros., Co.</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Consumer Goods: Non-Durable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Neshaminy Interplex, 6</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Trevose, PA 19053</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Camin Cargo Control,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Transportation: Cargo</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230 Marion Avenue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Linden, NJ 07036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CareCentrix,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 Church Street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Hartford, CT 06103</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CBAC Borrower,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Hotel, Gaming and Leisure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One Caesars Palace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Las Vegas, NV 89109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CD&amp;R TZ Purchaser,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Consumer Goods: 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2200 Fletcher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Lee, NJ 07024</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Charming Charlie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Retail</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5999 Savoy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Houston, TX 77036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Chicken Soup for the Soul Publishing,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 Hedgerow Lane</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Greenwich, CT 06831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Corfin Industries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Aerospace and Defense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2.7%</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(Corfin InvestCo, L.P.)</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7B Raymond Avenue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Salem, NH 03079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Infonet,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Subordinated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4540 Honeywell Court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Dayton, OH 45424</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CRGT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10,505</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11921 Freedom Drive, Ste. 1000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Reston, VA 20190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Curo Health Services Holdings,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491 Williamson Road, Suite 204</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Mooresville, NC 28117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DBI Holding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100 North Conahan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Hazleton, PA 18201</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DCS Business Services,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333 North Canyon Parkway, Ste. 100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Livermore, CA 94551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(1)</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DISA Global Solutions, Inc.</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5"/>
              </w:rPr>
              <w:t>Business Services</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12600 Northborough Drive, Ste. 300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77067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w w:val="91"/>
              </w:rPr>
              <w:t>Douglas Products and Packaging Company</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Chemicals, Plastics and Rubber</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LLC</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1550 East Old 210 Highway</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Liberty, MO 64068</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Driven Performance Brands,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Consumer Goods: 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Stony Point Rd, Suite 125</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 Rosa, CA 95401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Education Networks of America,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Telecommunications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618 Grassmere Park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Suite 12</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Nashville, TN 37211</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Efficient Collaborative Retail Marketing</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Media: Diversified and</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10,972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Production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27070 Miles Road, Suite A</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Solon, OH 44139</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e.l.f. Beauty,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Consumer Goods: Durable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(f/k/a J. A. Cosmetics US, Inc.)</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345 California Street, Ste. 3300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San Francisco, CA 94104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Emerging Markets Communications,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Telecommunications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777 Brickell Avenue Suite 1150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Miami, FL 33131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FHC Health Systems,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240 Corporate Boulevard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Norfolk, VA 23502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GlobalLogic Holdings,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1741 Technology Drive, 4th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CA 95110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Greenway Health,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100 Greenway Blvd.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Carrollton, GA 30117</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GTCR Valor Companies,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Media: Broadcasting and</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 E Randolph St.</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Subscription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 60601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Harbortouch Payments,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Banking, Finance, Insurance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2202 N. Irving Street</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and Real Estate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Allentown, PA 18109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220" w:type="dxa"/>
            <w:vAlign w:val="bottom"/>
            <w:gridSpan w:val="3"/>
          </w:tcPr>
          <w:p>
            <w:pPr>
              <w:spacing w:after="0"/>
              <w:rPr>
                <w:sz w:val="20"/>
                <w:szCs w:val="20"/>
                <w:color w:val="auto"/>
              </w:rPr>
            </w:pPr>
            <w:r>
              <w:rPr>
                <w:rFonts w:ascii="Arial" w:cs="Arial" w:eastAsia="Arial" w:hAnsi="Arial"/>
                <w:sz w:val="18"/>
                <w:szCs w:val="18"/>
                <w:color w:val="auto"/>
              </w:rPr>
              <w:t>Highline Aftermarket Acquisition,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Wholesale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7,276</w:t>
            </w: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(f/k/a DYK Prime Acquisition, LLC)</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651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651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4635 Willow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Medina, MN 55340</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(1)</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Hollander Sleep Products, LLC</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Consumer Goods: Non-Durable</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6501 Congress Avenue, Ste. 300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Boca Raton, FL 33487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Hostway Corporation</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100 N Riverside, Ste. 800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Chicago, IL 60606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Berger Co.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Wholesale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324 Half Acre Road #A</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Cranbury, NJ 08512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Hunter Defense Technologies,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Aerospace and Defense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5,506</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30500 Aurora Road, Ste. 100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Solon, OH 44139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Icynene U.S. Acquisition Corp.</w:t>
            </w:r>
            <w:r>
              <w:rPr>
                <w:rFonts w:ascii="Arial" w:cs="Arial" w:eastAsia="Arial" w:hAnsi="Arial"/>
                <w:sz w:val="11"/>
                <w:szCs w:val="11"/>
                <w:color w:val="auto"/>
              </w:rPr>
              <w:t>(2)</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Construction and Building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6747 Campobello Road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Mississauga ON</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L5N2L7 Canada</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Idera,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The America Tower Heliport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w w:val="95"/>
              </w:rPr>
              <w:t>2950 North Loop Freeway West Suite 700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Houston, TX 77092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iEnergizer Limited and Aptara, Inc.</w:t>
            </w:r>
            <w:r>
              <w:rPr>
                <w:rFonts w:ascii="Arial" w:cs="Arial" w:eastAsia="Arial" w:hAnsi="Arial"/>
                <w:sz w:val="11"/>
                <w:szCs w:val="11"/>
                <w:color w:val="auto"/>
              </w:rPr>
              <w:t>(2)</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 Crevelt House, Bulwer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Sampson, Guernsey GY2 4LH</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Imagine! Print Solutions,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6,027</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1000 Valley Park Drive</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Minneapolis, MN 55379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Instant Web,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7951 Powers Boulevard</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Chanhassen, MN 55317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Interior Specialists,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Construction and Building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6,757</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(Faraday Holdings, LLC)</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1630 Faraday Avenue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Carlsbad, CA 92008</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Inventus Power,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Consumer Goods: 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(f/k/a ICC-Nexergy, Inc.)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 Internationale Parkway</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Woodridge, IL 60517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Jackson Hewitt Inc.</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Consumer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3 Sylvan Way</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Parsippany, NJ 07054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K2 Pure Solutions NoCal, L.P.</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Chemicals, Plastics and Rubber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3515 Massillion Road Ste. 290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Uniontown, OH 44685</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Kendra Scott,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Retail</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w w:val="92"/>
              </w:rPr>
              <w:t>1400 South Congress Avenue, Suite A-170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Austin, TX 78704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820" w:type="dxa"/>
            <w:vAlign w:val="bottom"/>
            <w:gridSpan w:val="2"/>
          </w:tcPr>
          <w:p>
            <w:pPr>
              <w:ind w:left="460"/>
              <w:spacing w:after="0" w:line="176" w:lineRule="exact"/>
              <w:rPr>
                <w:sz w:val="20"/>
                <w:szCs w:val="20"/>
                <w:color w:val="auto"/>
              </w:rPr>
            </w:pPr>
            <w:r>
              <w:rPr>
                <w:rFonts w:ascii="Arial" w:cs="Arial" w:eastAsia="Arial" w:hAnsi="Arial"/>
                <w:sz w:val="13"/>
                <w:szCs w:val="13"/>
                <w:b w:val="1"/>
                <w:bCs w:val="1"/>
                <w:color w:val="auto"/>
              </w:rPr>
              <w:t xml:space="preserve">Ownership </w:t>
            </w:r>
            <w:r>
              <w:rPr>
                <w:rFonts w:ascii="Arial" w:cs="Arial" w:eastAsia="Arial" w:hAnsi="Arial"/>
                <w:sz w:val="20"/>
                <w:szCs w:val="20"/>
                <w:b w:val="1"/>
                <w:bCs w:val="1"/>
                <w:color w:val="auto"/>
                <w:vertAlign w:val="superscript"/>
              </w:rPr>
              <w:t>(1)</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KHC Holdings, Inc.</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Wholesale</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3300 Brother Boulevard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Memphis, TN 38133</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Lago Resort &amp; Casino,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Hotel, Gaming and Leisure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9,971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1133 Ridge Road (Rt 414)</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Waterloo, NY 13165</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Lanyon Solutions,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10182 Telesis Court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Diego, CA 92121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LifeCare Holdings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5340 Legacy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Ste. 150, Building 4</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Plano, TX 75024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Linblad Expeditions, Inc.</w:t>
            </w:r>
            <w:r>
              <w:rPr>
                <w:rFonts w:ascii="Arial" w:cs="Arial" w:eastAsia="Arial" w:hAnsi="Arial"/>
                <w:sz w:val="11"/>
                <w:szCs w:val="11"/>
                <w:color w:val="auto"/>
              </w:rPr>
              <w:t>(2)</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Hotel, Gaming and Leisure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Linblad Maritime Enterprises, Ltd.</w:t>
            </w:r>
            <w:r>
              <w:rPr>
                <w:rFonts w:ascii="Arial" w:cs="Arial" w:eastAsia="Arial" w:hAnsi="Arial"/>
                <w:sz w:val="11"/>
                <w:szCs w:val="11"/>
                <w:color w:val="auto"/>
              </w:rPr>
              <w:t>(2)</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96 Morton Street, 9th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10014</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Lombart Brothers,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Capital Equipment</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5358 Robin Hood Road,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Norfolk, VA 23513</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Long’s Drugs Incorporated</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111 Executive Center Drive, Suite 228</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Columbia, SC 29210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LSF9 Atlantis Holdings,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Retail</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9,542</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775 Prairie Center Drive, Suite 420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Eden Prairie, MN 55344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LTI Holdings,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Chemicals, Plastics and Rubber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 So McClure Road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Modesto, CA 95357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MailSouth,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5901 Highway 52 East</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Helena, AL 35080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Marketplace Events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Media: Diversified and</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31105 Bainbridge Road Suite 3</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Production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Solon, OH 44139</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Mission Critical Electronics,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Capital Equipment</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2911 W. Garry Ave.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Santa Ana, CA 92704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Trident HoldCorp,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930 Ridgebrook Road, 3rd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Sparks, MD 21152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Novitex Acquisition,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 Elmcroft Road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Stamford, CT 06926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Pathway Partners Vet Management</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 LLC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3930 Bee Cave Rd. #9</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Austin, TX 78746</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59"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820" w:type="dxa"/>
            <w:vAlign w:val="bottom"/>
            <w:gridSpan w:val="2"/>
          </w:tcPr>
          <w:p>
            <w:pPr>
              <w:ind w:left="460"/>
              <w:spacing w:after="0" w:line="176" w:lineRule="exact"/>
              <w:rPr>
                <w:sz w:val="20"/>
                <w:szCs w:val="20"/>
                <w:color w:val="auto"/>
              </w:rPr>
            </w:pPr>
            <w:r>
              <w:rPr>
                <w:rFonts w:ascii="Arial" w:cs="Arial" w:eastAsia="Arial" w:hAnsi="Arial"/>
                <w:sz w:val="13"/>
                <w:szCs w:val="13"/>
                <w:b w:val="1"/>
                <w:bCs w:val="1"/>
                <w:color w:val="auto"/>
              </w:rPr>
              <w:t xml:space="preserve">Ownership </w:t>
            </w:r>
            <w:r>
              <w:rPr>
                <w:rFonts w:ascii="Arial" w:cs="Arial" w:eastAsia="Arial" w:hAnsi="Arial"/>
                <w:sz w:val="20"/>
                <w:szCs w:val="20"/>
                <w:b w:val="1"/>
                <w:bCs w:val="1"/>
                <w:color w:val="auto"/>
                <w:vertAlign w:val="superscript"/>
              </w:rPr>
              <w:t>(1)</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Patriot National, Inc.</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Banking, Finance, Insurance</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Common Equity</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401 E. Las Olas Blvd., Ste. 1650</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and Real Estate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Lauderdale, FL 33301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Penton Media,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Media: Diversified and</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249 W. 17th Street, 4th Floor</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Production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New York, NY 10011</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Polycom,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Telecommunications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6001 America Center Dr,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CA 95002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Precyse Acquisition Corp.</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200 North Point Center East, Suite 600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Alpharetta, GA 30022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Premier Dental Services, Inc.</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Services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530 S Main Street, 6th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Orange, CA 92868</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Profile Products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Environmental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750 Lake Cook Road, Suite 440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Buffalo Grove, IL 60089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Quick Weight Loss Centers,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Beverage, Food and Tobacco</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3161 Mcnab Road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Pompano Beach, FL 33069</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Research Now Group,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5800 Tennyson Parkway, Ste. 600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Plano, TX 75024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Robertshaw US Holding Corp.</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Consumer Goods: 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191 East North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Stream, IL 60188</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Ryan,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Three Galleria Tower</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13155 Noel Road, Suite 100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Dallas, TX 75240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Sensus USA,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Utilities: Water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8601 Six Forks Road, Suite 700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Raleigh, NC 27615</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Snak Club,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Beverage, Food and Tobacco</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5560 E Slauson Ave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Commerce, CA 90040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Software Paradigms International Group,</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LLC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Concourse Pkwy., Ste. 500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Atlanta, GA 30328</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Sotera Defense Solutions,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Aerospace and Defense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2121 Cooperative Way, Ste. 400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Herndon, VA 20171</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Sundial Group Holdings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Consumer Goods: Non-Durable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7,313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Ranick Drive South</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Amityville, NY 11701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5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ind w:left="500"/>
              <w:spacing w:after="0"/>
              <w:rPr>
                <w:sz w:val="20"/>
                <w:szCs w:val="20"/>
                <w:color w:val="auto"/>
              </w:rPr>
            </w:pPr>
            <w:r>
              <w:rPr>
                <w:rFonts w:ascii="Arial" w:cs="Arial" w:eastAsia="Arial" w:hAnsi="Arial"/>
                <w:sz w:val="14"/>
                <w:szCs w:val="14"/>
                <w:b w:val="1"/>
                <w:bCs w:val="1"/>
                <w:color w:val="auto"/>
              </w:rPr>
              <w:t>Type of Investment</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(1)</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Sunshine Oilsands Ltd.</w:t>
            </w:r>
            <w:r>
              <w:rPr>
                <w:rFonts w:ascii="Arial" w:cs="Arial" w:eastAsia="Arial" w:hAnsi="Arial"/>
                <w:sz w:val="11"/>
                <w:szCs w:val="11"/>
                <w:color w:val="auto"/>
              </w:rPr>
              <w:t>(2)</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Energy: Oil and Gas</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Second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1020, 903 - 8 Avenue S.W.</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Calgary, Alberta, Canada T2P 0P7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Survey Sampling International,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6 Research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Shelton, CT 06484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Systems Maintenance Services Holding,</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10420 Harris Oaks Blvd, Ste. 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Charlotte, NC 28269</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Tensar Corporation</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Construction and Buildings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2500 Northwinds Parkway, Ste. 500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Alpharetta, GA 30009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The Original Cakerie, Co. </w:t>
            </w:r>
            <w:r>
              <w:rPr>
                <w:rFonts w:ascii="Arial" w:cs="Arial" w:eastAsia="Arial" w:hAnsi="Arial"/>
                <w:sz w:val="11"/>
                <w:szCs w:val="11"/>
                <w:color w:val="auto"/>
              </w:rPr>
              <w:t>(2)</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Consumer Goods: Non-Durable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The Original Cakerie Ltd. </w:t>
            </w:r>
            <w:r>
              <w:rPr>
                <w:rFonts w:ascii="Arial" w:cs="Arial" w:eastAsia="Arial" w:hAnsi="Arial"/>
                <w:sz w:val="11"/>
                <w:szCs w:val="11"/>
                <w:color w:val="auto"/>
              </w:rPr>
              <w:t>(2)</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1345 Cliveden Ave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Delta, BC V3M 6C7, Canada</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TOMS Shoes,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Consumer Goods: Non-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5404 Jandy Place</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Durable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Los Angeles, CA 90066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Triad Manufacturing,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Capital Equipment</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4321 Semple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Louis, MO 63120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UniTek Global Services,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Telecommunications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1777 Sentry Parkway West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Subordinated Debt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Gwynedd Hall, Ste. 202</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Preferred Equity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Blue Bell, PA 19422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Universal Fiber Systems,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Chemicals, Plastics and Rubber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14401 Industrial Park Road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Bristol, VA 24202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U.S. Anesthesia Partners,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2475 Eagle Run</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Weston, FL 33327</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Med Acquisition,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8260 NW 27th Street, Suite 401</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Doral, FL 33122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Vestcom Parent Holdings,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7302 Kanis Road</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Little Rock, AR 72204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Vistage Worldwide,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Media: Broadcasting and</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11452 El Camino Real, Suite 400</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Subscription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Diego, CA 92130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VT Buyer Acquisition Corp.</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w w:val="99"/>
              </w:rPr>
              <w:t>290 West Mount Pleasant Avenue, Suite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220"/>
              <w:spacing w:after="0"/>
              <w:rPr>
                <w:sz w:val="20"/>
                <w:szCs w:val="20"/>
                <w:color w:val="auto"/>
              </w:rPr>
            </w:pPr>
            <w:r>
              <w:rPr>
                <w:rFonts w:ascii="Arial" w:cs="Arial" w:eastAsia="Arial" w:hAnsi="Arial"/>
                <w:sz w:val="18"/>
                <w:szCs w:val="18"/>
                <w:color w:val="auto"/>
              </w:rPr>
              <w:t>3200</w:t>
            </w:r>
          </w:p>
        </w:tc>
        <w:tc>
          <w:tcPr>
            <w:tcW w:w="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Livingston, NJ 07039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680" w:type="dxa"/>
            <w:vAlign w:val="bottom"/>
          </w:tcPr>
          <w:p>
            <w:pPr>
              <w:spacing w:after="0"/>
              <w:rPr>
                <w:sz w:val="17"/>
                <w:szCs w:val="17"/>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(1)</w:t>
            </w:r>
          </w:p>
        </w:tc>
        <w:tc>
          <w:tcPr>
            <w:tcW w:w="1700" w:type="dxa"/>
            <w:vAlign w:val="bottom"/>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88"/>
              </w:rPr>
              <w:t>Winchester Electronics Corporation</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Capital Equipment</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40"/>
              <w:spacing w:after="0" w:line="182" w:lineRule="exact"/>
              <w:rPr>
                <w:sz w:val="20"/>
                <w:szCs w:val="20"/>
                <w:color w:val="auto"/>
              </w:rPr>
            </w:pPr>
            <w:r>
              <w:rPr>
                <w:rFonts w:ascii="Arial" w:cs="Arial" w:eastAsia="Arial" w:hAnsi="Arial"/>
                <w:sz w:val="18"/>
                <w:szCs w:val="18"/>
                <w:color w:val="auto"/>
              </w:rPr>
              <w:t>7,659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 Water Street</w:t>
            </w:r>
          </w:p>
        </w:tc>
        <w:tc>
          <w:tcPr>
            <w:tcW w:w="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Norwalk, CT 06854</w:t>
            </w:r>
          </w:p>
        </w:tc>
        <w:tc>
          <w:tcPr>
            <w:tcW w:w="6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Worley Claims Services, LLC</w:t>
            </w:r>
          </w:p>
        </w:tc>
        <w:tc>
          <w:tcPr>
            <w:tcW w:w="68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Banking, Finance, Insurance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40"/>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303 Timber Creek</w:t>
            </w:r>
          </w:p>
        </w:tc>
        <w:tc>
          <w:tcPr>
            <w:tcW w:w="68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and Real Estate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gridSpan w:val="3"/>
          </w:tcPr>
          <w:p>
            <w:pPr>
              <w:spacing w:after="0"/>
              <w:rPr>
                <w:sz w:val="20"/>
                <w:szCs w:val="20"/>
                <w:color w:val="auto"/>
              </w:rPr>
            </w:pPr>
            <w:r>
              <w:rPr>
                <w:rFonts w:ascii="Arial" w:cs="Arial" w:eastAsia="Arial" w:hAnsi="Arial"/>
                <w:sz w:val="18"/>
                <w:szCs w:val="18"/>
                <w:color w:val="auto"/>
              </w:rPr>
              <w:t>Hammond, LA 70403</w:t>
            </w:r>
          </w:p>
        </w:tc>
        <w:tc>
          <w:tcPr>
            <w:tcW w:w="6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8"/>
                <w:szCs w:val="18"/>
                <w:color w:val="auto"/>
              </w:rPr>
              <w:t>$598,888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220" w:right="540" w:hanging="212"/>
        <w:spacing w:after="0" w:line="230" w:lineRule="auto"/>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41"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4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380" w:type="dxa"/>
            <w:vAlign w:val="bottom"/>
            <w:tcBorders>
              <w:bottom w:val="single" w:sz="8" w:color="auto"/>
            </w:tcBorders>
            <w:vMerge w:val="continue"/>
          </w:tcPr>
          <w:p>
            <w:pPr>
              <w:spacing w:after="0"/>
              <w:rPr>
                <w:sz w:val="12"/>
                <w:szCs w:val="12"/>
                <w:color w:val="auto"/>
              </w:rPr>
            </w:pPr>
          </w:p>
        </w:tc>
        <w:tc>
          <w:tcPr>
            <w:tcW w:w="4680" w:type="dxa"/>
            <w:vAlign w:val="bottom"/>
            <w:tcBorders>
              <w:bottom w:val="single" w:sz="8" w:color="auto"/>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4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High Tech Industries</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10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Consumer Goods: Durable</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Telecommunications</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6</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Capital Equipment</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Retail</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4</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3</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Banking, Finance, Insurance and Real Estate</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Consumer Services</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Automotive</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520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vMerge w:val="continue"/>
          </w:tcPr>
          <w:p>
            <w:pPr>
              <w:spacing w:after="0"/>
              <w:rPr>
                <w:sz w:val="19"/>
                <w:szCs w:val="19"/>
                <w:color w:val="auto"/>
              </w:rPr>
            </w:pPr>
          </w:p>
        </w:tc>
        <w:tc>
          <w:tcPr>
            <w:tcW w:w="5200" w:type="dxa"/>
            <w:vAlign w:val="bottom"/>
            <w:gridSpan w:val="2"/>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680" w:type="dxa"/>
            <w:vAlign w:val="bottom"/>
            <w:vMerge w:val="restart"/>
          </w:tcPr>
          <w:p>
            <w:pPr>
              <w:jc w:val="right"/>
              <w:ind w:right="3172"/>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or directors,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Director</w:t>
            </w:r>
          </w:p>
        </w:tc>
        <w:tc>
          <w:tcPr>
            <w:tcW w:w="840" w:type="dxa"/>
            <w:vAlign w:val="bottom"/>
          </w:tcPr>
          <w:p>
            <w:pPr>
              <w:jc w:val="right"/>
              <w:ind w:right="118"/>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4"/>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Since</w:t>
            </w:r>
          </w:p>
        </w:tc>
        <w:tc>
          <w:tcPr>
            <w:tcW w:w="840" w:type="dxa"/>
            <w:vAlign w:val="bottom"/>
          </w:tcPr>
          <w:p>
            <w:pPr>
              <w:jc w:val="right"/>
              <w:ind w:right="218"/>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840" w:type="dxa"/>
            <w:vAlign w:val="bottom"/>
          </w:tcPr>
          <w:p>
            <w:pPr>
              <w:jc w:val="right"/>
              <w:ind w:right="158"/>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840" w:type="dxa"/>
            <w:vAlign w:val="bottom"/>
          </w:tcPr>
          <w:p>
            <w:pPr>
              <w:jc w:val="right"/>
              <w:ind w:right="158"/>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Chairman of the Board and Chief Executive Officer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Floating Rate Capital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r>
        <w:trPr>
          <w:trHeight w:val="156"/>
        </w:trPr>
        <w:tc>
          <w:tcPr>
            <w:tcW w:w="5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officer who is not a director of PennantPark Floating Rate Capital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r>
        <w:trPr>
          <w:trHeight w:val="156"/>
        </w:trPr>
        <w:tc>
          <w:tcPr>
            <w:tcW w:w="5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r>
    </w:tbl>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address for each director and executive officer is c/o PennantPark Floating Rate Capital Ltd., 590 Madison Avenue, 15th Floor, New York, New York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10022.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board of directors and are comprised solely of Independent Directors and (2) monitoring by our Chief Compliance Officer in accordance with our compliance policies and procedures.</w:t>
      </w:r>
    </w:p>
    <w:p>
      <w:pPr>
        <w:spacing w:after="0" w:line="59"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4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37"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controls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35"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the Compensation Committee are able to exercise their oversight responsibilities without any conflict of interest that might discourage critical questioning and review. Through regular executive session meetings with our independent public accounting firm,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6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specific experiences, qualifications, attributes and/or skills that each director possesses and, which the board of directors considered to be an effective director. Our directors have been divided into two groups-interested directors and Independent Directors. Interested directors are “interested persons” as defined in the 1940 Act.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Adam K. Bernstein (53), Director. Mr. Bernstein became a Director of PennantPark Floating Rate Capital Ltd. and PennantPark Investment Corporation in October 2010 and February 2007,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35"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Marshall Brozost (49), Director. Mr. Brozost became a Director of PennantPark Floating Rate Capital Ltd. and PennantPark Investment Corporation in October 2010 and February 2007, respectively. Since July 2016, Mr. Brozost has been a Partner at Orrick, Herrington &amp; Sutcliffe LLP, where he practices in the real estate and private equity groups. Prior to Orrick, Herrington &amp; Sutcliffe LLP, Mr. Brozost practiced law at O’Melveny &amp; Myers LLP from 2001 to 2004; Solomon &amp; Weinberg LLP from 2004 to 2005; Dewey &amp; LeBoeuf LLP from 2005 to 2012; Schulte Roth &amp; Zabel, LLP from 2012 to 2016. Mr. Brozost also served as a Vice President of Nomura Asset Capital Corporation from 1997 through 2000.</w:t>
      </w:r>
    </w:p>
    <w:p>
      <w:pPr>
        <w:spacing w:after="0" w:line="35"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Jeffrey Flug (53), Director. Mr. Flug became a Director of PennantPark Floating Rate Capital Ltd. and PennantPark Investment Corporation in October 2010 and February 2007, respectively.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37" w:lineRule="exact"/>
        <w:rPr>
          <w:sz w:val="20"/>
          <w:szCs w:val="20"/>
          <w:color w:val="auto"/>
        </w:rPr>
      </w:pPr>
    </w:p>
    <w:p>
      <w:pPr>
        <w:ind w:right="120" w:firstLine="571"/>
        <w:spacing w:after="0" w:line="289" w:lineRule="auto"/>
        <w:rPr>
          <w:sz w:val="20"/>
          <w:szCs w:val="20"/>
          <w:color w:val="auto"/>
        </w:rPr>
      </w:pPr>
      <w:r>
        <w:rPr>
          <w:rFonts w:ascii="Arial" w:cs="Arial" w:eastAsia="Arial" w:hAnsi="Arial"/>
          <w:sz w:val="16"/>
          <w:szCs w:val="16"/>
          <w:color w:val="auto"/>
        </w:rPr>
        <w:t>Samuel L. Katz (51), Director. Mr. Katz became a Director of PennantPark Floating Rate Capital Ltd. and PennantPark Investment Corporation in October 2010 and February 2007, respectively.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Arthur H. Penn (53), Founder, Chief Executive Officer and Chairman of the board of directors. Mr. Penn became the Chief Executive Officer and a Director of PennantPark Floating Rate Capital Ltd. and PennantPark Investment Corporation at their inception in 2010 and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Aviv Efrat (52),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63"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Guy F. Talarico (61), Chief Compliance Officer. Mr. Talarico became the Chief Compliance Officer of PennantPark Floating Rate Capital Ltd. and PennantPark Investment Corporation in March 2011 and May 2008, respectively. Mr. Talarico has held the position of Chief Compliance Officer for a number of investment advisers, private funds and investment companies from 2004 when he founded Alaric Compliance Services, LLC.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200" w:firstLine="439"/>
        <w:spacing w:after="0" w:line="255" w:lineRule="auto"/>
        <w:rPr>
          <w:sz w:val="20"/>
          <w:szCs w:val="20"/>
          <w:color w:val="auto"/>
        </w:rPr>
      </w:pPr>
      <w:r>
        <w:rPr>
          <w:rFonts w:ascii="Arial" w:cs="Arial" w:eastAsia="Arial" w:hAnsi="Arial"/>
          <w:sz w:val="18"/>
          <w:szCs w:val="18"/>
          <w:color w:val="auto"/>
        </w:rPr>
        <w:t>For the fiscal year ended September 30, 2016, we held five board of directors’ meetings, four Audit Committee meetings,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stockholders’ meeting. For the fiscal year ended September 30, 2016, four of the directors attended the annual stockholders’ meeting.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47"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80" w:firstLine="571"/>
        <w:spacing w:after="0" w:line="288"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of the Company,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Nominating and Corporate Governance Committee will consider such factors as it may deem are in the best interests of us and our stockholders. Those factors may include a person’s differences of viewpoint, professional experience, education and skills, as well as his or her race, gender and national origin. In addition, as part of the board of directors’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annual-self assessment, the members of the Nominating and Corporate Governance Committee evaluate the membership of the board of directors and whether the board of directors maintains satisfactory policies regarding membership selection.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2016. No compensation is paid directly by us to any interested director or executive officer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92"/>
              </w:rPr>
              <w:t>PennantPark Floating Rate Capital Ltd.</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1"/>
              </w:rPr>
              <w:t>PennantPark Investment Corporation</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Pension or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Pension or</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Aggregate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retirement</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retirement</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benefits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benefits</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9"/>
              </w:rPr>
              <w:t>from the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500" w:type="dxa"/>
            <w:vAlign w:val="bottom"/>
          </w:tcPr>
          <w:p>
            <w:pPr>
              <w:spacing w:after="0"/>
              <w:rPr>
                <w:sz w:val="11"/>
                <w:szCs w:val="11"/>
                <w:color w:val="auto"/>
              </w:rPr>
            </w:pPr>
          </w:p>
        </w:tc>
        <w:tc>
          <w:tcPr>
            <w:tcW w:w="1140" w:type="dxa"/>
            <w:vAlign w:val="bottom"/>
            <w:gridSpan w:val="3"/>
          </w:tcPr>
          <w:p>
            <w:pPr>
              <w:jc w:val="right"/>
              <w:ind w:right="320"/>
              <w:spacing w:after="0" w:line="135" w:lineRule="exact"/>
              <w:rPr>
                <w:sz w:val="20"/>
                <w:szCs w:val="20"/>
                <w:color w:val="auto"/>
              </w:rPr>
            </w:pPr>
            <w:r>
              <w:rPr>
                <w:rFonts w:ascii="Arial" w:cs="Arial" w:eastAsia="Arial" w:hAnsi="Arial"/>
                <w:sz w:val="14"/>
                <w:szCs w:val="14"/>
                <w:b w:val="1"/>
                <w:bCs w:val="1"/>
                <w:color w:val="auto"/>
                <w:w w:val="96"/>
              </w:rPr>
              <w:t>Total paid to</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from the</w:t>
            </w:r>
          </w:p>
        </w:tc>
        <w:tc>
          <w:tcPr>
            <w:tcW w:w="150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9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76"/>
        </w:trPr>
        <w:tc>
          <w:tcPr>
            <w:tcW w:w="30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Company</w:t>
            </w:r>
          </w:p>
        </w:tc>
        <w:tc>
          <w:tcPr>
            <w:tcW w:w="98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86"/>
              </w:rPr>
              <w:t>of our expense</w:t>
            </w:r>
            <w:r>
              <w:rPr>
                <w:rFonts w:ascii="Arial" w:cs="Arial" w:eastAsia="Arial" w:hAnsi="Arial"/>
                <w:sz w:val="20"/>
                <w:szCs w:val="20"/>
                <w:b w:val="1"/>
                <w:bCs w:val="1"/>
                <w:color w:val="auto"/>
                <w:w w:val="86"/>
                <w:vertAlign w:val="superscript"/>
              </w:rPr>
              <w:t>(1)</w:t>
            </w:r>
          </w:p>
        </w:tc>
        <w:tc>
          <w:tcPr>
            <w:tcW w:w="50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Company</w:t>
            </w:r>
          </w:p>
        </w:tc>
        <w:tc>
          <w:tcPr>
            <w:tcW w:w="1500" w:type="dxa"/>
            <w:vAlign w:val="bottom"/>
            <w:gridSpan w:val="2"/>
          </w:tcPr>
          <w:p>
            <w:pPr>
              <w:jc w:val="right"/>
              <w:ind w:right="520"/>
              <w:spacing w:after="0" w:line="176" w:lineRule="exact"/>
              <w:rPr>
                <w:sz w:val="20"/>
                <w:szCs w:val="20"/>
                <w:color w:val="auto"/>
              </w:rPr>
            </w:pPr>
            <w:r>
              <w:rPr>
                <w:rFonts w:ascii="Arial" w:cs="Arial" w:eastAsia="Arial" w:hAnsi="Arial"/>
                <w:sz w:val="13"/>
                <w:szCs w:val="13"/>
                <w:b w:val="1"/>
                <w:bCs w:val="1"/>
                <w:color w:val="auto"/>
                <w:w w:val="88"/>
              </w:rPr>
              <w:t>of our expense</w:t>
            </w:r>
            <w:r>
              <w:rPr>
                <w:rFonts w:ascii="Arial" w:cs="Arial" w:eastAsia="Arial" w:hAnsi="Arial"/>
                <w:sz w:val="20"/>
                <w:szCs w:val="20"/>
                <w:b w:val="1"/>
                <w:bCs w:val="1"/>
                <w:color w:val="auto"/>
                <w:w w:val="88"/>
                <w:vertAlign w:val="superscript"/>
              </w:rPr>
              <w:t>(1)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director/officer</w:t>
            </w: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Adam K. Bernstein</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61,250</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61,250</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122,500</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122,500</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122,500</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122,500</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Jeffrey Flug</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63,750</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63,750</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132,500</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132,500</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132,500</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132,500</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Interested director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Arthur H. Penn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None</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Executive officer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None</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52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14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Each Independent Director receives an annual payment of $50,000 for services performed on behalf of us as a director. The Independent Directors also receive $2,500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and indemnify such persons against certain losses. 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Our Investment Adviser has three experienced senior investment professionals in addition to Mr. Penn.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98" w:lineRule="auto"/>
        <w:rPr>
          <w:sz w:val="20"/>
          <w:szCs w:val="20"/>
          <w:color w:val="auto"/>
        </w:rPr>
      </w:pPr>
      <w:r>
        <w:rPr>
          <w:rFonts w:ascii="Arial" w:cs="Arial" w:eastAsia="Arial" w:hAnsi="Arial"/>
          <w:sz w:val="16"/>
          <w:szCs w:val="16"/>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200" w:firstLine="571"/>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September 30, 2016 our portfolio managers also managed investments on behalf of the following entities:</w:t>
      </w:r>
    </w:p>
    <w:p>
      <w:pPr>
        <w:sectPr>
          <w:pgSz w:w="11900" w:h="16838" w:orient="portrait"/>
          <w:cols w:equalWidth="0" w:num="1">
            <w:col w:w="11380"/>
          </w:cols>
          <w:pgMar w:left="240" w:top="459" w:right="279" w:bottom="1440" w:gutter="0" w:footer="0" w:header="0"/>
        </w:sect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5"/>
                <w:szCs w:val="15"/>
                <w:color w:val="auto"/>
              </w:rPr>
            </w:pPr>
          </w:p>
        </w:tc>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Investment Focus</w:t>
            </w:r>
          </w:p>
        </w:tc>
      </w:tr>
      <w:tr>
        <w:trPr>
          <w:trHeight w:val="28"/>
        </w:trPr>
        <w:tc>
          <w:tcPr>
            <w:tcW w:w="2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01"/>
        </w:trPr>
        <w:tc>
          <w:tcPr>
            <w:tcW w:w="2960" w:type="dxa"/>
            <w:vAlign w:val="bottom"/>
          </w:tcPr>
          <w:p>
            <w:pPr>
              <w:ind w:left="60"/>
              <w:spacing w:after="0" w:line="201" w:lineRule="exact"/>
              <w:rPr>
                <w:sz w:val="20"/>
                <w:szCs w:val="20"/>
                <w:color w:val="auto"/>
              </w:rPr>
            </w:pPr>
            <w:r>
              <w:rPr>
                <w:rFonts w:ascii="Arial" w:cs="Arial" w:eastAsia="Arial" w:hAnsi="Arial"/>
                <w:sz w:val="18"/>
                <w:szCs w:val="18"/>
                <w:color w:val="auto"/>
                <w:w w:val="97"/>
              </w:rPr>
              <w:t>PennantPark Investment Corporation</w:t>
            </w:r>
          </w:p>
        </w:tc>
        <w:tc>
          <w:tcPr>
            <w:tcW w:w="100" w:type="dxa"/>
            <w:vAlign w:val="bottom"/>
          </w:tcPr>
          <w:p>
            <w:pPr>
              <w:spacing w:after="0"/>
              <w:rPr>
                <w:sz w:val="17"/>
                <w:szCs w:val="17"/>
                <w:color w:val="auto"/>
              </w:rPr>
            </w:pPr>
          </w:p>
        </w:tc>
        <w:tc>
          <w:tcPr>
            <w:tcW w:w="1620" w:type="dxa"/>
            <w:vAlign w:val="bottom"/>
          </w:tcPr>
          <w:p>
            <w:pPr>
              <w:ind w:left="40"/>
              <w:spacing w:after="0" w:line="201" w:lineRule="exact"/>
              <w:rPr>
                <w:sz w:val="20"/>
                <w:szCs w:val="20"/>
                <w:color w:val="auto"/>
              </w:rPr>
            </w:pPr>
            <w:r>
              <w:rPr>
                <w:rFonts w:ascii="Arial" w:cs="Arial" w:eastAsia="Arial" w:hAnsi="Arial"/>
                <w:sz w:val="18"/>
                <w:szCs w:val="18"/>
                <w:color w:val="auto"/>
                <w:w w:val="86"/>
              </w:rPr>
              <w:t>Business development</w:t>
            </w:r>
          </w:p>
        </w:tc>
        <w:tc>
          <w:tcPr>
            <w:tcW w:w="100" w:type="dxa"/>
            <w:vAlign w:val="bottom"/>
          </w:tcPr>
          <w:p>
            <w:pPr>
              <w:spacing w:after="0"/>
              <w:rPr>
                <w:sz w:val="17"/>
                <w:szCs w:val="17"/>
                <w:color w:val="auto"/>
              </w:rPr>
            </w:pPr>
          </w:p>
        </w:tc>
        <w:tc>
          <w:tcPr>
            <w:tcW w:w="5600" w:type="dxa"/>
            <w:vAlign w:val="bottom"/>
          </w:tcPr>
          <w:p>
            <w:pPr>
              <w:ind w:left="60"/>
              <w:spacing w:after="0" w:line="201" w:lineRule="exact"/>
              <w:rPr>
                <w:sz w:val="20"/>
                <w:szCs w:val="20"/>
                <w:color w:val="auto"/>
              </w:rPr>
            </w:pPr>
            <w:r>
              <w:rPr>
                <w:rFonts w:ascii="Arial" w:cs="Arial" w:eastAsia="Arial" w:hAnsi="Arial"/>
                <w:sz w:val="18"/>
                <w:szCs w:val="18"/>
                <w:color w:val="auto"/>
                <w:w w:val="96"/>
              </w:rPr>
              <w:t>Primarily in U.S. middle-market companies in the form of senior secured</w:t>
            </w:r>
          </w:p>
        </w:tc>
      </w:t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rPr>
              <w:t>company</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loans, mezzanine debt and equity investments</w:t>
            </w:r>
          </w:p>
        </w:tc>
      </w:tr>
      <w:tr>
        <w:trPr>
          <w:trHeight w:val="236"/>
        </w:trPr>
        <w:tc>
          <w:tcPr>
            <w:tcW w:w="3060" w:type="dxa"/>
            <w:vAlign w:val="bottom"/>
            <w:gridSpan w:val="2"/>
          </w:tcPr>
          <w:p>
            <w:pPr>
              <w:ind w:left="60"/>
              <w:spacing w:after="0"/>
              <w:rPr>
                <w:sz w:val="20"/>
                <w:szCs w:val="20"/>
                <w:color w:val="auto"/>
              </w:rPr>
            </w:pPr>
            <w:r>
              <w:rPr>
                <w:rFonts w:ascii="Arial" w:cs="Arial" w:eastAsia="Arial" w:hAnsi="Arial"/>
                <w:sz w:val="18"/>
                <w:szCs w:val="18"/>
                <w:color w:val="auto"/>
              </w:rPr>
              <w:t>Other Managed Fund</w:t>
            </w:r>
          </w:p>
        </w:tc>
        <w:tc>
          <w:tcPr>
            <w:tcW w:w="1620" w:type="dxa"/>
            <w:vAlign w:val="bottom"/>
          </w:tcPr>
          <w:p>
            <w:pPr>
              <w:ind w:left="40"/>
              <w:spacing w:after="0"/>
              <w:rPr>
                <w:sz w:val="20"/>
                <w:szCs w:val="20"/>
                <w:color w:val="auto"/>
              </w:rPr>
            </w:pPr>
            <w:r>
              <w:rPr>
                <w:rFonts w:ascii="Arial" w:cs="Arial" w:eastAsia="Arial" w:hAnsi="Arial"/>
                <w:sz w:val="18"/>
                <w:szCs w:val="18"/>
                <w:color w:val="auto"/>
                <w:w w:val="96"/>
              </w:rPr>
              <w:t>Direct Lending Fund</w:t>
            </w:r>
          </w:p>
        </w:tc>
        <w:tc>
          <w:tcPr>
            <w:tcW w:w="100" w:type="dxa"/>
            <w:vAlign w:val="bottom"/>
          </w:tcPr>
          <w:p>
            <w:pPr>
              <w:spacing w:after="0"/>
              <w:rPr>
                <w:sz w:val="20"/>
                <w:szCs w:val="20"/>
                <w:color w:val="auto"/>
              </w:rPr>
            </w:pPr>
          </w:p>
        </w:tc>
        <w:tc>
          <w:tcPr>
            <w:tcW w:w="5600" w:type="dxa"/>
            <w:vAlign w:val="bottom"/>
          </w:tcPr>
          <w:p>
            <w:pPr>
              <w:ind w:left="60"/>
              <w:spacing w:after="0"/>
              <w:rPr>
                <w:sz w:val="20"/>
                <w:szCs w:val="20"/>
                <w:color w:val="auto"/>
              </w:rPr>
            </w:pPr>
            <w:r>
              <w:rPr>
                <w:rFonts w:ascii="Arial" w:cs="Arial" w:eastAsia="Arial" w:hAnsi="Arial"/>
                <w:sz w:val="18"/>
                <w:szCs w:val="18"/>
                <w:color w:val="auto"/>
              </w:rPr>
              <w:t>Other credit opportunities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2832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both"/>
        <w:ind w:left="32" w:right="60" w:firstLine="37"/>
        <w:spacing w:after="0" w:line="372" w:lineRule="auto"/>
        <w:rPr>
          <w:sz w:val="20"/>
          <w:szCs w:val="20"/>
          <w:color w:val="auto"/>
        </w:rPr>
      </w:pPr>
      <w:r>
        <w:rPr>
          <w:rFonts w:ascii="Arial" w:cs="Arial" w:eastAsia="Arial" w:hAnsi="Arial"/>
          <w:sz w:val="11"/>
          <w:szCs w:val="11"/>
          <w:b w:val="1"/>
          <w:bCs w:val="1"/>
          <w:color w:val="auto"/>
        </w:rPr>
        <w:t>Gross Assets ($ in millions)</w:t>
      </w:r>
    </w:p>
    <w:p>
      <w:pPr>
        <w:spacing w:after="0" w:line="139" w:lineRule="exact"/>
        <w:rPr>
          <w:sz w:val="20"/>
          <w:szCs w:val="20"/>
          <w:color w:val="auto"/>
        </w:rPr>
      </w:pPr>
    </w:p>
    <w:p>
      <w:pPr>
        <w:ind w:left="452" w:hanging="452"/>
        <w:spacing w:after="0"/>
        <w:tabs>
          <w:tab w:leader="none" w:pos="452" w:val="left"/>
        </w:tabs>
        <w:numPr>
          <w:ilvl w:val="0"/>
          <w:numId w:val="43"/>
        </w:numPr>
        <w:rPr>
          <w:rFonts w:ascii="Arial" w:cs="Arial" w:eastAsia="Arial" w:hAnsi="Arial"/>
          <w:sz w:val="15"/>
          <w:szCs w:val="15"/>
          <w:color w:val="auto"/>
        </w:rPr>
      </w:pPr>
      <w:r>
        <w:rPr>
          <w:rFonts w:ascii="Arial" w:cs="Arial" w:eastAsia="Arial" w:hAnsi="Arial"/>
          <w:sz w:val="15"/>
          <w:szCs w:val="15"/>
          <w:color w:val="auto"/>
        </w:rPr>
        <w:t>1,239</w:t>
      </w:r>
    </w:p>
    <w:p>
      <w:pPr>
        <w:spacing w:after="0" w:line="49" w:lineRule="exact"/>
        <w:rPr>
          <w:rFonts w:ascii="Arial" w:cs="Arial" w:eastAsia="Arial" w:hAnsi="Arial"/>
          <w:sz w:val="15"/>
          <w:szCs w:val="15"/>
          <w:color w:val="auto"/>
        </w:rPr>
      </w:pPr>
    </w:p>
    <w:p>
      <w:pPr>
        <w:ind w:left="652" w:hanging="652"/>
        <w:spacing w:after="0"/>
        <w:tabs>
          <w:tab w:leader="none" w:pos="6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70</w:t>
      </w:r>
    </w:p>
    <w:p>
      <w:pPr>
        <w:spacing w:after="0" w:line="201" w:lineRule="exact"/>
        <w:rPr>
          <w:sz w:val="20"/>
          <w:szCs w:val="20"/>
          <w:color w:val="auto"/>
        </w:rPr>
      </w:pPr>
    </w:p>
    <w:p>
      <w:pPr>
        <w:sectPr>
          <w:pgSz w:w="11900" w:h="16838" w:orient="portrait"/>
          <w:cols w:equalWidth="0" w:num="2">
            <w:col w:w="10380" w:space="108"/>
            <w:col w:w="892"/>
          </w:cols>
          <w:pgMar w:left="240" w:top="459" w:right="279" w:bottom="1440" w:gutter="0" w:footer="0" w:header="0"/>
          <w:type w:val="continuous"/>
        </w:sectPr>
      </w:pPr>
    </w:p>
    <w:p>
      <w:pPr>
        <w:ind w:right="420" w:firstLine="571"/>
        <w:spacing w:after="0" w:line="268" w:lineRule="auto"/>
        <w:rPr>
          <w:sz w:val="20"/>
          <w:szCs w:val="20"/>
          <w:color w:val="auto"/>
        </w:rPr>
      </w:pPr>
      <w:r>
        <w:rPr>
          <w:rFonts w:ascii="Arial" w:cs="Arial" w:eastAsia="Arial" w:hAnsi="Arial"/>
          <w:sz w:val="18"/>
          <w:szCs w:val="18"/>
          <w:color w:val="auto"/>
        </w:rPr>
        <w:t>The management and incentive fees payable by PennantPark Investment Corporation are based on the gross assets and performance of PennantPark Investment Corporation,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As of December 2, 2016, to our knowledge, no person would be deemed to “control” us, as such term is defined in the 1940 Act. Our board of directors consist of an interested director and Independent Directors.</w:t>
      </w:r>
    </w:p>
    <w:p>
      <w:pPr>
        <w:spacing w:after="0" w:line="132"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The following table sets forth, as of December 2, 2016,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5"/>
              </w:rPr>
              <w:t>Percentage of</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Common</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ind w:right="812"/>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r>
              <w:rPr>
                <w:rFonts w:ascii="Arial" w:cs="Arial" w:eastAsia="Arial" w:hAnsi="Arial"/>
                <w:sz w:val="11"/>
                <w:szCs w:val="11"/>
                <w:b w:val="1"/>
                <w:bCs w:val="1"/>
                <w:color w:val="auto"/>
              </w:rPr>
              <w:t>(1)</w:t>
            </w:r>
          </w:p>
        </w:tc>
        <w:tc>
          <w:tcPr>
            <w:tcW w:w="2500" w:type="dxa"/>
            <w:vAlign w:val="bottom"/>
            <w:gridSpan w:val="2"/>
          </w:tcPr>
          <w:p>
            <w:pPr>
              <w:ind w:left="440"/>
              <w:spacing w:after="0"/>
              <w:rPr>
                <w:sz w:val="20"/>
                <w:szCs w:val="20"/>
                <w:color w:val="auto"/>
              </w:rPr>
            </w:pPr>
            <w:r>
              <w:rPr>
                <w:rFonts w:ascii="Arial" w:cs="Arial" w:eastAsia="Arial" w:hAnsi="Arial"/>
                <w:sz w:val="18"/>
                <w:szCs w:val="18"/>
                <w:b w:val="1"/>
                <w:bCs w:val="1"/>
                <w:color w:val="auto"/>
              </w:rPr>
              <w:t>Type of ownership</w:t>
            </w:r>
            <w:r>
              <w:rPr>
                <w:rFonts w:ascii="Arial" w:cs="Arial" w:eastAsia="Arial" w:hAnsi="Arial"/>
                <w:sz w:val="11"/>
                <w:szCs w:val="11"/>
                <w:b w:val="1"/>
                <w:bCs w:val="1"/>
                <w:color w:val="auto"/>
              </w:rPr>
              <w:t>(2)</w:t>
            </w:r>
          </w:p>
        </w:tc>
        <w:tc>
          <w:tcPr>
            <w:tcW w:w="2280" w:type="dxa"/>
            <w:vAlign w:val="bottom"/>
          </w:tcPr>
          <w:p>
            <w:pPr>
              <w:jc w:val="right"/>
              <w:ind w:right="792"/>
              <w:spacing w:after="0"/>
              <w:rPr>
                <w:sz w:val="20"/>
                <w:szCs w:val="20"/>
                <w:color w:val="auto"/>
              </w:rPr>
            </w:pPr>
            <w:r>
              <w:rPr>
                <w:rFonts w:ascii="Arial" w:cs="Arial" w:eastAsia="Arial" w:hAnsi="Arial"/>
                <w:sz w:val="18"/>
                <w:szCs w:val="18"/>
                <w:b w:val="1"/>
                <w:bCs w:val="1"/>
                <w:color w:val="auto"/>
              </w:rPr>
              <w:t>owned</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6"/>
              </w:rPr>
              <w:t>Outstanding</w:t>
            </w:r>
          </w:p>
        </w:tc>
      </w:tr>
      <w:tr>
        <w:trPr>
          <w:trHeight w:val="23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r>
      <w:tr>
        <w:trPr>
          <w:trHeight w:val="229"/>
        </w:trPr>
        <w:tc>
          <w:tcPr>
            <w:tcW w:w="424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5,000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15,500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149,209</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120" w:type="dxa"/>
            <w:vAlign w:val="bottom"/>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240" w:type="dxa"/>
            <w:vAlign w:val="bottom"/>
            <w:gridSpan w:val="2"/>
          </w:tcPr>
          <w:p>
            <w:pPr>
              <w:spacing w:after="0"/>
              <w:rPr>
                <w:sz w:val="20"/>
                <w:szCs w:val="20"/>
                <w:color w:val="auto"/>
              </w:rPr>
            </w:pPr>
            <w:r>
              <w:rPr>
                <w:rFonts w:ascii="Arial" w:cs="Arial" w:eastAsia="Arial" w:hAnsi="Arial"/>
                <w:sz w:val="18"/>
                <w:szCs w:val="18"/>
                <w:color w:val="auto"/>
                <w:w w:val="93"/>
              </w:rPr>
              <w:t>All directors and executive officer as a group (6 persons)</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318,559</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5176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Floating Rate Capital Ltd., 590 Madison Avenue, 15th Floor, New York, New York 10022.</w:t>
      </w:r>
    </w:p>
    <w:p>
      <w:pPr>
        <w:ind w:left="420" w:hanging="412"/>
        <w:spacing w:after="0" w:line="221" w:lineRule="auto"/>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Mr. Penn is the Managing Member of PennantPark Investment Advisers, LLC and may therefore be deemed to own beneficially the 149,209 shares held by PennantPark Investment Advisers, LLC.</w:t>
      </w:r>
    </w:p>
    <w:p>
      <w:pPr>
        <w:spacing w:after="0" w:line="66"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and senior investment professionals as of December 31, 2015. Information as to the beneficial ownerships is based on information furnished to us by such persons. We are not part of a “family of investment companies,” as that term is defined in the 1940 Act.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70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Dollar Range of the Common Stock of the Companies</w:t>
            </w:r>
            <w:r>
              <w:rPr>
                <w:rFonts w:ascii="Arial" w:cs="Arial" w:eastAsia="Arial" w:hAnsi="Arial"/>
                <w:sz w:val="11"/>
                <w:szCs w:val="11"/>
                <w:b w:val="1"/>
                <w:bCs w:val="1"/>
                <w:color w:val="auto"/>
                <w:w w:val="87"/>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640" w:type="dxa"/>
            <w:vAlign w:val="bottom"/>
          </w:tcPr>
          <w:p>
            <w:pPr>
              <w:spacing w:after="0"/>
              <w:rPr>
                <w:sz w:val="17"/>
                <w:szCs w:val="17"/>
                <w:color w:val="auto"/>
              </w:rPr>
            </w:pPr>
          </w:p>
        </w:tc>
        <w:tc>
          <w:tcPr>
            <w:tcW w:w="238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89"/>
              </w:rPr>
              <w:t>PennantPark Floating</w:t>
            </w:r>
          </w:p>
        </w:tc>
        <w:tc>
          <w:tcPr>
            <w:tcW w:w="240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89"/>
              </w:rPr>
              <w:t>PennantPark Investment</w:t>
            </w:r>
          </w:p>
        </w:tc>
        <w:tc>
          <w:tcPr>
            <w:tcW w:w="2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Rate Capital Ltd.</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Corporation</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Borders>
              <w:top w:val="single" w:sz="8" w:color="CCEEFF"/>
            </w:tcBorders>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rPr>
              <w:t>Adam K. Bernstein</w:t>
            </w: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$ 50,001 - $100,000</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$500,001 - $1,000,000</w:t>
            </w: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$500,001 -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$100,001 - $  500,000</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(2)</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Investment Professionals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Jose A. Briones</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12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Salvatore Giannetti III</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$500,001 - $1,000,000</w:t>
            </w:r>
          </w:p>
        </w:tc>
        <w:tc>
          <w:tcPr>
            <w:tcW w:w="100" w:type="dxa"/>
            <w:vAlign w:val="bottom"/>
            <w:shd w:val="clear" w:color="auto" w:fill="CCEEFF"/>
          </w:tcPr>
          <w:p>
            <w:pPr>
              <w:spacing w:after="0"/>
              <w:rPr>
                <w:sz w:val="20"/>
                <w:szCs w:val="20"/>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$500,001 - $1,000,000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P. Whitridge Williams, Jr.</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c>
          <w:tcPr>
            <w:tcW w:w="10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12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3152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60" w:firstLine="571"/>
        <w:spacing w:after="0" w:line="305" w:lineRule="auto"/>
        <w:rPr>
          <w:sz w:val="20"/>
          <w:szCs w:val="20"/>
          <w:color w:val="auto"/>
        </w:rPr>
      </w:pPr>
      <w:r>
        <w:rPr>
          <w:rFonts w:ascii="Arial" w:cs="Arial" w:eastAsia="Arial" w:hAnsi="Arial"/>
          <w:sz w:val="15"/>
          <w:szCs w:val="15"/>
          <w:color w:val="auto"/>
        </w:rPr>
        <w:t>PennantPark Floating Rate Capital Ltd. has entered into an Investment Management Agreement with the Investment Adviser under which the Investment Adviser, subject to the overall supervision of our board of directors, manages the day-to-day operations of, and provides investment advisory services to, us.</w:t>
      </w:r>
    </w:p>
    <w:p>
      <w:pPr>
        <w:spacing w:after="0" w:line="295" w:lineRule="auto"/>
        <w:rPr>
          <w:sz w:val="20"/>
          <w:szCs w:val="20"/>
          <w:color w:val="auto"/>
        </w:rPr>
      </w:pPr>
      <w:r>
        <w:rPr>
          <w:rFonts w:ascii="Arial" w:cs="Arial" w:eastAsia="Arial" w:hAnsi="Arial"/>
          <w:sz w:val="16"/>
          <w:szCs w:val="16"/>
          <w:color w:val="auto"/>
        </w:rPr>
        <w:t>Mr. Penn, our Chairman and Chief Executive Officer, is the managing member and a senior investment professional of, and has a financial and controlling interest in PennantPark Investment Advisers. The Company,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34"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99"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171" w:lineRule="exact"/>
        <w:rPr>
          <w:sz w:val="20"/>
          <w:szCs w:val="20"/>
          <w:color w:val="auto"/>
        </w:rPr>
      </w:pPr>
    </w:p>
    <w:p>
      <w:pPr>
        <w:ind w:right="360" w:firstLine="571"/>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120" w:firstLine="571"/>
        <w:spacing w:after="0" w:line="310" w:lineRule="auto"/>
        <w:rPr>
          <w:sz w:val="20"/>
          <w:szCs w:val="20"/>
          <w:color w:val="auto"/>
        </w:rPr>
      </w:pPr>
      <w:r>
        <w:rPr>
          <w:rFonts w:ascii="Arial" w:cs="Arial" w:eastAsia="Arial" w:hAnsi="Arial"/>
          <w:sz w:val="15"/>
          <w:szCs w:val="15"/>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2016, 2015 and 2014, the Investment Adviser earned a base management fee of $5.0 million, $3.6 million and $3.7 million, respectively, from us.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Gross assets as of December 31, 20XX = $160 million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Gross assets as of March 31, 20XX = $200 million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Adjusted gross assets as of March 31, 20XX = $180 million</w:t>
      </w:r>
    </w:p>
    <w:p>
      <w:pPr>
        <w:spacing w:after="0" w:line="165"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Average value of adjusted gross assets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2016, 2015 and 2014, the Investment Adviser earned $3.7 million, $2.2 million and $2.6 million, respectively, in incentive fees on net investment income from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3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120015</wp:posOffset>
            </wp:positionV>
            <wp:extent cx="2186940" cy="3860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869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3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40" w:lineRule="exact"/>
        <w:rPr>
          <w:sz w:val="20"/>
          <w:szCs w:val="20"/>
          <w:color w:val="auto"/>
        </w:rPr>
      </w:pPr>
    </w:p>
    <w:p>
      <w:pPr>
        <w:ind w:right="100" w:firstLine="571"/>
        <w:spacing w:after="0" w:line="254"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2016, 2015 and 2014 the Investment Adviser accrued an incentive fee on capital gains of approximately zero, $(0.4) million and $0.8 million, respectively, as calculated under the Investment Management Agreement (as described above).</w:t>
      </w:r>
    </w:p>
    <w:p>
      <w:pPr>
        <w:spacing w:after="0" w:line="144"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2016, 2015 and 2014 was $1.1 million, $(0.7) million and $0.1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right="3720"/>
        <w:spacing w:after="0" w:line="331" w:lineRule="auto"/>
        <w:rPr>
          <w:sz w:val="20"/>
          <w:szCs w:val="20"/>
          <w:color w:val="auto"/>
        </w:rPr>
      </w:pPr>
      <w:r>
        <w:rPr>
          <w:rFonts w:ascii="Arial" w:cs="Arial" w:eastAsia="Arial" w:hAnsi="Arial"/>
          <w:sz w:val="18"/>
          <w:szCs w:val="18"/>
          <w:color w:val="auto"/>
        </w:rPr>
        <w:t>(investment income—(base management fee + other expenses)) = 0.80% Pre-Incentive Fee Net Investment Income does not exceed hurdle; therefore there is no incentive fee.</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2.25%</w:t>
      </w:r>
    </w:p>
    <w:p>
      <w:pPr>
        <w:spacing w:after="0" w:line="212" w:lineRule="exact"/>
        <w:rPr>
          <w:sz w:val="20"/>
          <w:szCs w:val="20"/>
          <w:color w:val="auto"/>
        </w:rPr>
      </w:pPr>
    </w:p>
    <w:p>
      <w:pPr>
        <w:jc w:val="right"/>
        <w:ind w:right="3480"/>
        <w:spacing w:after="0"/>
        <w:tabs>
          <w:tab w:leader="none" w:pos="5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50% x Pre-Incentive Fee Net Investment Income, subject to “catch-up”</w:t>
      </w:r>
    </w:p>
    <w:p>
      <w:pPr>
        <w:spacing w:after="0" w:line="36" w:lineRule="exact"/>
        <w:rPr>
          <w:sz w:val="20"/>
          <w:szCs w:val="20"/>
          <w:color w:val="auto"/>
        </w:rPr>
      </w:pPr>
    </w:p>
    <w:p>
      <w:pPr>
        <w:ind w:left="2880" w:hanging="151"/>
        <w:spacing w:after="0"/>
        <w:tabs>
          <w:tab w:leader="none" w:pos="2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50% x (2.25% - 1.75%)</w:t>
      </w:r>
    </w:p>
    <w:p>
      <w:pPr>
        <w:spacing w:after="0" w:line="49" w:lineRule="exact"/>
        <w:rPr>
          <w:rFonts w:ascii="Arial" w:cs="Arial" w:eastAsia="Arial" w:hAnsi="Arial"/>
          <w:sz w:val="18"/>
          <w:szCs w:val="18"/>
          <w:color w:val="auto"/>
        </w:rPr>
      </w:pPr>
    </w:p>
    <w:p>
      <w:pPr>
        <w:ind w:left="2880" w:hanging="151"/>
        <w:spacing w:after="0"/>
        <w:tabs>
          <w:tab w:leader="none" w:pos="2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4.00%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3.55%</w:t>
      </w:r>
    </w:p>
    <w:p>
      <w:pPr>
        <w:sectPr>
          <w:pgSz w:w="11900" w:h="16838" w:orient="portrait"/>
          <w:cols w:equalWidth="0" w:num="1">
            <w:col w:w="11360"/>
          </w:cols>
          <w:pgMar w:left="240" w:top="459" w:right="299" w:bottom="1440" w:gutter="0" w:footer="0" w:header="0"/>
        </w:sectPr>
      </w:pPr>
    </w:p>
    <w:p>
      <w:pPr>
        <w:spacing w:after="0" w:line="2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1049020</wp:posOffset>
            </wp:positionV>
            <wp:extent cx="2914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60" w:hanging="151"/>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r>
        <w:rPr>
          <w:rFonts w:ascii="Arial" w:cs="Arial" w:eastAsia="Arial" w:hAnsi="Arial"/>
          <w:sz w:val="11"/>
          <w:szCs w:val="11"/>
          <w:color w:val="auto"/>
        </w:rPr>
        <w:t>(3)</w:t>
      </w:r>
    </w:p>
    <w:p>
      <w:pPr>
        <w:spacing w:after="0" w:line="36" w:lineRule="exact"/>
        <w:rPr>
          <w:rFonts w:ascii="Arial" w:cs="Arial" w:eastAsia="Arial" w:hAnsi="Arial"/>
          <w:sz w:val="18"/>
          <w:szCs w:val="18"/>
          <w:color w:val="auto"/>
        </w:rPr>
      </w:pPr>
    </w:p>
    <w:p>
      <w:pPr>
        <w:ind w:right="2600" w:firstLine="9"/>
        <w:spacing w:after="0" w:line="328" w:lineRule="auto"/>
        <w:tabs>
          <w:tab w:leader="none" w:pos="143" w:val="left"/>
        </w:tabs>
        <w:numPr>
          <w:ilvl w:val="0"/>
          <w:numId w:val="49"/>
        </w:numPr>
        <w:rPr>
          <w:rFonts w:ascii="Arial" w:cs="Arial" w:eastAsia="Arial" w:hAnsi="Arial"/>
          <w:sz w:val="18"/>
          <w:szCs w:val="18"/>
          <w:color w:val="auto"/>
        </w:rPr>
      </w:pPr>
      <w:r>
        <w:rPr>
          <w:rFonts w:ascii="Arial" w:cs="Arial" w:eastAsia="Arial" w:hAnsi="Arial"/>
          <w:sz w:val="18"/>
          <w:szCs w:val="18"/>
          <w:color w:val="auto"/>
        </w:rPr>
        <w:t>50% x “catch-up” + (20% x (Pre-Incentive Fee Net Investment Income - 2.9167%)) =2.9167%-1.75% =1.1667%</w:t>
      </w:r>
    </w:p>
    <w:p>
      <w:pPr>
        <w:spacing w:after="0" w:line="204" w:lineRule="exact"/>
        <w:rPr>
          <w:rFonts w:ascii="Arial" w:cs="Arial" w:eastAsia="Arial" w:hAnsi="Arial"/>
          <w:sz w:val="18"/>
          <w:szCs w:val="18"/>
          <w:color w:val="auto"/>
        </w:rPr>
      </w:pPr>
    </w:p>
    <w:p>
      <w:pPr>
        <w:ind w:right="5180"/>
        <w:spacing w:after="0" w:line="297" w:lineRule="auto"/>
        <w:rPr>
          <w:rFonts w:ascii="Arial" w:cs="Arial" w:eastAsia="Arial" w:hAnsi="Arial"/>
          <w:sz w:val="18"/>
          <w:szCs w:val="18"/>
          <w:color w:val="auto"/>
        </w:rPr>
      </w:pPr>
      <w:r>
        <w:rPr>
          <w:rFonts w:ascii="Arial" w:cs="Arial" w:eastAsia="Arial" w:hAnsi="Arial"/>
          <w:sz w:val="18"/>
          <w:szCs w:val="18"/>
          <w:color w:val="auto"/>
        </w:rPr>
        <w:t>=(50% x 1.1667%) + (20% x (3.55% -2.9167%)) =0.5833% + (20% x 0.6333%)</w:t>
      </w:r>
    </w:p>
    <w:p>
      <w:pPr>
        <w:ind w:right="7080"/>
        <w:spacing w:after="0" w:line="315" w:lineRule="auto"/>
        <w:rPr>
          <w:rFonts w:ascii="Arial" w:cs="Arial" w:eastAsia="Arial" w:hAnsi="Arial"/>
          <w:sz w:val="18"/>
          <w:szCs w:val="18"/>
          <w:color w:val="auto"/>
        </w:rPr>
      </w:pPr>
      <w:r>
        <w:rPr>
          <w:rFonts w:ascii="Arial" w:cs="Arial" w:eastAsia="Arial" w:hAnsi="Arial"/>
          <w:sz w:val="18"/>
          <w:szCs w:val="18"/>
          <w:color w:val="auto"/>
        </w:rPr>
        <w:t>=0.5833% + 0.1267% =0.71%</w:t>
      </w:r>
    </w:p>
    <w:p>
      <w:pPr>
        <w:spacing w:after="0" w:line="200" w:lineRule="exact"/>
        <w:rPr>
          <w:sz w:val="20"/>
          <w:szCs w:val="20"/>
          <w:color w:val="auto"/>
        </w:rPr>
      </w:pPr>
    </w:p>
    <w:p>
      <w:pPr>
        <w:sectPr>
          <w:pgSz w:w="11900" w:h="16838" w:orient="portrait"/>
          <w:cols w:equalWidth="0" w:num="2">
            <w:col w:w="2000" w:space="720"/>
            <w:col w:w="8640"/>
          </w:cols>
          <w:pgMar w:left="240" w:top="459" w:right="299" w:bottom="1440" w:gutter="0" w:footer="0" w:header="0"/>
          <w:type w:val="continuous"/>
        </w:sectPr>
      </w:pPr>
    </w:p>
    <w:p>
      <w:pPr>
        <w:spacing w:after="0" w:line="92" w:lineRule="exact"/>
        <w:rPr>
          <w:sz w:val="20"/>
          <w:szCs w:val="20"/>
          <w:color w:val="auto"/>
        </w:rPr>
      </w:pPr>
    </w:p>
    <w:p>
      <w:pPr>
        <w:ind w:left="380" w:hanging="325"/>
        <w:spacing w:after="0"/>
        <w:tabs>
          <w:tab w:leader="none" w:pos="3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95"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ind w:left="380" w:hanging="372"/>
        <w:spacing w:after="0" w:line="230" w:lineRule="auto"/>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FMV of Investment B determined to be $25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Investment B sold for $31 million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2: $6 million capital gains incentive fee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$30 million realized capital gains on sale of Investment A multiplied by 20%</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$5 million cumulative fee (20% multiplied by $25 million ($30 million cumulative capital gains less $5 million cumulative capital depreciation)) less $6 million (previous capital gains fee paid in Year 2)</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$200,000 capital gains incentive fee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$6.2 million cumulative fee ($31 million cumulative realized capital gains multiplied by 20%) less $6 million (previous capital gains fee paid in Year 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580" w:right="160"/>
        <w:spacing w:after="0" w:line="268"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Year 2: Investment A sold for $50 million, FMV of Investment B determined to be $25 million and FMV of Investment C determined to be $25 million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FMV of Investment B determined to be $35 million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5: Investment B sold for $20 million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2: $5 million capital gains incentive fee</w:t>
      </w:r>
    </w:p>
    <w:p>
      <w:pPr>
        <w:spacing w:after="0" w:line="90" w:lineRule="exact"/>
        <w:rPr>
          <w:sz w:val="20"/>
          <w:szCs w:val="20"/>
          <w:color w:val="auto"/>
        </w:rPr>
      </w:pPr>
    </w:p>
    <w:p>
      <w:pPr>
        <w:ind w:left="580" w:right="80"/>
        <w:spacing w:after="0" w:line="268" w:lineRule="auto"/>
        <w:rPr>
          <w:sz w:val="20"/>
          <w:szCs w:val="20"/>
          <w:color w:val="auto"/>
        </w:rPr>
      </w:pPr>
      <w:r>
        <w:rPr>
          <w:rFonts w:ascii="Arial" w:cs="Arial" w:eastAsia="Arial" w:hAnsi="Arial"/>
          <w:sz w:val="18"/>
          <w:szCs w:val="18"/>
          <w:color w:val="auto"/>
        </w:rPr>
        <w:t>20% multiplied by $25 million ($30 million realized capital gains on sale of Investment A less $5 million unrealized capital depreciation on Investment B)</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11"/>
          <w:szCs w:val="11"/>
          <w:color w:val="auto"/>
        </w:rPr>
        <w:t>(1)</w:t>
      </w:r>
    </w:p>
    <w:p>
      <w:pPr>
        <w:spacing w:after="0" w:line="90" w:lineRule="exact"/>
        <w:rPr>
          <w:sz w:val="20"/>
          <w:szCs w:val="20"/>
          <w:color w:val="auto"/>
        </w:rPr>
      </w:pPr>
    </w:p>
    <w:p>
      <w:pPr>
        <w:ind w:left="580" w:right="880"/>
        <w:spacing w:after="0" w:line="268" w:lineRule="auto"/>
        <w:rPr>
          <w:sz w:val="20"/>
          <w:szCs w:val="20"/>
          <w:color w:val="auto"/>
        </w:rPr>
      </w:pPr>
      <w:r>
        <w:rPr>
          <w:rFonts w:ascii="Arial" w:cs="Arial" w:eastAsia="Arial" w:hAnsi="Arial"/>
          <w:sz w:val="18"/>
          <w:szCs w:val="18"/>
          <w:color w:val="auto"/>
        </w:rPr>
        <w:t>$6.4 million cumulative fee (20% multiplied by $32 million ($35 million cumulative realized capital gains less $3 million unrealized capital depreciation)) less $5 million (previous capital gains fee paid in Year 2)</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$0.6 million capital gains incentive fee</w:t>
      </w:r>
    </w:p>
    <w:p>
      <w:pPr>
        <w:spacing w:after="0" w:line="90" w:lineRule="exact"/>
        <w:rPr>
          <w:sz w:val="20"/>
          <w:szCs w:val="20"/>
          <w:color w:val="auto"/>
        </w:rPr>
      </w:pPr>
    </w:p>
    <w:p>
      <w:pPr>
        <w:ind w:left="580" w:right="380"/>
        <w:spacing w:after="0" w:line="332" w:lineRule="auto"/>
        <w:rPr>
          <w:sz w:val="20"/>
          <w:szCs w:val="20"/>
          <w:color w:val="auto"/>
        </w:rPr>
      </w:pPr>
      <w:r>
        <w:rPr>
          <w:rFonts w:ascii="Arial" w:cs="Arial" w:eastAsia="Arial" w:hAnsi="Arial"/>
          <w:sz w:val="16"/>
          <w:szCs w:val="16"/>
          <w:color w:val="auto"/>
        </w:rPr>
        <w:t>$7 million cumulative fee (20% multiplied by $35 million ($35 million cumulative realized capital gains without regard to $5 million of unrealized appreciation)) less $6.4 million (previous cumulative capital gains fee paid in Year 2 of $5.0 million and Year 3 of $1.4 million)</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5: None</w:t>
      </w:r>
    </w:p>
    <w:p>
      <w:pPr>
        <w:spacing w:after="0" w:line="90" w:lineRule="exact"/>
        <w:rPr>
          <w:sz w:val="20"/>
          <w:szCs w:val="20"/>
          <w:color w:val="auto"/>
        </w:rPr>
      </w:pPr>
    </w:p>
    <w:p>
      <w:pPr>
        <w:ind w:left="580" w:right="160"/>
        <w:spacing w:after="0" w:line="268" w:lineRule="auto"/>
        <w:rPr>
          <w:sz w:val="20"/>
          <w:szCs w:val="20"/>
          <w:color w:val="auto"/>
        </w:rPr>
      </w:pPr>
      <w:r>
        <w:rPr>
          <w:rFonts w:ascii="Arial" w:cs="Arial" w:eastAsia="Arial" w:hAnsi="Arial"/>
          <w:sz w:val="18"/>
          <w:szCs w:val="18"/>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197" w:lineRule="exact"/>
        <w:rPr>
          <w:sz w:val="20"/>
          <w:szCs w:val="20"/>
          <w:color w:val="auto"/>
        </w:rPr>
      </w:pPr>
    </w:p>
    <w:p>
      <w:pPr>
        <w:ind w:left="580" w:right="80" w:hanging="572"/>
        <w:spacing w:after="0" w:line="195" w:lineRule="auto"/>
        <w:tabs>
          <w:tab w:leader="none" w:pos="58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As illustrated in Year 3 of Alternative 2 above, if PennantPark Floating Rate Capital Ltd. were to be wound up on a date other than December 31 of any year after year 3,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8661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00"/>
          </w:cols>
          <w:pgMar w:left="240" w:top="459" w:right="3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540" w:firstLine="571"/>
        <w:spacing w:after="0" w:line="332" w:lineRule="auto"/>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2016. Unless terminated earlier as described below, the Investment Management Agreement will continue in effect for a period of one year through February 2017.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27"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years ended September 30, 2016, 2015 and 2014, the Investment Adviser was reimbursed approximately $0.8 million, $0.5 million and $0.5 million, respectively, from us, including expenses the Investment Adviser incurred on behalf of the Administrator, for services described above.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90" w:lineRule="exact"/>
        <w:rPr>
          <w:sz w:val="20"/>
          <w:szCs w:val="20"/>
          <w:color w:val="auto"/>
        </w:rPr>
      </w:pPr>
    </w:p>
    <w:p>
      <w:pPr>
        <w:ind w:right="160" w:firstLine="571"/>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us, in February 2016. Unless terminated earlier as described below, our Administration Agreement will continue in effect for a period of one year through February 2017.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9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90"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w:t>
      </w:r>
    </w:p>
    <w:p>
      <w:pPr>
        <w:spacing w:after="0" w:line="27"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800" w:right="560" w:hanging="346"/>
        <w:spacing w:after="0" w:line="268"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800" w:right="140" w:hanging="346"/>
        <w:spacing w:after="0" w:line="306" w:lineRule="auto"/>
        <w:tabs>
          <w:tab w:leader="none" w:pos="8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25" w:lineRule="exact"/>
        <w:rPr>
          <w:rFonts w:ascii="Arial" w:cs="Arial" w:eastAsia="Arial" w:hAnsi="Arial"/>
          <w:sz w:val="16"/>
          <w:szCs w:val="16"/>
          <w:color w:val="auto"/>
        </w:rPr>
      </w:pPr>
    </w:p>
    <w:p>
      <w:pPr>
        <w:ind w:left="800" w:right="120" w:hanging="346"/>
        <w:spacing w:after="0" w:line="268"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 the extent we invest in derivative instruments in the future, such instruments would be valued at fair value in accordance with our valuation policy.</w:t>
      </w:r>
    </w:p>
    <w:p>
      <w:pPr>
        <w:spacing w:after="0" w:line="194"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62"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76" w:lineRule="exact"/>
        <w:rPr>
          <w:rFonts w:ascii="Arial" w:cs="Arial" w:eastAsia="Arial" w:hAnsi="Arial"/>
          <w:sz w:val="18"/>
          <w:szCs w:val="18"/>
          <w:color w:val="auto"/>
        </w:rPr>
      </w:pPr>
    </w:p>
    <w:p>
      <w:pPr>
        <w:jc w:val="both"/>
        <w:ind w:left="900" w:right="200" w:hanging="325"/>
        <w:spacing w:after="0" w:line="30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12"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90"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90"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43"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4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420" w:firstLine="571"/>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Generally, we intend to issue new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new shares will be issued has been determined and elections of our stockholders have been tabulated.</w:t>
      </w:r>
    </w:p>
    <w:p>
      <w:pPr>
        <w:spacing w:after="0" w:line="118"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0"/>
          <w:szCs w:val="10"/>
          <w:color w:val="auto"/>
        </w:rPr>
        <w:t>th</w:t>
      </w:r>
      <w:r>
        <w:rPr>
          <w:rFonts w:ascii="Arial" w:cs="Arial" w:eastAsia="Arial" w:hAnsi="Arial"/>
          <w:sz w:val="16"/>
          <w:szCs w:val="16"/>
          <w:color w:val="auto"/>
        </w:rPr>
        <w:t xml:space="preserve"> Avenue, 3</w:t>
      </w:r>
      <w:r>
        <w:rPr>
          <w:rFonts w:ascii="Arial" w:cs="Arial" w:eastAsia="Arial" w:hAnsi="Arial"/>
          <w:sz w:val="10"/>
          <w:szCs w:val="10"/>
          <w:color w:val="auto"/>
        </w:rPr>
        <w:t>rd</w:t>
      </w:r>
      <w:r>
        <w:rPr>
          <w:rFonts w:ascii="Arial" w:cs="Arial" w:eastAsia="Arial" w:hAnsi="Arial"/>
          <w:sz w:val="16"/>
          <w:szCs w:val="16"/>
          <w:color w:val="auto"/>
        </w:rPr>
        <w:t xml:space="preserve"> Floor, Brooklyn, New York 11219, or by the plan administrator’s Interactive Voice Response System at 1-800-278-4353.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of September 30, 2016,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The last reported closing market price of our common stock on December 14, 2016 was $14.07 per share. As of September 30, 2016, we had 43 stockholders of record.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our outstanding classes of securities as of September 30,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16"/>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100,000,000</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26,730,074</w:t>
            </w:r>
          </w:p>
        </w:tc>
      </w:tr>
      <w:tr>
        <w:trPr>
          <w:trHeight w:val="61"/>
        </w:trPr>
        <w:tc>
          <w:tcPr>
            <w:tcW w:w="5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180" w:firstLine="571"/>
        <w:spacing w:after="0" w:line="286" w:lineRule="auto"/>
        <w:rPr>
          <w:sz w:val="20"/>
          <w:szCs w:val="20"/>
          <w:color w:val="auto"/>
        </w:rPr>
      </w:pPr>
      <w:r>
        <w:rPr>
          <w:rFonts w:ascii="Arial" w:cs="Arial" w:eastAsia="Arial" w:hAnsi="Arial"/>
          <w:sz w:val="16"/>
          <w:szCs w:val="16"/>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w:t>
      </w:r>
    </w:p>
    <w:p>
      <w:pPr>
        <w:ind w:right="700" w:firstLine="8"/>
        <w:spacing w:after="0" w:line="323" w:lineRule="auto"/>
        <w:tabs>
          <w:tab w:leader="none" w:pos="2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63" w:lineRule="exact"/>
        <w:rPr>
          <w:sz w:val="20"/>
          <w:szCs w:val="20"/>
          <w:color w:val="auto"/>
        </w:rPr>
      </w:pPr>
    </w:p>
    <w:p>
      <w:pPr>
        <w:ind w:firstLine="571"/>
        <w:spacing w:after="0" w:line="309" w:lineRule="auto"/>
        <w:rPr>
          <w:sz w:val="20"/>
          <w:szCs w:val="20"/>
          <w:color w:val="auto"/>
        </w:rPr>
      </w:pPr>
      <w:r>
        <w:rPr>
          <w:rFonts w:ascii="Arial" w:cs="Arial" w:eastAsia="Arial" w:hAnsi="Arial"/>
          <w:sz w:val="15"/>
          <w:szCs w:val="15"/>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27" w:lineRule="exact"/>
        <w:rPr>
          <w:sz w:val="20"/>
          <w:szCs w:val="20"/>
          <w:color w:val="auto"/>
        </w:rPr>
      </w:pPr>
    </w:p>
    <w:p>
      <w:pPr>
        <w:ind w:right="460" w:firstLine="571"/>
        <w:spacing w:after="0" w:line="33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4"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80" w:firstLine="571"/>
        <w:spacing w:after="0" w:line="253"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2018, 2019 and 2017,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occured and until a successor is elected and qualifies, subject to any applicable requirements of the 1940 Act.</w:t>
      </w:r>
    </w:p>
    <w:p>
      <w:pPr>
        <w:spacing w:after="0" w:line="39"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360" w:firstLine="571"/>
        <w:spacing w:after="0" w:line="306"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40" w:firstLine="571"/>
        <w:spacing w:after="0" w:line="289"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37"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20" w:firstLine="571"/>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500" w:firstLine="571"/>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60" w:firstLine="571"/>
        <w:spacing w:after="0" w:line="254" w:lineRule="auto"/>
        <w:rPr>
          <w:sz w:val="20"/>
          <w:szCs w:val="20"/>
          <w:color w:val="auto"/>
        </w:rPr>
      </w:pPr>
      <w:r>
        <w:rPr>
          <w:rFonts w:ascii="Arial" w:cs="Arial" w:eastAsia="Arial" w:hAnsi="Arial"/>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90" w:lineRule="exact"/>
        <w:rPr>
          <w:sz w:val="20"/>
          <w:szCs w:val="20"/>
          <w:color w:val="auto"/>
        </w:rPr>
      </w:pPr>
    </w:p>
    <w:p>
      <w:pPr>
        <w:jc w:val="both"/>
        <w:ind w:right="140" w:firstLine="571"/>
        <w:spacing w:after="0" w:line="306"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26"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62"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37" w:lineRule="exact"/>
        <w:rPr>
          <w:sz w:val="20"/>
          <w:szCs w:val="20"/>
          <w:color w:val="auto"/>
        </w:rPr>
      </w:pPr>
    </w:p>
    <w:p>
      <w:pPr>
        <w:ind w:right="320" w:firstLine="571"/>
        <w:spacing w:after="0" w:line="268"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1" w:lineRule="exact"/>
        <w:rPr>
          <w:sz w:val="20"/>
          <w:szCs w:val="20"/>
          <w:color w:val="auto"/>
        </w:rPr>
      </w:pPr>
    </w:p>
    <w:p>
      <w:pPr>
        <w:ind w:right="440" w:firstLine="571"/>
        <w:spacing w:after="0" w:line="332" w:lineRule="auto"/>
        <w:rPr>
          <w:sz w:val="20"/>
          <w:szCs w:val="20"/>
          <w:color w:val="auto"/>
        </w:rPr>
      </w:pPr>
      <w:r>
        <w:rPr>
          <w:rFonts w:ascii="Arial" w:cs="Arial" w:eastAsia="Arial" w:hAnsi="Arial"/>
          <w:sz w:val="16"/>
          <w:szCs w:val="16"/>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76"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51"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76"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4"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4"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and to the extent that any provision of the Maryland General Corporation Law, including the Maryland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76"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76"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76"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7"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5"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99"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76"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7"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00"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36" w:lineRule="exact"/>
        <w:rPr>
          <w:rFonts w:ascii="Arial" w:cs="Arial" w:eastAsia="Arial" w:hAnsi="Arial"/>
          <w:sz w:val="18"/>
          <w:szCs w:val="18"/>
          <w:color w:val="auto"/>
        </w:rPr>
      </w:pPr>
    </w:p>
    <w:p>
      <w:pPr>
        <w:ind w:left="900" w:right="160" w:hanging="325"/>
        <w:spacing w:after="0" w:line="26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36" w:lineRule="exact"/>
        <w:rPr>
          <w:rFonts w:ascii="Arial" w:cs="Arial" w:eastAsia="Arial" w:hAnsi="Arial"/>
          <w:sz w:val="18"/>
          <w:szCs w:val="18"/>
          <w:color w:val="auto"/>
        </w:rPr>
      </w:pPr>
    </w:p>
    <w:p>
      <w:pPr>
        <w:ind w:left="900" w:hanging="325"/>
        <w:spacing w:after="0" w:line="26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36"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99"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right="620" w:firstLine="571"/>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00"/>
          </w:cols>
          <w:pgMar w:left="240" w:top="459" w:right="3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13"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4"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9"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85"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571"/>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16"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76"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37"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62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7"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5"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7"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7"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12"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7" w:lineRule="exact"/>
        <w:rPr>
          <w:rFonts w:ascii="Arial" w:cs="Arial" w:eastAsia="Arial" w:hAnsi="Arial"/>
          <w:sz w:val="18"/>
          <w:szCs w:val="18"/>
          <w:color w:val="auto"/>
        </w:rPr>
      </w:pPr>
    </w:p>
    <w:p>
      <w:pPr>
        <w:ind w:left="900" w:right="380" w:hanging="325"/>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5" w:lineRule="exact"/>
        <w:rPr>
          <w:rFonts w:ascii="Arial" w:cs="Arial" w:eastAsia="Arial" w:hAnsi="Arial"/>
          <w:sz w:val="18"/>
          <w:szCs w:val="18"/>
          <w:color w:val="auto"/>
        </w:rPr>
      </w:pPr>
    </w:p>
    <w:p>
      <w:pPr>
        <w:ind w:left="900" w:right="20" w:hanging="325"/>
        <w:spacing w:after="0" w:line="325"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76"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13" w:lineRule="exact"/>
        <w:rPr>
          <w:sz w:val="20"/>
          <w:szCs w:val="20"/>
          <w:color w:val="auto"/>
        </w:rPr>
      </w:pPr>
    </w:p>
    <w:p>
      <w:pPr>
        <w:jc w:val="both"/>
        <w:ind w:firstLine="571"/>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jc w:val="center"/>
        <w:ind w:left="500" w:right="320"/>
        <w:spacing w:after="0" w:line="440"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 104</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76" w:lineRule="exact"/>
        <w:rPr>
          <w:rFonts w:ascii="Arial" w:cs="Arial" w:eastAsia="Arial" w:hAnsi="Arial"/>
          <w:sz w:val="18"/>
          <w:szCs w:val="18"/>
          <w:color w:val="auto"/>
        </w:rPr>
      </w:pPr>
    </w:p>
    <w:p>
      <w:pPr>
        <w:ind w:left="900" w:right="120" w:hanging="325"/>
        <w:spacing w:after="0" w:line="325"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1" w:lineRule="exact"/>
        <w:rPr>
          <w:rFonts w:ascii="Arial" w:cs="Arial" w:eastAsia="Arial" w:hAnsi="Arial"/>
          <w:sz w:val="16"/>
          <w:szCs w:val="16"/>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76" w:lineRule="exact"/>
        <w:rPr>
          <w:rFonts w:ascii="Arial" w:cs="Arial" w:eastAsia="Arial" w:hAnsi="Arial"/>
          <w:sz w:val="18"/>
          <w:szCs w:val="18"/>
          <w:color w:val="auto"/>
        </w:rPr>
      </w:pPr>
    </w:p>
    <w:p>
      <w:pPr>
        <w:ind w:left="900" w:right="240" w:hanging="325"/>
        <w:spacing w:after="0" w:line="347" w:lineRule="auto"/>
        <w:tabs>
          <w:tab w:leader="none" w:pos="9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76"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36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jc w:val="both"/>
        <w:ind w:right="140" w:firstLine="571"/>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4" w:lineRule="exact"/>
        <w:rPr>
          <w:sz w:val="20"/>
          <w:szCs w:val="20"/>
          <w:color w:val="auto"/>
        </w:rPr>
      </w:pPr>
    </w:p>
    <w:p>
      <w:pPr>
        <w:ind w:left="900" w:right="62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00"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76"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37"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77"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99" w:lineRule="exact"/>
        <w:rPr>
          <w:rFonts w:ascii="Arial" w:cs="Arial" w:eastAsia="Arial" w:hAnsi="Arial"/>
          <w:sz w:val="16"/>
          <w:szCs w:val="16"/>
          <w:color w:val="auto"/>
        </w:rPr>
      </w:pPr>
    </w:p>
    <w:p>
      <w:pPr>
        <w:ind w:left="900" w:right="400" w:hanging="325"/>
        <w:spacing w:after="0" w:line="33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right="8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37"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right="22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45"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400" w:firstLine="571"/>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right="260" w:firstLine="571"/>
        <w:spacing w:after="0" w:line="335" w:lineRule="auto"/>
        <w:rPr>
          <w:sz w:val="20"/>
          <w:szCs w:val="20"/>
          <w:color w:val="auto"/>
        </w:rPr>
      </w:pPr>
      <w:r>
        <w:rPr>
          <w:rFonts w:ascii="Arial" w:cs="Arial" w:eastAsia="Arial" w:hAnsi="Arial"/>
          <w:sz w:val="15"/>
          <w:szCs w:val="15"/>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540" w:firstLine="571"/>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40" w:hanging="325"/>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45"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5" w:lineRule="exact"/>
        <w:rPr>
          <w:rFonts w:ascii="Arial" w:cs="Arial" w:eastAsia="Arial" w:hAnsi="Arial"/>
          <w:sz w:val="15"/>
          <w:szCs w:val="15"/>
          <w:color w:val="auto"/>
        </w:rPr>
      </w:pPr>
    </w:p>
    <w:p>
      <w:pPr>
        <w:ind w:left="900" w:right="160" w:hanging="325"/>
        <w:spacing w:after="0" w:line="370" w:lineRule="auto"/>
        <w:tabs>
          <w:tab w:leader="none" w:pos="9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62"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77"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20" w:firstLine="571"/>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jc w:val="both"/>
        <w:ind w:right="440" w:firstLine="571"/>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60" w:firstLine="571"/>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8"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300" w:firstLine="571"/>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1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540" w:firstLine="571"/>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9" w:lineRule="exact"/>
        <w:rPr>
          <w:sz w:val="20"/>
          <w:szCs w:val="20"/>
          <w:color w:val="auto"/>
        </w:rPr>
      </w:pPr>
    </w:p>
    <w:p>
      <w:pPr>
        <w:ind w:left="800" w:right="40" w:hanging="346"/>
        <w:spacing w:after="0" w:line="256"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8" w:lineRule="exact"/>
        <w:rPr>
          <w:rFonts w:ascii="Arial" w:cs="Arial" w:eastAsia="Arial" w:hAnsi="Arial"/>
          <w:sz w:val="18"/>
          <w:szCs w:val="18"/>
          <w:color w:val="auto"/>
        </w:rPr>
      </w:pPr>
    </w:p>
    <w:p>
      <w:pPr>
        <w:ind w:left="1700" w:hanging="328"/>
        <w:spacing w:after="0"/>
        <w:tabs>
          <w:tab w:leader="none" w:pos="17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76" w:lineRule="exact"/>
        <w:rPr>
          <w:rFonts w:ascii="Arial" w:cs="Arial" w:eastAsia="Arial" w:hAnsi="Arial"/>
          <w:sz w:val="18"/>
          <w:szCs w:val="18"/>
          <w:color w:val="auto"/>
        </w:rPr>
      </w:pPr>
    </w:p>
    <w:p>
      <w:pPr>
        <w:ind w:left="1700" w:right="120" w:hanging="328"/>
        <w:spacing w:after="0" w:line="325" w:lineRule="auto"/>
        <w:tabs>
          <w:tab w:leader="none" w:pos="17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 w:lineRule="exact"/>
        <w:rPr>
          <w:rFonts w:ascii="Arial" w:cs="Arial" w:eastAsia="Arial" w:hAnsi="Arial"/>
          <w:sz w:val="16"/>
          <w:szCs w:val="16"/>
          <w:color w:val="auto"/>
        </w:rPr>
      </w:pPr>
    </w:p>
    <w:p>
      <w:pPr>
        <w:ind w:left="1700" w:hanging="328"/>
        <w:spacing w:after="0"/>
        <w:tabs>
          <w:tab w:leader="none" w:pos="17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76" w:lineRule="exact"/>
        <w:rPr>
          <w:rFonts w:ascii="Arial" w:cs="Arial" w:eastAsia="Arial" w:hAnsi="Arial"/>
          <w:sz w:val="18"/>
          <w:szCs w:val="18"/>
          <w:color w:val="auto"/>
        </w:rPr>
      </w:pPr>
    </w:p>
    <w:p>
      <w:pPr>
        <w:ind w:left="2620" w:hanging="559"/>
        <w:spacing w:after="0"/>
        <w:tabs>
          <w:tab w:leader="none" w:pos="2620" w:val="left"/>
        </w:tabs>
        <w:numPr>
          <w:ilvl w:val="2"/>
          <w:numId w:val="78"/>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76" w:lineRule="exact"/>
        <w:rPr>
          <w:rFonts w:ascii="Arial" w:cs="Arial" w:eastAsia="Arial" w:hAnsi="Arial"/>
          <w:sz w:val="18"/>
          <w:szCs w:val="18"/>
          <w:color w:val="auto"/>
        </w:rPr>
      </w:pPr>
    </w:p>
    <w:p>
      <w:pPr>
        <w:ind w:left="2620" w:right="360" w:hanging="559"/>
        <w:spacing w:after="0" w:line="268" w:lineRule="auto"/>
        <w:tabs>
          <w:tab w:leader="none" w:pos="2620" w:val="left"/>
        </w:tabs>
        <w:numPr>
          <w:ilvl w:val="2"/>
          <w:numId w:val="78"/>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37" w:lineRule="exact"/>
        <w:rPr>
          <w:rFonts w:ascii="Arial" w:cs="Arial" w:eastAsia="Arial" w:hAnsi="Arial"/>
          <w:sz w:val="18"/>
          <w:szCs w:val="18"/>
          <w:color w:val="auto"/>
        </w:rPr>
      </w:pPr>
    </w:p>
    <w:p>
      <w:pPr>
        <w:ind w:left="2620" w:right="500" w:hanging="559"/>
        <w:spacing w:after="0" w:line="306" w:lineRule="auto"/>
        <w:tabs>
          <w:tab w:leader="none" w:pos="2620" w:val="left"/>
        </w:tabs>
        <w:numPr>
          <w:ilvl w:val="2"/>
          <w:numId w:val="78"/>
        </w:numPr>
        <w:rPr>
          <w:rFonts w:ascii="Arial" w:cs="Arial" w:eastAsia="Arial" w:hAnsi="Arial"/>
          <w:sz w:val="16"/>
          <w:szCs w:val="16"/>
          <w:color w:val="auto"/>
        </w:rPr>
      </w:pPr>
      <w:r>
        <w:rPr>
          <w:rFonts w:ascii="Arial" w:cs="Arial" w:eastAsia="Arial" w:hAnsi="Arial"/>
          <w:sz w:val="16"/>
          <w:szCs w:val="16"/>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2" w:lineRule="exact"/>
        <w:rPr>
          <w:rFonts w:ascii="Arial" w:cs="Arial" w:eastAsia="Arial" w:hAnsi="Arial"/>
          <w:sz w:val="16"/>
          <w:szCs w:val="16"/>
          <w:color w:val="auto"/>
        </w:rPr>
      </w:pPr>
    </w:p>
    <w:p>
      <w:pPr>
        <w:ind w:left="800" w:hanging="34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76" w:lineRule="exact"/>
        <w:rPr>
          <w:rFonts w:ascii="Arial" w:cs="Arial" w:eastAsia="Arial" w:hAnsi="Arial"/>
          <w:sz w:val="18"/>
          <w:szCs w:val="18"/>
          <w:color w:val="auto"/>
        </w:rPr>
      </w:pPr>
    </w:p>
    <w:p>
      <w:pPr>
        <w:ind w:left="800" w:right="260" w:hanging="346"/>
        <w:spacing w:after="0" w:line="306" w:lineRule="auto"/>
        <w:tabs>
          <w:tab w:leader="none" w:pos="8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2" w:lineRule="exact"/>
        <w:rPr>
          <w:rFonts w:ascii="Arial" w:cs="Arial" w:eastAsia="Arial" w:hAnsi="Arial"/>
          <w:sz w:val="16"/>
          <w:szCs w:val="16"/>
          <w:color w:val="auto"/>
        </w:rPr>
      </w:pPr>
    </w:p>
    <w:p>
      <w:pPr>
        <w:ind w:left="800" w:right="260" w:hanging="346"/>
        <w:spacing w:after="0" w:line="268"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You may also obtain a copy of our joint code of ethics,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571"/>
        <w:spacing w:after="0" w:line="303" w:lineRule="auto"/>
        <w:rPr>
          <w:sz w:val="20"/>
          <w:szCs w:val="20"/>
          <w:color w:val="auto"/>
        </w:rPr>
      </w:pPr>
      <w:r>
        <w:rPr>
          <w:rFonts w:ascii="Arial" w:cs="Arial" w:eastAsia="Arial" w:hAnsi="Arial"/>
          <w:sz w:val="15"/>
          <w:szCs w:val="15"/>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w:t>
      </w:r>
    </w:p>
    <w:p>
      <w:pPr>
        <w:spacing w:after="0" w:line="1" w:lineRule="exact"/>
        <w:rPr>
          <w:sz w:val="20"/>
          <w:szCs w:val="20"/>
          <w:color w:val="auto"/>
        </w:rPr>
      </w:pPr>
    </w:p>
    <w:p>
      <w:pPr>
        <w:ind w:right="440" w:firstLine="8"/>
        <w:spacing w:after="0" w:line="261" w:lineRule="auto"/>
        <w:tabs>
          <w:tab w:leader="none" w:pos="2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employees involved in the decision making process or vote administration are prohibited from revealing how we intend to vote on a proposal in order to reduce any attempted 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jc w:val="both"/>
        <w:ind w:right="40" w:firstLine="571"/>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900" w:right="36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37"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8"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59" w:right="2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77"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37" w:lineRule="exact"/>
        <w:rPr>
          <w:rFonts w:ascii="Arial" w:cs="Arial" w:eastAsia="Arial" w:hAnsi="Arial"/>
          <w:sz w:val="18"/>
          <w:szCs w:val="18"/>
          <w:color w:val="auto"/>
        </w:rPr>
      </w:pPr>
    </w:p>
    <w:p>
      <w:pPr>
        <w:ind w:left="900" w:right="20" w:hanging="325"/>
        <w:spacing w:after="0" w:line="347" w:lineRule="auto"/>
        <w:tabs>
          <w:tab w:leader="none" w:pos="9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171"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RIC</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income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77"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76"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76" w:lineRule="exact"/>
        <w:rPr>
          <w:rFonts w:ascii="Arial" w:cs="Arial" w:eastAsia="Arial" w:hAnsi="Arial"/>
          <w:sz w:val="18"/>
          <w:szCs w:val="18"/>
          <w:color w:val="auto"/>
        </w:rPr>
      </w:pPr>
    </w:p>
    <w:p>
      <w:pPr>
        <w:ind w:left="1700" w:right="120" w:hanging="328"/>
        <w:spacing w:after="0" w:line="259" w:lineRule="auto"/>
        <w:tabs>
          <w:tab w:leader="none" w:pos="1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45" w:lineRule="exact"/>
        <w:rPr>
          <w:rFonts w:ascii="Arial" w:cs="Arial" w:eastAsia="Arial" w:hAnsi="Arial"/>
          <w:sz w:val="18"/>
          <w:szCs w:val="18"/>
          <w:color w:val="auto"/>
        </w:rPr>
      </w:pPr>
    </w:p>
    <w:p>
      <w:pPr>
        <w:ind w:left="1700" w:right="160" w:hanging="328"/>
        <w:spacing w:after="0" w:line="306" w:lineRule="auto"/>
        <w:tabs>
          <w:tab w:leader="none" w:pos="17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0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and on which we paid no federal income tax,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may retain and be subject to excise tax on such net capital gains or investment company taxable income, subject to maintaining our ability to be treated as a RIC for federal income tax purposes, in order to provide us with additional liquidity.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If we qualify as a RIC, and satisfy the Annual Distribution Requirement, then we will not be subject to federal income tax on the portion of our investment company taxable income and net capital gains,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16"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44"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treated as a RIC for federal income tax purposes.</w:t>
      </w:r>
    </w:p>
    <w:p>
      <w:pPr>
        <w:spacing w:after="0" w:line="116"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303" w:lineRule="auto"/>
        <w:rPr>
          <w:sz w:val="20"/>
          <w:szCs w:val="20"/>
          <w:color w:val="auto"/>
        </w:rPr>
      </w:pPr>
      <w:r>
        <w:rPr>
          <w:rFonts w:ascii="Arial" w:cs="Arial" w:eastAsia="Arial" w:hAnsi="Arial"/>
          <w:sz w:val="15"/>
          <w:szCs w:val="15"/>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w:t>
      </w:r>
    </w:p>
    <w:p>
      <w:pPr>
        <w:spacing w:after="0" w:line="1" w:lineRule="exact"/>
        <w:rPr>
          <w:sz w:val="20"/>
          <w:szCs w:val="20"/>
          <w:color w:val="auto"/>
        </w:rPr>
      </w:pPr>
    </w:p>
    <w:p>
      <w:pPr>
        <w:jc w:val="both"/>
        <w:ind w:right="120" w:firstLine="8"/>
        <w:spacing w:after="0" w:line="255" w:lineRule="auto"/>
        <w:tabs>
          <w:tab w:leader="none" w:pos="24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43"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27" w:lineRule="exact"/>
        <w:rPr>
          <w:sz w:val="20"/>
          <w:szCs w:val="20"/>
          <w:color w:val="auto"/>
        </w:rPr>
      </w:pPr>
    </w:p>
    <w:p>
      <w:pPr>
        <w:ind w:right="2140" w:firstLine="571"/>
        <w:spacing w:after="0" w:line="391" w:lineRule="auto"/>
        <w:rPr>
          <w:sz w:val="20"/>
          <w:szCs w:val="20"/>
          <w:color w:val="auto"/>
        </w:rPr>
      </w:pPr>
      <w:r>
        <w:rPr>
          <w:rFonts w:ascii="Arial" w:cs="Arial" w:eastAsia="Arial" w:hAnsi="Arial"/>
          <w:sz w:val="18"/>
          <w:szCs w:val="18"/>
          <w:color w:val="auto"/>
        </w:rPr>
        <w:t xml:space="preserve">The remainder of this discussion assumes that we qualify as a RIC and have satisfied the Annual Distribution Requirement. </w:t>
      </w:r>
      <w:r>
        <w:rPr>
          <w:rFonts w:ascii="Arial" w:cs="Arial" w:eastAsia="Arial" w:hAnsi="Arial"/>
          <w:sz w:val="18"/>
          <w:szCs w:val="18"/>
          <w:b w:val="1"/>
          <w:bCs w:val="1"/>
          <w:color w:val="auto"/>
        </w:rPr>
        <w:t>Taxation of U.S. Stockholders</w:t>
      </w:r>
    </w:p>
    <w:p>
      <w:pPr>
        <w:spacing w:after="0" w:line="1"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generally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1"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20"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18"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18"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43"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20"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571"/>
        <w:spacing w:after="0" w:line="286"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a rate of 28% from all taxable distributions to any U.S. stockholder</w:t>
      </w:r>
    </w:p>
    <w:p>
      <w:pPr>
        <w:ind w:right="40" w:firstLine="8"/>
        <w:spacing w:after="0" w:line="292" w:lineRule="auto"/>
        <w:tabs>
          <w:tab w:leader="none" w:pos="249" w:val="left"/>
        </w:tabs>
        <w:numPr>
          <w:ilvl w:val="0"/>
          <w:numId w:val="84"/>
        </w:numPr>
        <w:rPr>
          <w:rFonts w:ascii="Arial" w:cs="Arial" w:eastAsia="Arial" w:hAnsi="Arial"/>
          <w:sz w:val="16"/>
          <w:szCs w:val="16"/>
          <w:color w:val="auto"/>
        </w:rPr>
      </w:pPr>
      <w:r>
        <w:rPr>
          <w:rFonts w:ascii="Arial" w:cs="Arial" w:eastAsia="Arial" w:hAnsi="Arial"/>
          <w:sz w:val="16"/>
          <w:szCs w:val="16"/>
          <w:color w:val="auto"/>
        </w:rPr>
        <w:t>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18"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20"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44"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We are required to withhold U.S. tax (at a 30% rate) on payments of taxable dividends and (effective January 1, 2019) redemption proceeds and certain capital gain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20"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171"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11" w:lineRule="exact"/>
        <w:rPr>
          <w:rFonts w:ascii="Arial" w:cs="Arial" w:eastAsia="Arial" w:hAnsi="Arial"/>
          <w:sz w:val="15"/>
          <w:szCs w:val="15"/>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40"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4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18"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225 Liberty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1"/>
          <w:szCs w:val="11"/>
          <w:color w:val="auto"/>
        </w:rPr>
        <w:t>th</w:t>
      </w:r>
      <w:r>
        <w:rPr>
          <w:rFonts w:ascii="Arial" w:cs="Arial" w:eastAsia="Arial" w:hAnsi="Arial"/>
          <w:sz w:val="18"/>
          <w:szCs w:val="18"/>
          <w:color w:val="auto"/>
        </w:rPr>
        <w:t xml:space="preserve"> Avenue, 3</w:t>
      </w:r>
      <w:r>
        <w:rPr>
          <w:rFonts w:ascii="Arial" w:cs="Arial" w:eastAsia="Arial" w:hAnsi="Arial"/>
          <w:sz w:val="11"/>
          <w:szCs w:val="11"/>
          <w:color w:val="auto"/>
        </w:rPr>
        <w:t>rd</w:t>
      </w:r>
      <w:r>
        <w:rPr>
          <w:rFonts w:ascii="Arial" w:cs="Arial" w:eastAsia="Arial" w:hAnsi="Arial"/>
          <w:sz w:val="18"/>
          <w:szCs w:val="18"/>
          <w:color w:val="auto"/>
        </w:rPr>
        <w:t xml:space="preserve"> floor, Brooklyn, NY 11219, telephone number: (800) 937-5449. American Stock Transfer &amp; Trust Company, LLC may also serve as trustee for offerings of our debt securities.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current independent registered public accounting firm, RSM US LLP, located at 1185 Avenue of the Americas, New York, NY 10036, has audited our financial statements as of September 30, 2016 and 2015.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96"/>
        </w:trPr>
        <w:tc>
          <w:tcPr>
            <w:tcW w:w="49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29">
              <w:r>
                <w:rPr>
                  <w:rFonts w:ascii="Arial" w:cs="Arial" w:eastAsia="Arial" w:hAnsi="Arial"/>
                  <w:sz w:val="18"/>
                  <w:szCs w:val="18"/>
                  <w:color w:val="0000EE"/>
                  <w:w w:val="91"/>
                </w:rPr>
                <w:t>Management’s Report on Internal Control Over Financial Reporting</w:t>
              </w:r>
            </w:hyperlink>
          </w:p>
        </w:tc>
        <w:tc>
          <w:tcPr>
            <w:tcW w:w="444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F-2</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Report of Independent Registered Public Accounting Firm</w:t>
              </w:r>
            </w:hyperlink>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F-3</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F-4</w:t>
            </w:r>
          </w:p>
        </w:tc>
        <w:tc>
          <w:tcPr>
            <w:tcW w:w="0" w:type="dxa"/>
            <w:vAlign w:val="bottom"/>
          </w:tcPr>
          <w:p>
            <w:pPr>
              <w:spacing w:after="0" w:line="20" w:lineRule="exact"/>
              <w:rPr>
                <w:sz w:val="1"/>
                <w:szCs w:val="1"/>
                <w:color w:val="auto"/>
              </w:rPr>
            </w:pPr>
          </w:p>
        </w:tc>
      </w:tr>
      <w:tr>
        <w:trPr>
          <w:trHeight w:val="264"/>
        </w:trPr>
        <w:tc>
          <w:tcPr>
            <w:tcW w:w="76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31">
              <w:r>
                <w:rPr>
                  <w:rFonts w:ascii="Arial" w:cs="Arial" w:eastAsia="Arial" w:hAnsi="Arial"/>
                  <w:sz w:val="18"/>
                  <w:szCs w:val="18"/>
                  <w:color w:val="0000EE"/>
                  <w:w w:val="92"/>
                </w:rPr>
                <w:t>Report of Independent Registered Public Accounting Firm On Internal Control Over Financial Reportincg</w:t>
              </w:r>
            </w:hyperlink>
          </w:p>
        </w:tc>
        <w:tc>
          <w:tcPr>
            <w:tcW w:w="1700" w:type="dxa"/>
            <w:vAlign w:val="bottom"/>
            <w:gridSpan w:val="2"/>
          </w:tcPr>
          <w:p>
            <w:pPr>
              <w:spacing w:after="0"/>
              <w:rPr>
                <w:sz w:val="22"/>
                <w:szCs w:val="22"/>
                <w:color w:val="auto"/>
              </w:rPr>
            </w:pPr>
          </w:p>
        </w:tc>
        <w:tc>
          <w:tcPr>
            <w:tcW w:w="1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2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32">
              <w:r>
                <w:rPr>
                  <w:rFonts w:ascii="Arial" w:cs="Arial" w:eastAsia="Arial" w:hAnsi="Arial"/>
                  <w:sz w:val="18"/>
                  <w:szCs w:val="18"/>
                  <w:color w:val="0000EE"/>
                  <w:w w:val="90"/>
                </w:rPr>
                <w:t>Consolidated Statements of Assets and Liabilities as of September 30, 2016 and 2015</w:t>
              </w:r>
            </w:hyperlink>
          </w:p>
        </w:tc>
        <w:tc>
          <w:tcPr>
            <w:tcW w:w="3140" w:type="dxa"/>
            <w:vAlign w:val="bottom"/>
            <w:gridSpan w:val="5"/>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F-5</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33">
              <w:r>
                <w:rPr>
                  <w:rFonts w:ascii="Arial" w:cs="Arial" w:eastAsia="Arial" w:hAnsi="Arial"/>
                  <w:sz w:val="18"/>
                  <w:szCs w:val="18"/>
                  <w:color w:val="0000EE"/>
                  <w:w w:val="89"/>
                </w:rPr>
                <w:t>Consolidated Statements of Operations for the years ended September 30, 2016, 2015 and 2014</w:t>
              </w:r>
            </w:hyperlink>
          </w:p>
        </w:tc>
        <w:tc>
          <w:tcPr>
            <w:tcW w:w="2420" w:type="dxa"/>
            <w:vAlign w:val="bottom"/>
            <w:gridSpan w:val="4"/>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F-6</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Consolidated Statements of Changes in Net Assets for the years ended September 30, 2016, 2015 and 2014</w:t>
              </w:r>
            </w:hyperlink>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F-7</w:t>
            </w:r>
          </w:p>
        </w:tc>
        <w:tc>
          <w:tcPr>
            <w:tcW w:w="0" w:type="dxa"/>
            <w:vAlign w:val="bottom"/>
          </w:tcPr>
          <w:p>
            <w:pPr>
              <w:spacing w:after="0"/>
              <w:rPr>
                <w:sz w:val="1"/>
                <w:szCs w:val="1"/>
                <w:color w:val="auto"/>
              </w:rPr>
            </w:pPr>
          </w:p>
        </w:tc>
      </w:tr>
      <w:tr>
        <w:trPr>
          <w:trHeight w:val="264"/>
        </w:trPr>
        <w:tc>
          <w:tcPr>
            <w:tcW w:w="70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35">
              <w:r>
                <w:rPr>
                  <w:rFonts w:ascii="Arial" w:cs="Arial" w:eastAsia="Arial" w:hAnsi="Arial"/>
                  <w:sz w:val="18"/>
                  <w:szCs w:val="18"/>
                  <w:color w:val="0000EE"/>
                  <w:w w:val="89"/>
                </w:rPr>
                <w:t>Consolidated Statements of Cash Flows for the years ended September 30, 2016, 2015 and 2014</w:t>
              </w:r>
            </w:hyperlink>
          </w:p>
        </w:tc>
        <w:tc>
          <w:tcPr>
            <w:tcW w:w="720" w:type="dxa"/>
            <w:vAlign w:val="bottom"/>
            <w:tcBorders>
              <w:top w:val="single" w:sz="8" w:color="0000EE"/>
            </w:tcBorders>
            <w:gridSpan w:val="2"/>
          </w:tcPr>
          <w:p>
            <w:pPr>
              <w:spacing w:after="0"/>
              <w:rPr>
                <w:sz w:val="22"/>
                <w:szCs w:val="22"/>
                <w:color w:val="auto"/>
              </w:rPr>
            </w:pPr>
          </w:p>
        </w:tc>
        <w:tc>
          <w:tcPr>
            <w:tcW w:w="164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F-8</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36">
              <w:r>
                <w:rPr>
                  <w:rFonts w:ascii="Arial" w:cs="Arial" w:eastAsia="Arial" w:hAnsi="Arial"/>
                  <w:sz w:val="18"/>
                  <w:szCs w:val="18"/>
                  <w:color w:val="0000EE"/>
                  <w:w w:val="89"/>
                </w:rPr>
                <w:t>Consolidated Schedules of Investments as of September 30, 2016 and 2015</w:t>
              </w:r>
            </w:hyperlink>
          </w:p>
        </w:tc>
        <w:tc>
          <w:tcPr>
            <w:tcW w:w="3880" w:type="dxa"/>
            <w:vAlign w:val="bottom"/>
            <w:gridSpan w:val="6"/>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F-9</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Notes to the Consolidated Financial Statements</w:t>
              </w:r>
            </w:hyperlink>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F-15</w:t>
            </w:r>
          </w:p>
        </w:tc>
        <w:tc>
          <w:tcPr>
            <w:tcW w:w="0" w:type="dxa"/>
            <w:vAlign w:val="bottom"/>
          </w:tcPr>
          <w:p>
            <w:pPr>
              <w:spacing w:after="0"/>
              <w:rPr>
                <w:sz w:val="1"/>
                <w:szCs w:val="1"/>
                <w:color w:val="auto"/>
              </w:rPr>
            </w:pPr>
          </w:p>
        </w:tc>
      </w:tr>
      <w:tr>
        <w:trPr>
          <w:trHeight w:val="385"/>
        </w:trPr>
        <w:tc>
          <w:tcPr>
            <w:tcW w:w="34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gridSpan w:val="6"/>
          </w:tcPr>
          <w:p>
            <w:pPr>
              <w:ind w:left="100"/>
              <w:spacing w:after="0"/>
              <w:rPr>
                <w:sz w:val="20"/>
                <w:szCs w:val="20"/>
                <w:color w:val="auto"/>
              </w:rPr>
            </w:pPr>
            <w:r>
              <w:rPr>
                <w:rFonts w:ascii="Arial" w:cs="Arial" w:eastAsia="Arial" w:hAnsi="Arial"/>
                <w:sz w:val="18"/>
                <w:szCs w:val="18"/>
                <w:color w:val="auto"/>
              </w:rPr>
              <w:t>F-1</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0" w:lineRule="exact"/>
        <w:rPr>
          <w:sz w:val="20"/>
          <w:szCs w:val="20"/>
          <w:color w:val="auto"/>
        </w:rPr>
      </w:pPr>
    </w:p>
    <w:p>
      <w:pPr>
        <w:ind w:right="180" w:firstLine="685"/>
        <w:spacing w:after="0" w:line="302" w:lineRule="auto"/>
        <w:rPr>
          <w:sz w:val="20"/>
          <w:szCs w:val="20"/>
          <w:color w:val="auto"/>
        </w:rPr>
      </w:pPr>
      <w:r>
        <w:rPr>
          <w:rFonts w:ascii="Arial" w:cs="Arial" w:eastAsia="Arial" w:hAnsi="Arial"/>
          <w:sz w:val="16"/>
          <w:szCs w:val="16"/>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2016. Our internal control system is a process designed to provide reasonable assurance to our management and board of directors regarding the preparation and fair presentation of published financial statements.</w:t>
      </w:r>
    </w:p>
    <w:p>
      <w:pPr>
        <w:spacing w:after="0" w:line="114"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53"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ind w:right="80" w:firstLine="685"/>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September 30, 2016. In making this assessment, we used the criteria set forth by the Committee of Sponsoring Organizations of the Treadway Commission in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2016,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6" w:lineRule="exact"/>
        <w:rPr>
          <w:sz w:val="20"/>
          <w:szCs w:val="20"/>
          <w:color w:val="auto"/>
        </w:rPr>
      </w:pPr>
    </w:p>
    <w:p>
      <w:pPr>
        <w:ind w:right="160" w:firstLine="685"/>
        <w:spacing w:after="0" w:line="277" w:lineRule="auto"/>
        <w:rPr>
          <w:sz w:val="20"/>
          <w:szCs w:val="20"/>
          <w:color w:val="auto"/>
        </w:rPr>
      </w:pPr>
      <w:r>
        <w:rPr>
          <w:rFonts w:ascii="Arial" w:cs="Arial" w:eastAsia="Arial" w:hAnsi="Arial"/>
          <w:sz w:val="18"/>
          <w:szCs w:val="18"/>
          <w:color w:val="auto"/>
        </w:rPr>
        <w:t>The Company’s independent registered public accounting firm has issued an audit report on the effectiveness of our internal control over financial reporting as of September 30, 2016. This report appears on page 45.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278" w:lineRule="exact"/>
        <w:rPr>
          <w:sz w:val="20"/>
          <w:szCs w:val="20"/>
          <w:color w:val="auto"/>
        </w:rPr>
      </w:pPr>
    </w:p>
    <w:p>
      <w:pPr>
        <w:ind w:right="100" w:firstLine="685"/>
        <w:spacing w:after="0" w:line="257" w:lineRule="auto"/>
        <w:rPr>
          <w:sz w:val="20"/>
          <w:szCs w:val="20"/>
          <w:color w:val="auto"/>
        </w:rPr>
      </w:pPr>
      <w:r>
        <w:rPr>
          <w:rFonts w:ascii="Arial" w:cs="Arial" w:eastAsia="Arial" w:hAnsi="Arial"/>
          <w:sz w:val="18"/>
          <w:szCs w:val="18"/>
          <w:color w:val="auto"/>
        </w:rPr>
        <w:t>We have audited the accompanying consolidated statements of assets and liabilities of PennantPark Floating Rate Capital Ltd. and its Subsidiaries (collectively referred to as the “Company”), including the consolidated schedules of investments as of September 30, 2016 and 2015, and the related consolidated statements of operations, changes in net assets, and cash flows for each of the three years in the period ended September 30, 2016. These consolidated financial statements are the responsibility of the Company’s management. Our responsibility is to express an opinion on these consolidated financial statements based on our audits.</w:t>
      </w:r>
    </w:p>
    <w:p>
      <w:pPr>
        <w:spacing w:after="0" w:line="148"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2016, by correspondence with the custodians and/or portfolio companies.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100" w:firstLine="685"/>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Floating Rate Capital Ltd. and its Subsidiaries as of September 30, 2016 and 2015, and the results of their operations, changes in net assets and their cash flows for the three years in the period then ended September 30, 2016, in conformity with U.S. generally accepted accounting principles.</w:t>
      </w:r>
    </w:p>
    <w:p>
      <w:pPr>
        <w:spacing w:after="0" w:line="106" w:lineRule="exact"/>
        <w:rPr>
          <w:sz w:val="20"/>
          <w:szCs w:val="20"/>
          <w:color w:val="auto"/>
        </w:rPr>
      </w:pPr>
    </w:p>
    <w:p>
      <w:pPr>
        <w:ind w:right="20" w:firstLine="685"/>
        <w:spacing w:after="0" w:line="279"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PennantPark Floating Rate Capital Ltd. and its Subsidiaries’ internal control over financial reporting as of September 30, 2016,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(COSO) in 2013, and our report dated</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22, 2016 expressed an unqualified opinion on the effectiveness of the Company’s internal control over financial reporting.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00"/>
          </w:cols>
          <w:pgMar w:left="240" w:top="459" w:right="3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143" w:lineRule="exact"/>
        <w:rPr>
          <w:sz w:val="20"/>
          <w:szCs w:val="20"/>
          <w:color w:val="auto"/>
        </w:rPr>
      </w:pPr>
    </w:p>
    <w:p>
      <w:pPr>
        <w:ind w:right="400" w:firstLine="685"/>
        <w:spacing w:after="0" w:line="255" w:lineRule="auto"/>
        <w:rPr>
          <w:sz w:val="20"/>
          <w:szCs w:val="20"/>
          <w:color w:val="auto"/>
        </w:rPr>
      </w:pPr>
      <w:r>
        <w:rPr>
          <w:rFonts w:ascii="Arial" w:cs="Arial" w:eastAsia="Arial" w:hAnsi="Arial"/>
          <w:sz w:val="18"/>
          <w:szCs w:val="18"/>
          <w:color w:val="auto"/>
        </w:rPr>
        <w:t xml:space="preserve">We have audited PennantPark Floating Rate Capital Ltd. and its Subsidiaries’ (collectively referred to as the “Company”) internal control over financial reporting as of September 30, 2016,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3" w:lineRule="exact"/>
        <w:rPr>
          <w:sz w:val="20"/>
          <w:szCs w:val="20"/>
          <w:color w:val="auto"/>
        </w:rPr>
      </w:pPr>
    </w:p>
    <w:p>
      <w:pPr>
        <w:ind w:right="80" w:firstLine="685"/>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ind w:firstLine="68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w:t>
      </w:r>
      <w:r>
        <w:rPr>
          <w:rFonts w:ascii="Arial" w:cs="Arial" w:eastAsia="Arial" w:hAnsi="Arial"/>
          <w:sz w:val="16"/>
          <w:szCs w:val="16"/>
          <w:i w:val="1"/>
          <w:iCs w:val="1"/>
          <w:color w:val="auto"/>
        </w:rPr>
        <w:t>a</w:t>
      </w:r>
      <w:r>
        <w:rPr>
          <w:rFonts w:ascii="Arial" w:cs="Arial" w:eastAsia="Arial" w:hAnsi="Arial"/>
          <w:sz w:val="16"/>
          <w:szCs w:val="16"/>
          <w:color w:val="auto"/>
        </w:rPr>
        <w:t>) pertain to the maintenance of records that, in reasonable detail, accurately and fairly reflect the transactions and dispositions of the assets of the company; (</w:t>
      </w:r>
      <w:r>
        <w:rPr>
          <w:rFonts w:ascii="Arial" w:cs="Arial" w:eastAsia="Arial" w:hAnsi="Arial"/>
          <w:sz w:val="16"/>
          <w:szCs w:val="16"/>
          <w:i w:val="1"/>
          <w:iCs w:val="1"/>
          <w:color w:val="auto"/>
        </w:rPr>
        <w:t>b</w:t>
      </w:r>
      <w:r>
        <w:rPr>
          <w:rFonts w:ascii="Arial" w:cs="Arial" w:eastAsia="Arial" w:hAnsi="Arial"/>
          <w:sz w:val="16"/>
          <w:szCs w:val="16"/>
          <w:color w:val="auto"/>
        </w:rPr>
        <w:t>)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r>
        <w:rPr>
          <w:rFonts w:ascii="Arial" w:cs="Arial" w:eastAsia="Arial" w:hAnsi="Arial"/>
          <w:sz w:val="16"/>
          <w:szCs w:val="16"/>
          <w:i w:val="1"/>
          <w:iCs w:val="1"/>
          <w:color w:val="auto"/>
        </w:rPr>
        <w:t>c</w:t>
      </w:r>
      <w:r>
        <w:rPr>
          <w:rFonts w:ascii="Arial" w:cs="Arial" w:eastAsia="Arial" w:hAnsi="Arial"/>
          <w:sz w:val="16"/>
          <w:szCs w:val="16"/>
          <w:color w:val="auto"/>
        </w:rPr>
        <w:t>)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ind w:right="480" w:firstLine="685"/>
        <w:spacing w:after="0" w:line="342" w:lineRule="auto"/>
        <w:rPr>
          <w:sz w:val="20"/>
          <w:szCs w:val="20"/>
          <w:color w:val="auto"/>
        </w:rPr>
      </w:pPr>
      <w:r>
        <w:rPr>
          <w:rFonts w:ascii="Arial" w:cs="Arial" w:eastAsia="Arial" w:hAnsi="Arial"/>
          <w:sz w:val="16"/>
          <w:szCs w:val="16"/>
          <w:color w:val="auto"/>
        </w:rPr>
        <w:t xml:space="preserve">In our opinion, PennantPark Floating Rate Capital Ltd. and its Subsidiaries maintained, in all material respects, effective internal control over financial reporting as of September 30, 2016,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 in 2013.</w:t>
      </w:r>
    </w:p>
    <w:p>
      <w:pPr>
        <w:spacing w:after="0" w:line="83" w:lineRule="exact"/>
        <w:rPr>
          <w:sz w:val="20"/>
          <w:szCs w:val="20"/>
          <w:color w:val="auto"/>
        </w:rPr>
      </w:pPr>
    </w:p>
    <w:p>
      <w:pPr>
        <w:ind w:right="40" w:firstLine="685"/>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statements of assets and liabilities of PennantPark Floating Rate Capital Ltd. and its Subsidiaries, including the schedules of investments as of September 30, 2016 and 2015, and the related consolidated statements of operations, changes in net assets, and cash flows for each of the three years in the period ended September 30, 2016 and our report dated November 22, 2016 expressed an unqualified opinion on those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September 30, 2016</w:t>
            </w:r>
          </w:p>
        </w:tc>
        <w:tc>
          <w:tcPr>
            <w:tcW w:w="220" w:type="dxa"/>
            <w:vAlign w:val="bottom"/>
          </w:tcPr>
          <w:p>
            <w:pPr>
              <w:spacing w:after="0"/>
              <w:rPr>
                <w:sz w:val="14"/>
                <w:szCs w:val="14"/>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September 30, 2015</w:t>
            </w:r>
          </w:p>
        </w:tc>
      </w:tr>
      <w:tr>
        <w:trPr>
          <w:trHeight w:val="196"/>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Non-controlled, non-affiliated investments (cost—$597,910,267 and $394,561,175, respectively)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598,887,525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388,535,383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Controlled, affiliated investments (cost—$0 and $2,777,132, respectively)</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2,776,507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of investments (cost—$597,910,267 and $397,338,307, respectively)</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598,887,525</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391,311,890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and cash equivalents (cost—$28,903,359 and $21,428,514, respectively)</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28,910,973</w:t>
            </w:r>
          </w:p>
        </w:tc>
        <w:tc>
          <w:tcPr>
            <w:tcW w:w="2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21,428,514</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2,480,406</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1,959,404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1,141,191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1,420,529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631,420,095</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416,120,337</w:t>
            </w:r>
          </w:p>
        </w:tc>
        <w:tc>
          <w:tcPr>
            <w:tcW w:w="120" w:type="dxa"/>
            <w:vAlign w:val="bottom"/>
            <w:shd w:val="clear" w:color="auto" w:fill="CCEEFF"/>
          </w:tcPr>
          <w:p>
            <w:pPr>
              <w:spacing w:after="0"/>
              <w:rPr>
                <w:sz w:val="18"/>
                <w:szCs w:val="18"/>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2,539,357</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2,539,357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14,935,970</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9,367,500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4"/>
              </w:rPr>
              <w:t>Credit Facility payable (cost—$232,907,500 and $29,600,000, respectively) (See Notes 5 and 11)</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232,389,498</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29,600,000</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531,926</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224,633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1,458,625</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956,115</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3,454,914</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202,977</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539,347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6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255,513,267</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43,229,888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12)</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26,730,074 shares issued and outstanding.</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 value $0.001 per share and 100,000,000 shares authorized.</w:t>
            </w:r>
          </w:p>
        </w:tc>
        <w:tc>
          <w:tcPr>
            <w:tcW w:w="20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26,730</w:t>
            </w:r>
          </w:p>
        </w:tc>
        <w:tc>
          <w:tcPr>
            <w:tcW w:w="2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26,730</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371,194,366</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371,502,801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4,559,646</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6,991,473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Accumulated net realized (loss) gain on investments</w:t>
            </w:r>
          </w:p>
        </w:tc>
        <w:tc>
          <w:tcPr>
            <w:tcW w:w="2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(1,376,788)</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395,862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984,872</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(6,026,417)</w:t>
            </w: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518,002</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net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375,906,828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372,890,449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640"/>
              <w:spacing w:after="0"/>
              <w:rPr>
                <w:sz w:val="20"/>
                <w:szCs w:val="20"/>
                <w:color w:val="auto"/>
              </w:rPr>
            </w:pPr>
            <w:r>
              <w:rPr>
                <w:rFonts w:ascii="Arial" w:cs="Arial" w:eastAsia="Arial" w:hAnsi="Arial"/>
                <w:sz w:val="18"/>
                <w:szCs w:val="18"/>
                <w:b w:val="1"/>
                <w:bCs w:val="1"/>
                <w:color w:val="auto"/>
              </w:rPr>
              <w:t>Total liabilities and net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631,420,095</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416,120,337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2"/>
              </w:rPr>
              <w:t>Years Ended September 30,</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40,561,694</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29,203,963</w:t>
            </w: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29,256,441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2,334,330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1,151,336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1,100,391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Settlement proceeds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3,299,764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105,502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400"/>
              <w:spacing w:after="0"/>
              <w:rPr>
                <w:sz w:val="20"/>
                <w:szCs w:val="20"/>
                <w:color w:val="auto"/>
              </w:rPr>
            </w:pPr>
            <w:r>
              <w:rPr>
                <w:rFonts w:ascii="Arial" w:cs="Arial" w:eastAsia="Arial" w:hAnsi="Arial"/>
                <w:sz w:val="18"/>
                <w:szCs w:val="18"/>
                <w:b w:val="1"/>
                <w:bCs w:val="1"/>
                <w:color w:val="auto"/>
              </w:rPr>
              <w:t>Total investment income</w:t>
            </w: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46,301,290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30,355,299</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30,356,832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Base management fee (See Note 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5,015,077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3,572,614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3,702,826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Performance-based incentive fee (See Note 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4,791,574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1,114,972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Interest and expenses on the Credit Facility (See Note 11)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4,923,219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3,251,761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3,471,347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Administrative services expenses (See Note 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1,148,281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837,708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Other general and administrative expenses</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2,179,257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1,176,769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Expenses before provision for taxes and amendment costs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18,057,408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9,953,824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12,528,802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Provision for taxes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440,000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Credit Facility amendment costs (See Notes 5 and 11)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907,722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2,301,478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40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18,965,130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12,695,302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13,721,157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investment income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27,336,160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17,659,997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16,635,675</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(loss) gain on investments and Credit Facility:</w:t>
            </w: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gain on non-controlled, non-affiliated investments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(1,376,788)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395,862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Non-controlled, non-affiliated investments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7,011,289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(6,100,614)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Credit Facility depreciation (appreciation) (See Note 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518,002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549,000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w w:val="91"/>
              </w:rPr>
              <w:t>Net change in unrealized appreciation (depreciation) on investments and Credit</w:t>
            </w:r>
          </w:p>
        </w:tc>
        <w:tc>
          <w:tcPr>
            <w:tcW w:w="1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Facility</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7,529,291</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(5,551,614)</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1,004,771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6,152,503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(5,155,752)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3,878,296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33,488,663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12,504,245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20,513,971</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Years Ended September 30,</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27,336,160</w:t>
            </w:r>
          </w:p>
        </w:tc>
        <w:tc>
          <w:tcPr>
            <w:tcW w:w="100" w:type="dxa"/>
            <w:vAlign w:val="bottom"/>
          </w:tcPr>
          <w:p>
            <w:pPr>
              <w:spacing w:after="0"/>
              <w:rPr>
                <w:sz w:val="18"/>
                <w:szCs w:val="18"/>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17,659,997</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16,635,675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(loss) gain on investments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(1,376,788)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395,862</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7,011,289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(6,100,614)</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1,553,771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 change in unrealized depreciation (appreciation) on Credit Facility</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549,000</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0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33,488,663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12,504,245</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20,513,971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Distribution of net investment income</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(30,076,422)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(15,976,507)</w:t>
            </w: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(12,477,719)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 of realized gains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(395,862)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(2,882,909)</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(3,574,936)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00"/>
              <w:spacing w:after="0"/>
              <w:rPr>
                <w:sz w:val="20"/>
                <w:szCs w:val="20"/>
                <w:color w:val="auto"/>
              </w:rPr>
            </w:pPr>
            <w:r>
              <w:rPr>
                <w:rFonts w:ascii="Arial" w:cs="Arial" w:eastAsia="Arial" w:hAnsi="Arial"/>
                <w:sz w:val="18"/>
                <w:szCs w:val="18"/>
                <w:b w:val="1"/>
                <w:bCs w:val="1"/>
                <w:color w:val="auto"/>
              </w:rPr>
              <w:t>Total distributions to stockholders</w:t>
            </w:r>
          </w:p>
        </w:tc>
        <w:tc>
          <w:tcPr>
            <w:tcW w:w="3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(30,472,284)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(18,859,416)</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(16,052,655)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Acquisition of MCG assets (See Note 13)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164,717,910</w:t>
            </w:r>
          </w:p>
        </w:tc>
        <w:tc>
          <w:tcPr>
            <w:tcW w:w="3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164,717,910</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w:t>
            </w:r>
          </w:p>
        </w:tc>
        <w:tc>
          <w:tcPr>
            <w:tcW w:w="3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3,016,379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158,362,739</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4,461,316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372,890,449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214,527,710</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210,066,394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375,906,828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372,890,449</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214,527,710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200"/>
              <w:spacing w:after="0"/>
              <w:rPr>
                <w:sz w:val="20"/>
                <w:szCs w:val="20"/>
                <w:color w:val="auto"/>
              </w:rPr>
            </w:pPr>
            <w:r>
              <w:rPr>
                <w:rFonts w:ascii="Arial" w:cs="Arial" w:eastAsia="Arial" w:hAnsi="Arial"/>
                <w:sz w:val="18"/>
                <w:szCs w:val="18"/>
                <w:color w:val="auto"/>
              </w:rPr>
              <w:t>Undistributed net investment income, end of year</w:t>
            </w: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4,559,646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6,991,473</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Shares issued</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11,832,018</w:t>
            </w:r>
          </w:p>
        </w:tc>
        <w:tc>
          <w:tcPr>
            <w:tcW w:w="3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Years Ended September 30,</w:t>
            </w: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Net increase in net assets resulting from operations</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33,488,663</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12,504,245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20,513,971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Adjustments to reconcile net increase in net assets resulting from</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operations to net cash used in operating activities:</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w w:val="94"/>
              </w:rPr>
              <w:t>Net change in unrealized (appreciation) depreciation on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(7,011,289)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6,100,614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(1,553,771)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Net change in unrealized (depreciation) appreciation on Credit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Facility</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(518,002)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(549,000)</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Net realized loss (gain) on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1,376,788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(395,862)</w:t>
            </w: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(2,873,525)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(1,679,006)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(1,240,781)</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(364,442,810)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(224,170,119)</w:t>
            </w: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(248,124,673)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Payment-in-kind interest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(108,066)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(655,580)</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164,178,802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195,049,580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225,614,700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interest receivable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(521,002)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(185,534)</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Decrease (increase) in receivable for investments sold</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9,001,938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(5,342,753)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Decrease (increase) in prepaid expenses and other assets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(315,139)</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Increase (decrease) in payable for investments purchased</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5,568,470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6,205,500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(10,859,588)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interest payable on Credit Facility</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(60,273)</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Increase in management fee payable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502,510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41,137</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performance-based incentive fee payable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3,451,978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(2,177,668)</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(Decrease) increase in accrued other expenses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(336,370)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(1,358,635)</w:t>
            </w:r>
          </w:p>
        </w:tc>
        <w:tc>
          <w:tcPr>
            <w:tcW w:w="4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18,480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(165,462,703)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(2,205,577)</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(22,249,022)</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Acquisition of MCG assets (See Note 13)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144,981,158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(30,472,284)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(17,660,884)</w:t>
            </w: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(16,015,410)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Borrowings under Credit Facility (See Notes 5 and 11)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260,707,500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130,700,000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Repayments under Credit Facility (See Notes 5 and 11)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(57,400,000)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(247,500,000)</w:t>
            </w:r>
          </w:p>
        </w:tc>
        <w:tc>
          <w:tcPr>
            <w:tcW w:w="4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172,835,216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10,520,274</w:t>
            </w: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30,784,590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7,372,513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8,314,697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8,535,568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21,428,514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13,113,817</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4,578,249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28,910,973</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21,428,514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13,113,817</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4,615,926</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3,313,701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200"/>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430,242</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exchanges and conversions</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4,843,385</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670,283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200"/>
              <w:spacing w:after="0"/>
              <w:rPr>
                <w:sz w:val="20"/>
                <w:szCs w:val="20"/>
                <w:color w:val="auto"/>
              </w:rPr>
            </w:pPr>
            <w:r>
              <w:rPr>
                <w:rFonts w:ascii="Arial" w:cs="Arial" w:eastAsia="Arial" w:hAnsi="Arial"/>
                <w:sz w:val="18"/>
                <w:szCs w:val="18"/>
                <w:color w:val="auto"/>
                <w:w w:val="92"/>
              </w:rPr>
              <w:t>Investments acquired from MCG in exchange for shares issued (See Note</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400"/>
              <w:spacing w:after="0"/>
              <w:rPr>
                <w:sz w:val="20"/>
                <w:szCs w:val="20"/>
                <w:color w:val="auto"/>
              </w:rPr>
            </w:pPr>
            <w:r>
              <w:rPr>
                <w:rFonts w:ascii="Arial" w:cs="Arial" w:eastAsia="Arial" w:hAnsi="Arial"/>
                <w:sz w:val="18"/>
                <w:szCs w:val="18"/>
                <w:color w:val="auto"/>
              </w:rPr>
              <w:t>13)</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20,277,132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other assets from MCG (See Note 13)</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549,031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200"/>
              <w:spacing w:after="0"/>
              <w:rPr>
                <w:sz w:val="20"/>
                <w:szCs w:val="20"/>
                <w:color w:val="auto"/>
              </w:rPr>
            </w:pPr>
            <w:r>
              <w:rPr>
                <w:rFonts w:ascii="Arial" w:cs="Arial" w:eastAsia="Arial" w:hAnsi="Arial"/>
                <w:sz w:val="18"/>
                <w:szCs w:val="18"/>
                <w:color w:val="auto"/>
              </w:rPr>
              <w:t>Acquisition of other liabilities from MCG (See Note 13)</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1,089,411</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0" w:type="dxa"/>
            <w:vAlign w:val="bottom"/>
          </w:tcPr>
          <w:p>
            <w:pPr>
              <w:spacing w:after="0"/>
              <w:rPr>
                <w:sz w:val="11"/>
                <w:szCs w:val="11"/>
                <w:color w:val="auto"/>
              </w:rPr>
            </w:pPr>
          </w:p>
        </w:tc>
        <w:tc>
          <w:tcPr>
            <w:tcW w:w="20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70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72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540" w:type="dxa"/>
            <w:vAlign w:val="bottom"/>
            <w:vMerge w:val="continue"/>
          </w:tcPr>
          <w:p>
            <w:pPr>
              <w:spacing w:after="0"/>
              <w:rPr>
                <w:sz w:val="12"/>
                <w:szCs w:val="12"/>
                <w:color w:val="auto"/>
              </w:rPr>
            </w:pPr>
          </w:p>
        </w:tc>
        <w:tc>
          <w:tcPr>
            <w:tcW w:w="1000" w:type="dxa"/>
            <w:vAlign w:val="bottom"/>
          </w:tcPr>
          <w:p>
            <w:pPr>
              <w:jc w:val="center"/>
              <w:ind w:left="122"/>
              <w:spacing w:after="0"/>
              <w:rPr>
                <w:sz w:val="20"/>
                <w:szCs w:val="20"/>
                <w:color w:val="auto"/>
              </w:rPr>
            </w:pPr>
            <w:r>
              <w:rPr>
                <w:rFonts w:ascii="Arial" w:cs="Arial" w:eastAsia="Arial" w:hAnsi="Arial"/>
                <w:sz w:val="12"/>
                <w:szCs w:val="12"/>
                <w:b w:val="1"/>
                <w:bCs w:val="1"/>
                <w:color w:val="auto"/>
                <w:w w:val="98"/>
              </w:rPr>
              <w:t>Maturity</w:t>
            </w:r>
          </w:p>
        </w:tc>
        <w:tc>
          <w:tcPr>
            <w:tcW w:w="2060" w:type="dxa"/>
            <w:vAlign w:val="bottom"/>
            <w:vMerge w:val="continue"/>
          </w:tcPr>
          <w:p>
            <w:pPr>
              <w:spacing w:after="0"/>
              <w:rPr>
                <w:sz w:val="12"/>
                <w:szCs w:val="12"/>
                <w:color w:val="auto"/>
              </w:rPr>
            </w:pPr>
          </w:p>
        </w:tc>
        <w:tc>
          <w:tcPr>
            <w:tcW w:w="700" w:type="dxa"/>
            <w:vAlign w:val="bottom"/>
          </w:tcPr>
          <w:p>
            <w:pPr>
              <w:jc w:val="right"/>
              <w:ind w:right="122"/>
              <w:spacing w:after="0"/>
              <w:rPr>
                <w:sz w:val="20"/>
                <w:szCs w:val="20"/>
                <w:color w:val="auto"/>
              </w:rPr>
            </w:pPr>
            <w:r>
              <w:rPr>
                <w:rFonts w:ascii="Arial" w:cs="Arial" w:eastAsia="Arial" w:hAnsi="Arial"/>
                <w:sz w:val="12"/>
                <w:szCs w:val="12"/>
                <w:b w:val="1"/>
                <w:bCs w:val="1"/>
                <w:color w:val="auto"/>
              </w:rPr>
              <w:t>Coupon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72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34"/>
        </w:trPr>
        <w:tc>
          <w:tcPr>
            <w:tcW w:w="454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97"/>
              </w:rPr>
              <w:t xml:space="preserve">Investments in Non-Controlled, Non-Affiliated Portfolio Companies—159.3% </w:t>
            </w:r>
            <w:r>
              <w:rPr>
                <w:rFonts w:ascii="Arial" w:cs="Arial" w:eastAsia="Arial" w:hAnsi="Arial"/>
                <w:sz w:val="9"/>
                <w:szCs w:val="9"/>
                <w:b w:val="1"/>
                <w:bCs w:val="1"/>
                <w:color w:val="auto"/>
                <w:w w:val="97"/>
              </w:rPr>
              <w:t>(3), (4)</w:t>
            </w:r>
          </w:p>
        </w:tc>
        <w:tc>
          <w:tcPr>
            <w:tcW w:w="1000" w:type="dxa"/>
            <w:vAlign w:val="bottom"/>
            <w:tcBorders>
              <w:top w:val="single" w:sz="8" w:color="auto"/>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Debt—145.9%</w:t>
            </w:r>
          </w:p>
        </w:tc>
        <w:tc>
          <w:tcPr>
            <w:tcW w:w="10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Advanced Cable Communications,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08/09/2021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12,500,000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w w:val="98"/>
              </w:rPr>
              <w:t>$12,255,990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  12,250,000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08/09/2021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4,000,000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ALG USA Holdings,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02/28/2019</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12,064,454</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12,037,105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12,064,454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04/04/2022</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3,943,925</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3,925,777</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3,946,410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American Bath Group,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10/02/2023</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3,000,000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2,970,000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2,992,500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Scaffold</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03/31/2022</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4,866,801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4,888,125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AMF Bowling Centers,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09/19/2023</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91"/>
              </w:rPr>
              <w:t>Retail</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15,000,000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14,850,608</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14,931,300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 Gaming I,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12/21/2020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6,534,878</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6,462,308</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6,220,419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API Technologies Corp.</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04/22/2022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9,975,000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9,787,810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9,825,375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Azure Midstream Energy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11/15/2018</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Energy: Oil and Gas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5,125,684</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5,042,414</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4,228,689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Blue Bird Body Company</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06/29/2020</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93"/>
              </w:rPr>
              <w:t>Automotive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3,498,670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3,462,806</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3,498,670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 Tranche A</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06/03/2021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2,440,000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2,397,229</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2,422,820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Broder Bros., Co., Tranche B</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06/03/2021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13.50%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L+1,225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2,460,000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2,415,653</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2,442,679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Camin Cargo Control,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06/30/2021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Transportation: Cargo</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2,468,750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2,448,157</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2,370,000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CareCentrix,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07/08/2021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4,950,000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4,847,215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4,863,375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07/02/2020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4,962,500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4,930,912</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4,850,844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CD&amp;R TZ Purchaser,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07/21/2023</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12,500,000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12,179,928</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12,343,750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Charming Charlie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12/24/2019</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91"/>
              </w:rPr>
              <w:t>Retail</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4,098,750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4,061,551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3,750,357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2"/>
                <w:szCs w:val="12"/>
                <w:color w:val="auto"/>
              </w:rPr>
              <w:t>Chicken Soup for the Soul Publishing, LLC</w:t>
            </w:r>
          </w:p>
        </w:tc>
        <w:tc>
          <w:tcPr>
            <w:tcW w:w="1000" w:type="dxa"/>
            <w:vAlign w:val="bottom"/>
          </w:tcPr>
          <w:p>
            <w:pPr>
              <w:jc w:val="center"/>
              <w:ind w:left="122"/>
              <w:spacing w:after="0" w:line="129" w:lineRule="exact"/>
              <w:rPr>
                <w:sz w:val="20"/>
                <w:szCs w:val="20"/>
                <w:color w:val="auto"/>
              </w:rPr>
            </w:pPr>
            <w:r>
              <w:rPr>
                <w:rFonts w:ascii="Arial" w:cs="Arial" w:eastAsia="Arial" w:hAnsi="Arial"/>
                <w:sz w:val="12"/>
                <w:szCs w:val="12"/>
                <w:color w:val="auto"/>
                <w:w w:val="89"/>
              </w:rPr>
              <w:t>01/08/2019</w:t>
            </w:r>
          </w:p>
        </w:tc>
        <w:tc>
          <w:tcPr>
            <w:tcW w:w="206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7.50%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L+625</w:t>
            </w:r>
          </w:p>
        </w:tc>
        <w:tc>
          <w:tcPr>
            <w:tcW w:w="7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4,828,571</w:t>
            </w:r>
          </w:p>
        </w:tc>
        <w:tc>
          <w:tcPr>
            <w:tcW w:w="780" w:type="dxa"/>
            <w:vAlign w:val="bottom"/>
          </w:tcPr>
          <w:p>
            <w:pPr>
              <w:jc w:val="right"/>
              <w:ind w:right="42"/>
              <w:spacing w:after="0" w:line="129" w:lineRule="exact"/>
              <w:rPr>
                <w:sz w:val="20"/>
                <w:szCs w:val="20"/>
                <w:color w:val="auto"/>
              </w:rPr>
            </w:pPr>
            <w:r>
              <w:rPr>
                <w:rFonts w:ascii="Arial" w:cs="Arial" w:eastAsia="Arial" w:hAnsi="Arial"/>
                <w:sz w:val="12"/>
                <w:szCs w:val="12"/>
                <w:color w:val="auto"/>
              </w:rPr>
              <w:t>4,801,254</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4,732,000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Corfin Industries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11/25/2020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L+975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6,272,600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6,163,749</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6,272,600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(10)</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11/25/2020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518,033</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CRGT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12/21/2020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10,531,671</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10,451,145</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10,505,342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Curo Health Services Holdings,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02/07/2022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1,970,000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1,953,997</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1,970,000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DBI Holding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08/02/2021</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5"/>
              </w:rPr>
              <w:t>Business Services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9,900,163</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DCS Business Services,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03/19/2018</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85"/>
              </w:rPr>
              <w:t>Business Services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L+725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2,237,139</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2,225,615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2,237,139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DISA Global Solutions,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12/09/2020</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5"/>
              </w:rPr>
              <w:t>Business Services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4,925,000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4,889,096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4,875,750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06/30/2020</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87"/>
              </w:rPr>
              <w:t>Chemicals, Plastics and Rubber</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4,687,500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4,659,016</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4,687,500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09/10/2020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8,550,000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8,513,835</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8,507,250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09/10/2020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Education Networks of America,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05/06/2021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8,641,304</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8,599,431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8,598,098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Education Networks of America, Inc. (Revolver)</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05/06/2021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434,783</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434,783</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434,783</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(10)</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05/06/2021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869,565</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Efficient Collaborative Retail Marketing Company,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06/15/2022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10,972,500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10,864,398</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10,972,500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Emerging Markets Communications,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07/01/2021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4,875,844</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4,702,969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FHC Health Systems,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12/23/2021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L+400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4,925,000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4,884,041</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4,798,821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GlobalLogic Holdings,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05/31/2019</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3,890,000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3,867,640</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3,880,275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Greenway Health,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11/04/2020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6,807,500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6,765,938</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6,620,294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GTCR Valor Companies,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06/16/2023</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Media: Broadcasting and Subscription</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7,481,250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7,191,975</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7,116,539</w:t>
            </w: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2"/>
                <w:szCs w:val="12"/>
                <w:color w:val="auto"/>
              </w:rPr>
              <w:t>Harbortouch Payments, LLC</w:t>
            </w:r>
          </w:p>
        </w:tc>
        <w:tc>
          <w:tcPr>
            <w:tcW w:w="1000" w:type="dxa"/>
            <w:vAlign w:val="bottom"/>
          </w:tcPr>
          <w:p>
            <w:pPr>
              <w:jc w:val="center"/>
              <w:ind w:left="122"/>
              <w:spacing w:after="0" w:line="129" w:lineRule="exact"/>
              <w:rPr>
                <w:sz w:val="20"/>
                <w:szCs w:val="20"/>
                <w:color w:val="auto"/>
              </w:rPr>
            </w:pPr>
            <w:r>
              <w:rPr>
                <w:rFonts w:ascii="Arial" w:cs="Arial" w:eastAsia="Arial" w:hAnsi="Arial"/>
                <w:sz w:val="12"/>
                <w:szCs w:val="12"/>
                <w:color w:val="auto"/>
                <w:w w:val="89"/>
              </w:rPr>
              <w:t>05/31/2022</w:t>
            </w:r>
          </w:p>
        </w:tc>
        <w:tc>
          <w:tcPr>
            <w:tcW w:w="2060" w:type="dxa"/>
            <w:vAlign w:val="bottom"/>
          </w:tcPr>
          <w:p>
            <w:pPr>
              <w:jc w:val="center"/>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6,956,250</w:t>
            </w:r>
          </w:p>
        </w:tc>
        <w:tc>
          <w:tcPr>
            <w:tcW w:w="780" w:type="dxa"/>
            <w:vAlign w:val="bottom"/>
          </w:tcPr>
          <w:p>
            <w:pPr>
              <w:jc w:val="right"/>
              <w:ind w:right="42"/>
              <w:spacing w:after="0" w:line="129" w:lineRule="exact"/>
              <w:rPr>
                <w:sz w:val="20"/>
                <w:szCs w:val="20"/>
                <w:color w:val="auto"/>
              </w:rPr>
            </w:pPr>
            <w:r>
              <w:rPr>
                <w:rFonts w:ascii="Arial" w:cs="Arial" w:eastAsia="Arial" w:hAnsi="Arial"/>
                <w:sz w:val="12"/>
                <w:szCs w:val="12"/>
                <w:color w:val="auto"/>
              </w:rPr>
              <w:t>6,889,369</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7,025,812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88"/>
              </w:rPr>
              <w:t>Estate</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Highline Aftermarket Acquisition, LLC (f/k/a DYK Prime Acquisition,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04/01/2022</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7,312,500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7,244,146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7,275,937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10/21/2020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1,165,886</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1,153,016</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1,142,569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Hostway Corporation</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12/13/2019</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2,624,730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2,610,592</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2,183,890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08/05/2019</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6,256,250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6,218,559</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5,505,500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11/04/2020</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90"/>
              </w:rPr>
              <w:t>Construction and Building</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6,225,820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6,133,990</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6,225,820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Idera,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04/09/2021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7,942,494</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7,293,179</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7,684,363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05/01/2019</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5"/>
              </w:rPr>
              <w:t>Business Services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8,676,097</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8,614,521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8,242,292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2"/>
                <w:szCs w:val="12"/>
                <w:color w:val="auto"/>
              </w:rPr>
              <w:t>Imagine! Print Solutions, LLC</w:t>
            </w:r>
          </w:p>
        </w:tc>
        <w:tc>
          <w:tcPr>
            <w:tcW w:w="1000" w:type="dxa"/>
            <w:vAlign w:val="bottom"/>
          </w:tcPr>
          <w:p>
            <w:pPr>
              <w:jc w:val="center"/>
              <w:ind w:left="122"/>
              <w:spacing w:after="0" w:line="129" w:lineRule="exact"/>
              <w:rPr>
                <w:sz w:val="20"/>
                <w:szCs w:val="20"/>
                <w:color w:val="auto"/>
              </w:rPr>
            </w:pPr>
            <w:r>
              <w:rPr>
                <w:rFonts w:ascii="Arial" w:cs="Arial" w:eastAsia="Arial" w:hAnsi="Arial"/>
                <w:sz w:val="12"/>
                <w:szCs w:val="12"/>
                <w:color w:val="auto"/>
                <w:w w:val="89"/>
              </w:rPr>
              <w:t>03/30/2022</w:t>
            </w:r>
          </w:p>
        </w:tc>
        <w:tc>
          <w:tcPr>
            <w:tcW w:w="206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5,974,987</w:t>
            </w:r>
          </w:p>
        </w:tc>
        <w:tc>
          <w:tcPr>
            <w:tcW w:w="780" w:type="dxa"/>
            <w:vAlign w:val="bottom"/>
          </w:tcPr>
          <w:p>
            <w:pPr>
              <w:jc w:val="right"/>
              <w:ind w:right="42"/>
              <w:spacing w:after="0" w:line="129" w:lineRule="exact"/>
              <w:rPr>
                <w:sz w:val="20"/>
                <w:szCs w:val="20"/>
                <w:color w:val="auto"/>
              </w:rPr>
            </w:pPr>
            <w:r>
              <w:rPr>
                <w:rFonts w:ascii="Arial" w:cs="Arial" w:eastAsia="Arial" w:hAnsi="Arial"/>
                <w:sz w:val="12"/>
                <w:szCs w:val="12"/>
                <w:color w:val="auto"/>
              </w:rPr>
              <w:t>5,914,562</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6,027,269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5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Instant Web, LLC, Term Loan A</w:t>
            </w:r>
          </w:p>
        </w:tc>
        <w:tc>
          <w:tcPr>
            <w:tcW w:w="1000" w:type="dxa"/>
            <w:vAlign w:val="bottom"/>
            <w:shd w:val="clear" w:color="auto" w:fill="CCEEFF"/>
          </w:tcPr>
          <w:p>
            <w:pPr>
              <w:jc w:val="center"/>
              <w:ind w:left="122"/>
              <w:spacing w:after="0" w:line="129" w:lineRule="exact"/>
              <w:rPr>
                <w:sz w:val="20"/>
                <w:szCs w:val="20"/>
                <w:color w:val="auto"/>
              </w:rPr>
            </w:pPr>
            <w:r>
              <w:rPr>
                <w:rFonts w:ascii="Arial" w:cs="Arial" w:eastAsia="Arial" w:hAnsi="Arial"/>
                <w:sz w:val="12"/>
                <w:szCs w:val="12"/>
                <w:color w:val="auto"/>
                <w:w w:val="89"/>
              </w:rPr>
              <w:t>03/28/2019</w:t>
            </w:r>
          </w:p>
        </w:tc>
        <w:tc>
          <w:tcPr>
            <w:tcW w:w="206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L+450</w:t>
            </w:r>
          </w:p>
        </w:tc>
        <w:tc>
          <w:tcPr>
            <w:tcW w:w="72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5,277,938</w:t>
            </w:r>
          </w:p>
        </w:tc>
        <w:tc>
          <w:tcPr>
            <w:tcW w:w="78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5,235,239</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5,277,938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Publishing</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2"/>
                <w:szCs w:val="12"/>
                <w:color w:val="auto"/>
              </w:rPr>
              <w:t>Instant Web, LLC, Term Loan B</w:t>
            </w:r>
          </w:p>
        </w:tc>
        <w:tc>
          <w:tcPr>
            <w:tcW w:w="1000" w:type="dxa"/>
            <w:vAlign w:val="bottom"/>
          </w:tcPr>
          <w:p>
            <w:pPr>
              <w:jc w:val="center"/>
              <w:ind w:left="122"/>
              <w:spacing w:after="0" w:line="129" w:lineRule="exact"/>
              <w:rPr>
                <w:sz w:val="20"/>
                <w:szCs w:val="20"/>
                <w:color w:val="auto"/>
              </w:rPr>
            </w:pPr>
            <w:r>
              <w:rPr>
                <w:rFonts w:ascii="Arial" w:cs="Arial" w:eastAsia="Arial" w:hAnsi="Arial"/>
                <w:sz w:val="12"/>
                <w:szCs w:val="12"/>
                <w:color w:val="auto"/>
                <w:w w:val="89"/>
              </w:rPr>
              <w:t>03/28/2019</w:t>
            </w:r>
          </w:p>
        </w:tc>
        <w:tc>
          <w:tcPr>
            <w:tcW w:w="206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12.00%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L+1,100</w:t>
            </w:r>
          </w:p>
        </w:tc>
        <w:tc>
          <w:tcPr>
            <w:tcW w:w="7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4,500,000</w:t>
            </w:r>
          </w:p>
        </w:tc>
        <w:tc>
          <w:tcPr>
            <w:tcW w:w="780" w:type="dxa"/>
            <w:vAlign w:val="bottom"/>
          </w:tcPr>
          <w:p>
            <w:pPr>
              <w:jc w:val="right"/>
              <w:ind w:right="42"/>
              <w:spacing w:after="0" w:line="129" w:lineRule="exact"/>
              <w:rPr>
                <w:sz w:val="20"/>
                <w:szCs w:val="20"/>
                <w:color w:val="auto"/>
              </w:rPr>
            </w:pPr>
            <w:r>
              <w:rPr>
                <w:rFonts w:ascii="Arial" w:cs="Arial" w:eastAsia="Arial" w:hAnsi="Arial"/>
                <w:sz w:val="12"/>
                <w:szCs w:val="12"/>
                <w:color w:val="auto"/>
              </w:rPr>
              <w:t>4,460,571</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4,500,000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Interior Specialists,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06/30/2020</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90"/>
              </w:rPr>
              <w:t>Construction and Building</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6,662,719</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6,609,864</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6,662,719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Inventus Power, Inc. (f/k/a ICC-Nexergy,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04/30/2020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4,882,266</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4,846,935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4,686,976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Jackson Hewitt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07/30/2020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4,820,995</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4,753,000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02/19/2021</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87"/>
              </w:rPr>
              <w:t>Chemicals, Plastics and Rubber</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L+900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4,002,471</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3,932,760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3,925,841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Kendra Scott,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07/17/2020</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91"/>
              </w:rPr>
              <w:t>Retail</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2,850,000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2,827,307</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2,821,500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KHC Holdings,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10/31/2022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12,406,250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12,210,683</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12,344,219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(10)</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10/30/2020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1,209,677</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Lago Resort &amp; Casino,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03/07/2022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L+950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10,174,500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9,984,965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9,971,010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Lanyon Solutions,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11/13/2020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1,945,020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1,940,066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1,930,432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11/30/2018</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5,407,864</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5,371,524</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5,272,668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(6), (11)</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05/10/2021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2,186,607</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2,177,539</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2,186,607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05/10/2021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282,143</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280,973</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282,143</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Lombart Brothers,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04/13/2022</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9"/>
              </w:rPr>
              <w:t>Capital Equipment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5,985,000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5,901,046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6,014,925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1000" w:type="dxa"/>
            <w:vAlign w:val="bottom"/>
          </w:tcPr>
          <w:p>
            <w:pPr>
              <w:jc w:val="center"/>
              <w:ind w:left="122"/>
              <w:spacing w:after="0"/>
              <w:rPr>
                <w:sz w:val="20"/>
                <w:szCs w:val="20"/>
                <w:color w:val="auto"/>
              </w:rPr>
            </w:pPr>
            <w:r>
              <w:rPr>
                <w:rFonts w:ascii="Arial" w:cs="Arial" w:eastAsia="Arial" w:hAnsi="Arial"/>
                <w:sz w:val="12"/>
                <w:szCs w:val="12"/>
                <w:color w:val="auto"/>
                <w:w w:val="89"/>
              </w:rPr>
              <w:t>04/13/2022</w:t>
            </w:r>
          </w:p>
        </w:tc>
        <w:tc>
          <w:tcPr>
            <w:tcW w:w="2060" w:type="dxa"/>
            <w:vAlign w:val="bottom"/>
          </w:tcPr>
          <w:p>
            <w:pPr>
              <w:jc w:val="center"/>
              <w:ind w:left="2"/>
              <w:spacing w:after="0"/>
              <w:rPr>
                <w:sz w:val="20"/>
                <w:szCs w:val="20"/>
                <w:color w:val="auto"/>
              </w:rPr>
            </w:pPr>
            <w:r>
              <w:rPr>
                <w:rFonts w:ascii="Arial" w:cs="Arial" w:eastAsia="Arial" w:hAnsi="Arial"/>
                <w:sz w:val="12"/>
                <w:szCs w:val="12"/>
                <w:color w:val="auto"/>
                <w:w w:val="89"/>
              </w:rPr>
              <w:t>Capital Equipment</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7.75%</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L+675</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176,991</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176,991</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176,991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8"/>
              </w:rPr>
              <w:t>Industry</w:t>
            </w:r>
          </w:p>
        </w:tc>
        <w:tc>
          <w:tcPr>
            <w:tcW w:w="920" w:type="dxa"/>
            <w:vAlign w:val="bottom"/>
            <w:gridSpan w:val="2"/>
          </w:tcPr>
          <w:p>
            <w:pPr>
              <w:jc w:val="right"/>
              <w:ind w:right="440"/>
              <w:spacing w:after="0" w:line="135" w:lineRule="exact"/>
              <w:rPr>
                <w:sz w:val="20"/>
                <w:szCs w:val="20"/>
                <w:color w:val="auto"/>
              </w:rPr>
            </w:pPr>
            <w:r>
              <w:rPr>
                <w:rFonts w:ascii="Arial" w:cs="Arial" w:eastAsia="Arial" w:hAnsi="Arial"/>
                <w:sz w:val="12"/>
                <w:szCs w:val="12"/>
                <w:b w:val="1"/>
                <w:bCs w:val="1"/>
                <w:color w:val="auto"/>
              </w:rPr>
              <w:t>Current</w:t>
            </w:r>
          </w:p>
        </w:tc>
        <w:tc>
          <w:tcPr>
            <w:tcW w:w="88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9"/>
              </w:rPr>
              <w:t>Par /</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80" w:type="dxa"/>
            <w:vAlign w:val="bottom"/>
            <w:gridSpan w:val="3"/>
            <w:vMerge w:val="continue"/>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Maturity</w:t>
            </w:r>
          </w:p>
        </w:tc>
        <w:tc>
          <w:tcPr>
            <w:tcW w:w="2160" w:type="dxa"/>
            <w:vAlign w:val="bottom"/>
            <w:gridSpan w:val="2"/>
            <w:vMerge w:val="continue"/>
          </w:tcPr>
          <w:p>
            <w:pPr>
              <w:spacing w:after="0"/>
              <w:rPr>
                <w:sz w:val="12"/>
                <w:szCs w:val="1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Coupon</w:t>
            </w:r>
          </w:p>
        </w:tc>
        <w:tc>
          <w:tcPr>
            <w:tcW w:w="8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Cost</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(10)</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04/13/2022</w:t>
            </w:r>
          </w:p>
        </w:tc>
        <w:tc>
          <w:tcPr>
            <w:tcW w:w="160" w:type="dxa"/>
            <w:vAlign w:val="bottom"/>
            <w:tcBorders>
              <w:top w:val="single" w:sz="8" w:color="CCEEFF"/>
            </w:tcBorders>
            <w:shd w:val="clear" w:color="auto" w:fill="CCEEFF"/>
          </w:tcPr>
          <w:p>
            <w:pPr>
              <w:spacing w:after="0"/>
              <w:rPr>
                <w:sz w:val="11"/>
                <w:szCs w:val="11"/>
                <w:color w:val="auto"/>
              </w:rPr>
            </w:pPr>
          </w:p>
        </w:tc>
        <w:tc>
          <w:tcPr>
            <w:tcW w:w="19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Capital Equipment</w:t>
            </w:r>
          </w:p>
        </w:tc>
        <w:tc>
          <w:tcPr>
            <w:tcW w:w="1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400"/>
              <w:spacing w:after="0" w:line="129"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80"/>
              <w:spacing w:after="0" w:line="129"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1,061,947</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Long’s Drugs Incorporated</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08/19/2021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4,951,874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4,950,000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LSF9 Atlantis Holdings,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01/15/2021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4"/>
              </w:rPr>
              <w:t>Retail</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10.00%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L+900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9,542,392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9,417,467</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9,542,392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LTI Holdings,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04/18/2022</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Chemicals, Plastics and Rubber</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L+425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5,431,250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4,973,326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5,254,734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Marketplace Events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6.25%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1,362,530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1,342,162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1,342,092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(12)</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P+275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17,244,188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12,065,652</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13,078,215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6.25%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P+275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1,090,024</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1,090,024</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1,090,024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(10)</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613,139</w:t>
            </w: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Mission Critical Electronics,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09/28/2022</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4,116,608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4,075,499</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4,075,442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(10)</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09/28/2021</w:t>
            </w:r>
          </w:p>
        </w:tc>
        <w:tc>
          <w:tcPr>
            <w:tcW w:w="160" w:type="dxa"/>
            <w:vAlign w:val="bottom"/>
          </w:tcPr>
          <w:p>
            <w:pPr>
              <w:spacing w:after="0"/>
              <w:rPr>
                <w:sz w:val="11"/>
                <w:szCs w:val="11"/>
                <w:color w:val="auto"/>
              </w:rPr>
            </w:pPr>
          </w:p>
        </w:tc>
        <w:tc>
          <w:tcPr>
            <w:tcW w:w="21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883,392</w:t>
            </w: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New Trident HoldCorp,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07/31/2019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8,817,647</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8,767,669</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8,288,588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08/19/2022</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6,268,657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6,205,970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6,205,970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 (10)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08/19/2022</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3,731,343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Polycom,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09/27/2023</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L+650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5,760,000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5,775,000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Precyse Acquisition Corp.</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10/20/2022</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3,990,000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3,932,956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4,014,938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Premier Dental Services,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11/01/2018</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5"/>
              </w:rPr>
              <w:t>Consumer Services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L+650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7,528,230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7,473,587</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7,490,588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Profile Products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05/20/2021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Environmental Industries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5.75%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L+475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7,281,762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7,222,561</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7,281,762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05/20/2020</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Environmental Industries</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2,459,016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Quick Weight Loss Centers,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08/23/2021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Beverage, Food and Tobacco</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5.75%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L+475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10,000,000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9,852,456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Research Now Group,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03/18/2021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L+450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6,895,000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6,867,800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6,688,150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Robertshaw US Holding Corp.</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06/18/2019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8.50%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4,252,830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4,233,671</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4,258,699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Ryan,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08/07/2020</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Business Services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6.75%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L+575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4,218,750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4,166,413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4,163,400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Sensus USA,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04/05/2023</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Utilities: Water</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9,975,000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9,692,511</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9,999,938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Snak Club,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07/19/2021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Beverage, Food and Tobacco</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4,968,748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4,896,623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4,919,060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07/19/2021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Beverage, Food and Tobacco</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Software Paradigms International Group,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05/21/2021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9,875,000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9,781,596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9,825,625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Sotera Defense Solutions,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04/21/2017</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L+750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5,668,843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5,614,696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5,640,499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Sundial Group Holdings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10/19/2021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L+625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7,312,500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7,200,786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7,312,500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12/16/2020</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Business Services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7,446,562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7,395,200</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7,409,329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Systems Maintenance Services Holding,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10/18/2019</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L+400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5,850,000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5,834,217</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5,733,000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Tensar Corporation</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07/09/2021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2"/>
              </w:rPr>
              <w:t>Construction and Building</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5.75%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L+475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4,822,723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4,786,985</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4,071,198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(11)</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3,092,295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3,062,366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3,061,372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(11)</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5,986,002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5,928,120</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5,926,142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(10), (11)</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1,418,484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(7,092)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TOMS Shoes,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11/02/2020</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1,970,000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1,825,559</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1,576,000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Triad Manufacturing,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12/28/2020</w:t>
            </w:r>
          </w:p>
        </w:tc>
        <w:tc>
          <w:tcPr>
            <w:tcW w:w="160" w:type="dxa"/>
            <w:vAlign w:val="bottom"/>
          </w:tcPr>
          <w:p>
            <w:pPr>
              <w:spacing w:after="0"/>
              <w:rPr>
                <w:sz w:val="11"/>
                <w:szCs w:val="11"/>
                <w:color w:val="auto"/>
              </w:rPr>
            </w:pPr>
          </w:p>
        </w:tc>
        <w:tc>
          <w:tcPr>
            <w:tcW w:w="21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11.27%</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L+1,075</w:t>
            </w:r>
            <w:r>
              <w:rPr>
                <w:rFonts w:ascii="Arial" w:cs="Arial" w:eastAsia="Arial" w:hAnsi="Arial"/>
                <w:sz w:val="9"/>
                <w:szCs w:val="9"/>
                <w:color w:val="auto"/>
              </w:rPr>
              <w:t>(9)</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10,306,936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10,124,477</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10,306,936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01/14/2019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29"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9.50%</w:t>
            </w:r>
          </w:p>
        </w:tc>
        <w:tc>
          <w:tcPr>
            <w:tcW w:w="88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L+850</w:t>
            </w:r>
          </w:p>
        </w:tc>
        <w:tc>
          <w:tcPr>
            <w:tcW w:w="8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256,971</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256,971</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256,971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(PIK 1.00%)</w:t>
            </w: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01/14/2019</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8.50%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L+750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599,702</w:t>
            </w:r>
          </w:p>
        </w:tc>
        <w:tc>
          <w:tcPr>
            <w:tcW w:w="8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562,432</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590,706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01/14/2019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151,090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Universal Fiber Systems,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10/04/2021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Chemicals, Plastics and Rubber</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4,962,500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4,919,423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4,937,688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U.S. Anesthesia Partners,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12/31/2019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9,818,407</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9,850,500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08/13/2021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10.00%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L+900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3,089,844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3,089,844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3,089,844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Vistage Worldwide,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08/19/2021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Media: Broadcasting and Subscription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4,792,831</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4,752,002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4,792,831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Winchester Electronics Corporation</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06/30/2022</w:t>
            </w:r>
          </w:p>
        </w:tc>
        <w:tc>
          <w:tcPr>
            <w:tcW w:w="160" w:type="dxa"/>
            <w:vAlign w:val="bottom"/>
          </w:tcPr>
          <w:p>
            <w:pPr>
              <w:spacing w:after="0"/>
              <w:rPr>
                <w:sz w:val="11"/>
                <w:szCs w:val="11"/>
                <w:color w:val="auto"/>
              </w:rPr>
            </w:pPr>
          </w:p>
        </w:tc>
        <w:tc>
          <w:tcPr>
            <w:tcW w:w="21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L+650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7,773,579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7,703,094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7,668,171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06/30/2022</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708,333</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(9,605)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tcPr>
          <w:p>
            <w:pPr>
              <w:spacing w:after="0" w:line="129" w:lineRule="exact"/>
              <w:rPr>
                <w:sz w:val="20"/>
                <w:szCs w:val="20"/>
                <w:color w:val="auto"/>
              </w:rPr>
            </w:pPr>
            <w:r>
              <w:rPr>
                <w:rFonts w:ascii="Arial" w:cs="Arial" w:eastAsia="Arial" w:hAnsi="Arial"/>
                <w:sz w:val="12"/>
                <w:szCs w:val="12"/>
                <w:color w:val="auto"/>
              </w:rPr>
              <w:t>Worley Claims Services, LLC</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10/30/2020</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92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9.00%</w:t>
            </w:r>
          </w:p>
        </w:tc>
        <w:tc>
          <w:tcPr>
            <w:tcW w:w="88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L+800</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7,316,440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7,259,010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7,316,440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Estate</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w w:val="86"/>
              </w:rPr>
              <w:t>549,736,982</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6"/>
              </w:rPr>
              <w:t>548,410,095</w:t>
            </w:r>
          </w:p>
        </w:tc>
        <w:tc>
          <w:tcPr>
            <w:tcW w:w="0" w:type="dxa"/>
            <w:vAlign w:val="bottom"/>
          </w:tcPr>
          <w:p>
            <w:pPr>
              <w:spacing w:after="0"/>
              <w:rPr>
                <w:sz w:val="1"/>
                <w:szCs w:val="1"/>
                <w:color w:val="auto"/>
              </w:rPr>
            </w:pPr>
          </w:p>
        </w:tc>
      </w:tr>
      <w:tr>
        <w:trPr>
          <w:trHeight w:val="142"/>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Second Lien Secured Debt—9.7%</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10/31/2018</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8.50%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942,276</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879,170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09/01/2017</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2"/>
              </w:rPr>
              <w:t>Metals and Mining</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1,000,000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12/31/2020</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Chemicals, Plastics and Rubber</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11.34%</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(9)</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1,971,030</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2,020,000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Howard Berger Co.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09/30/2020</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Wholesale</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11.00%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L+1,000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96"/>
              </w:rPr>
              <w:t>10,511,818</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9,900,000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MailSouth, Inc.</w:t>
            </w:r>
          </w:p>
        </w:tc>
        <w:tc>
          <w:tcPr>
            <w:tcW w:w="7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10/22/2021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29" w:lineRule="exact"/>
              <w:rPr>
                <w:sz w:val="20"/>
                <w:szCs w:val="20"/>
                <w:color w:val="auto"/>
              </w:rPr>
            </w:pPr>
            <w:r>
              <w:rPr>
                <w:rFonts w:ascii="Arial" w:cs="Arial" w:eastAsia="Arial" w:hAnsi="Arial"/>
                <w:sz w:val="12"/>
                <w:szCs w:val="12"/>
                <w:color w:val="auto"/>
                <w:w w:val="90"/>
              </w:rPr>
              <w:t>Media: Advertising, Printing and</w:t>
            </w:r>
          </w:p>
        </w:tc>
        <w:tc>
          <w:tcPr>
            <w:tcW w:w="9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11.50%</w:t>
            </w:r>
          </w:p>
        </w:tc>
        <w:tc>
          <w:tcPr>
            <w:tcW w:w="88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L+1,050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3,775,000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3,703,724</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3,775,000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80"/>
              <w:spacing w:after="0"/>
              <w:rPr>
                <w:sz w:val="20"/>
                <w:szCs w:val="20"/>
                <w:color w:val="auto"/>
              </w:rPr>
            </w:pPr>
            <w:r>
              <w:rPr>
                <w:rFonts w:ascii="Arial" w:cs="Arial" w:eastAsia="Arial" w:hAnsi="Arial"/>
                <w:sz w:val="12"/>
                <w:szCs w:val="12"/>
                <w:color w:val="auto"/>
                <w:w w:val="90"/>
              </w:rPr>
              <w:t>Publishing</w:t>
            </w: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Novitex Acquisition,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07/07/2021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Business Services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12.25%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L+1,100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10,914,618</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11,000,000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10/02/2020</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L+775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4,872,042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4,826,926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4,853,772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08/01/2017</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Energy: Oil and Gas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12.50%</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2,812,500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2,756,732</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1,631,250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VT Buyer Acquisition Corp.</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01/30/2023</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Business Services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10.75%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L+975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1,837,500</w:t>
            </w:r>
          </w:p>
        </w:tc>
        <w:tc>
          <w:tcPr>
            <w:tcW w:w="2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1,777,304</w:t>
            </w:r>
          </w:p>
        </w:tc>
        <w:tc>
          <w:tcPr>
            <w:tcW w:w="2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1,837,500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Total Second Lien Secured Debt</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38,404,428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36,596,692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Subordinated Debt/Corporate Notes—0.8% </w:t>
            </w:r>
            <w:r>
              <w:rPr>
                <w:rFonts w:ascii="Arial" w:cs="Arial" w:eastAsia="Arial" w:hAnsi="Arial"/>
                <w:sz w:val="9"/>
                <w:szCs w:val="9"/>
                <w:b w:val="1"/>
                <w:bCs w:val="1"/>
                <w:color w:val="auto"/>
              </w:rPr>
              <w:t>(8)</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tcPr>
          <w:p>
            <w:pPr>
              <w:spacing w:after="0" w:line="129" w:lineRule="exact"/>
              <w:rPr>
                <w:sz w:val="20"/>
                <w:szCs w:val="20"/>
                <w:color w:val="auto"/>
              </w:rPr>
            </w:pPr>
            <w:r>
              <w:rPr>
                <w:rFonts w:ascii="Arial" w:cs="Arial" w:eastAsia="Arial" w:hAnsi="Arial"/>
                <w:sz w:val="12"/>
                <w:szCs w:val="12"/>
                <w:color w:val="auto"/>
              </w:rPr>
              <w:t xml:space="preserve">Affinion International Holdings Limited </w:t>
            </w:r>
            <w:r>
              <w:rPr>
                <w:rFonts w:ascii="Arial" w:cs="Arial" w:eastAsia="Arial" w:hAnsi="Arial"/>
                <w:sz w:val="9"/>
                <w:szCs w:val="9"/>
                <w:color w:val="auto"/>
              </w:rPr>
              <w:t>(5), (6), (11)</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07/30/2018</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8"/>
              </w:rPr>
              <w:t>Consumer Goods: Durable</w:t>
            </w:r>
          </w:p>
        </w:tc>
        <w:tc>
          <w:tcPr>
            <w:tcW w:w="92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7.50%</w:t>
            </w:r>
          </w:p>
        </w:tc>
        <w:tc>
          <w:tcPr>
            <w:tcW w:w="88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1,135,273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1,030,320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1,035,937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(PIK 4.00%)</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Credit Infonet, Inc.</w:t>
            </w:r>
          </w:p>
        </w:tc>
        <w:tc>
          <w:tcPr>
            <w:tcW w:w="70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9"/>
              </w:rPr>
              <w:t>10/26/2018</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6" w:lineRule="exact"/>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13.00%</w:t>
            </w:r>
          </w:p>
        </w:tc>
        <w:tc>
          <w:tcPr>
            <w:tcW w:w="880" w:type="dxa"/>
            <w:vAlign w:val="bottom"/>
            <w:gridSpan w:val="2"/>
            <w:shd w:val="clear" w:color="auto" w:fill="CCEEFF"/>
          </w:tcPr>
          <w:p>
            <w:pPr>
              <w:ind w:left="380"/>
              <w:spacing w:after="0" w:line="136"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2,069,078</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2,050,767</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1,975,969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(PIK 1.75%)</w:t>
            </w: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tcPr>
          <w:p>
            <w:pPr>
              <w:spacing w:after="0" w:line="129" w:lineRule="exact"/>
              <w:rPr>
                <w:sz w:val="20"/>
                <w:szCs w:val="20"/>
                <w:color w:val="auto"/>
              </w:rPr>
            </w:pPr>
            <w:r>
              <w:rPr>
                <w:rFonts w:ascii="Arial" w:cs="Arial" w:eastAsia="Arial" w:hAnsi="Arial"/>
                <w:sz w:val="12"/>
                <w:szCs w:val="12"/>
                <w:color w:val="auto"/>
              </w:rPr>
              <w:t>UniTek Global Services, Inc.</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07/15/2019</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15.00%</w:t>
            </w:r>
          </w:p>
        </w:tc>
        <w:tc>
          <w:tcPr>
            <w:tcW w:w="88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146,996</w:t>
            </w:r>
          </w:p>
        </w:tc>
        <w:tc>
          <w:tcPr>
            <w:tcW w:w="80" w:type="dxa"/>
            <w:vAlign w:val="bottom"/>
          </w:tcPr>
          <w:p>
            <w:pPr>
              <w:spacing w:after="0"/>
              <w:rPr>
                <w:sz w:val="11"/>
                <w:szCs w:val="11"/>
                <w:color w:val="auto"/>
              </w:rPr>
            </w:pPr>
          </w:p>
        </w:tc>
        <w:tc>
          <w:tcPr>
            <w:tcW w:w="86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146,996</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148,466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w w:val="95"/>
              </w:rPr>
              <w:t>(PIK 15.00%)</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3,228,083</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3,160,372</w:t>
            </w:r>
          </w:p>
        </w:tc>
        <w:tc>
          <w:tcPr>
            <w:tcW w:w="0" w:type="dxa"/>
            <w:vAlign w:val="bottom"/>
          </w:tcPr>
          <w:p>
            <w:pPr>
              <w:spacing w:after="0"/>
              <w:rPr>
                <w:sz w:val="1"/>
                <w:szCs w:val="1"/>
                <w:color w:val="auto"/>
              </w:rPr>
            </w:pPr>
          </w:p>
        </w:tc>
      </w:tr>
      <w:tr>
        <w:trPr>
          <w:trHeight w:val="142"/>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8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13.50%</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1,047,317</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670,283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1,319,308</w:t>
            </w:r>
          </w:p>
        </w:tc>
        <w:tc>
          <w:tcPr>
            <w:tcW w:w="0" w:type="dxa"/>
            <w:vAlign w:val="bottom"/>
          </w:tcPr>
          <w:p>
            <w:pPr>
              <w:spacing w:after="0"/>
              <w:rPr>
                <w:sz w:val="1"/>
                <w:szCs w:val="1"/>
                <w:color w:val="auto"/>
              </w:rPr>
            </w:pPr>
          </w:p>
        </w:tc>
      </w:tr>
      <w:tr>
        <w:trPr>
          <w:trHeight w:val="142"/>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Common Equity/Warrants—2.5%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w:t>
            </w:r>
          </w:p>
        </w:tc>
        <w:tc>
          <w:tcPr>
            <w:tcW w:w="8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99,029</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3,514,572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3,700,216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8"/>
              </w:rPr>
              <w:t>Industry</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740" w:type="dxa"/>
            <w:vAlign w:val="bottom"/>
            <w:gridSpan w:val="2"/>
          </w:tcPr>
          <w:p>
            <w:pPr>
              <w:jc w:val="right"/>
              <w:ind w:right="400"/>
              <w:spacing w:after="0" w:line="135" w:lineRule="exact"/>
              <w:rPr>
                <w:sz w:val="20"/>
                <w:szCs w:val="20"/>
                <w:color w:val="auto"/>
              </w:rPr>
            </w:pPr>
            <w:r>
              <w:rPr>
                <w:rFonts w:ascii="Arial" w:cs="Arial" w:eastAsia="Arial" w:hAnsi="Arial"/>
                <w:sz w:val="12"/>
                <w:szCs w:val="12"/>
                <w:b w:val="1"/>
                <w:bCs w:val="1"/>
                <w:color w:val="auto"/>
              </w:rPr>
              <w:t>Par /</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380" w:type="dxa"/>
            <w:vAlign w:val="bottom"/>
            <w:gridSpan w:val="3"/>
            <w:vMerge w:val="continue"/>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Maturity</w:t>
            </w:r>
          </w:p>
        </w:tc>
        <w:tc>
          <w:tcPr>
            <w:tcW w:w="2160" w:type="dxa"/>
            <w:vAlign w:val="bottom"/>
            <w:gridSpan w:val="2"/>
            <w:vMerge w:val="continue"/>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Coupon</w:t>
            </w: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4"/>
              </w:rPr>
              <w:t>Shares</w:t>
            </w:r>
          </w:p>
        </w:tc>
        <w:tc>
          <w:tcPr>
            <w:tcW w:w="60" w:type="dxa"/>
            <w:vAlign w:val="bottom"/>
          </w:tcPr>
          <w:p>
            <w:pPr>
              <w:spacing w:after="0"/>
              <w:rPr>
                <w:sz w:val="12"/>
                <w:szCs w:val="12"/>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Affinion Group Holdings, Inc., Series C and Series D</w:t>
            </w:r>
          </w:p>
        </w:tc>
        <w:tc>
          <w:tcPr>
            <w:tcW w:w="1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9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Consumer Goods: Durable</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ind w:left="240"/>
              <w:spacing w:after="0" w:line="12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400"/>
              <w:spacing w:after="0" w:line="12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4,298</w:t>
            </w:r>
          </w:p>
        </w:tc>
        <w:tc>
          <w:tcPr>
            <w:tcW w:w="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1,186,649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20,096</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tcPr>
          <w:p>
            <w:pPr>
              <w:spacing w:after="0" w:line="135" w:lineRule="exact"/>
              <w:rPr>
                <w:sz w:val="20"/>
                <w:szCs w:val="20"/>
                <w:color w:val="auto"/>
              </w:rPr>
            </w:pPr>
            <w:r>
              <w:rPr>
                <w:rFonts w:ascii="Arial" w:cs="Arial" w:eastAsia="Arial" w:hAnsi="Arial"/>
                <w:sz w:val="12"/>
                <w:szCs w:val="12"/>
                <w:color w:val="auto"/>
              </w:rPr>
              <w:t>Corfin InvestCo, L.P.</w:t>
            </w:r>
          </w:p>
        </w:tc>
        <w:tc>
          <w:tcPr>
            <w:tcW w:w="940" w:type="dxa"/>
            <w:vAlign w:val="bottom"/>
            <w:gridSpan w:val="2"/>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3,000</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621,550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(10)</w:t>
            </w:r>
          </w:p>
        </w:tc>
        <w:tc>
          <w:tcPr>
            <w:tcW w:w="9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3,000</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tcPr>
          <w:p>
            <w:pPr>
              <w:spacing w:after="0" w:line="135" w:lineRule="exact"/>
              <w:rPr>
                <w:sz w:val="20"/>
                <w:szCs w:val="20"/>
                <w:color w:val="auto"/>
              </w:rPr>
            </w:pPr>
            <w:r>
              <w:rPr>
                <w:rFonts w:ascii="Arial" w:cs="Arial" w:eastAsia="Arial" w:hAnsi="Arial"/>
                <w:sz w:val="12"/>
                <w:szCs w:val="12"/>
                <w:color w:val="auto"/>
              </w:rPr>
              <w:t>e.l.f. Beauty, Inc. (f/k/a J.A. Cosmetics US, Inc.)</w:t>
            </w:r>
          </w:p>
        </w:tc>
        <w:tc>
          <w:tcPr>
            <w:tcW w:w="940" w:type="dxa"/>
            <w:vAlign w:val="bottom"/>
            <w:gridSpan w:val="2"/>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Consumer Goods: Durable</w:t>
            </w:r>
          </w:p>
        </w:tc>
        <w:tc>
          <w:tcPr>
            <w:tcW w:w="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w w:val="96"/>
              </w:rPr>
              <w:t>110,399</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295,670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2,957,767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 (Interior Specialists, Inc.)</w:t>
            </w:r>
          </w:p>
        </w:tc>
        <w:tc>
          <w:tcPr>
            <w:tcW w:w="9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90"/>
              </w:rPr>
              <w:t>Construction and Building</w:t>
            </w:r>
          </w:p>
        </w:tc>
        <w:tc>
          <w:tcPr>
            <w:tcW w:w="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1,141</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58,044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94,560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gridSpan w:val="2"/>
          </w:tcPr>
          <w:p>
            <w:pPr>
              <w:spacing w:after="0" w:line="129" w:lineRule="exact"/>
              <w:rPr>
                <w:sz w:val="20"/>
                <w:szCs w:val="20"/>
                <w:color w:val="auto"/>
              </w:rPr>
            </w:pPr>
            <w:r>
              <w:rPr>
                <w:rFonts w:ascii="Arial" w:cs="Arial" w:eastAsia="Arial" w:hAnsi="Arial"/>
                <w:sz w:val="12"/>
                <w:szCs w:val="12"/>
                <w:color w:val="auto"/>
              </w:rPr>
              <w:t>Patriot National, Inc.</w:t>
            </w:r>
          </w:p>
        </w:tc>
        <w:tc>
          <w:tcPr>
            <w:tcW w:w="940" w:type="dxa"/>
            <w:vAlign w:val="bottom"/>
            <w:gridSpan w:val="2"/>
          </w:tcPr>
          <w:p>
            <w:pPr>
              <w:ind w:left="320"/>
              <w:spacing w:after="0" w:line="129"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66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11,867</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27,995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106,922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Estate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TPC Broadband Investors, LP</w:t>
            </w:r>
          </w:p>
        </w:tc>
        <w:tc>
          <w:tcPr>
            <w:tcW w:w="940" w:type="dxa"/>
            <w:vAlign w:val="bottom"/>
            <w:gridSpan w:val="2"/>
            <w:shd w:val="clear" w:color="auto" w:fill="CCEEFF"/>
          </w:tcPr>
          <w:p>
            <w:pPr>
              <w:ind w:left="320"/>
              <w:spacing w:after="0" w:line="129"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29" w:lineRule="exact"/>
              <w:rPr>
                <w:sz w:val="20"/>
                <w:szCs w:val="20"/>
                <w:color w:val="auto"/>
              </w:rPr>
            </w:pPr>
            <w:r>
              <w:rPr>
                <w:rFonts w:ascii="Arial" w:cs="Arial" w:eastAsia="Arial" w:hAnsi="Arial"/>
                <w:sz w:val="12"/>
                <w:szCs w:val="12"/>
                <w:color w:val="auto"/>
                <w:w w:val="89"/>
              </w:rPr>
              <w:t>Telecommunications</w:t>
            </w:r>
          </w:p>
        </w:tc>
        <w:tc>
          <w:tcPr>
            <w:tcW w:w="660" w:type="dxa"/>
            <w:vAlign w:val="bottom"/>
            <w:gridSpan w:val="2"/>
            <w:shd w:val="clear" w:color="auto" w:fill="CCEEFF"/>
          </w:tcPr>
          <w:p>
            <w:pPr>
              <w:ind w:lef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0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w w:val="96"/>
              </w:rPr>
              <w:t>430,666</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430,666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430,666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(Advanced Cable Communications, LLC)</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gridSpan w:val="2"/>
          </w:tcPr>
          <w:p>
            <w:pPr>
              <w:spacing w:after="0" w:line="129" w:lineRule="exact"/>
              <w:rPr>
                <w:sz w:val="20"/>
                <w:szCs w:val="20"/>
                <w:color w:val="auto"/>
              </w:rPr>
            </w:pPr>
            <w:r>
              <w:rPr>
                <w:rFonts w:ascii="Arial" w:cs="Arial" w:eastAsia="Arial" w:hAnsi="Arial"/>
                <w:sz w:val="12"/>
                <w:szCs w:val="12"/>
                <w:color w:val="auto"/>
              </w:rPr>
              <w:t>TPC Broadband Investors, LP</w:t>
            </w:r>
          </w:p>
        </w:tc>
        <w:tc>
          <w:tcPr>
            <w:tcW w:w="940" w:type="dxa"/>
            <w:vAlign w:val="bottom"/>
            <w:gridSpan w:val="2"/>
          </w:tcPr>
          <w:p>
            <w:pPr>
              <w:ind w:left="320"/>
              <w:spacing w:after="0" w:line="129"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9"/>
              </w:rPr>
              <w:t>Telecommunications</w:t>
            </w:r>
          </w:p>
        </w:tc>
        <w:tc>
          <w:tcPr>
            <w:tcW w:w="66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w w:val="96"/>
              </w:rPr>
              <w:t>569,334</w:t>
            </w:r>
          </w:p>
        </w:tc>
        <w:tc>
          <w:tcPr>
            <w:tcW w:w="60" w:type="dxa"/>
            <w:vAlign w:val="bottom"/>
          </w:tcPr>
          <w:p>
            <w:pPr>
              <w:spacing w:after="0"/>
              <w:rPr>
                <w:sz w:val="11"/>
                <w:szCs w:val="11"/>
                <w:color w:val="auto"/>
              </w:rPr>
            </w:pPr>
          </w:p>
        </w:tc>
        <w:tc>
          <w:tcPr>
            <w:tcW w:w="740" w:type="dxa"/>
            <w:vAlign w:val="bottom"/>
            <w:gridSpan w:val="2"/>
          </w:tcPr>
          <w:p>
            <w:pPr>
              <w:ind w:left="420"/>
              <w:spacing w:after="0" w:line="129"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60" w:type="dxa"/>
            <w:vAlign w:val="bottom"/>
            <w:gridSpan w:val="2"/>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9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w w:val="96"/>
              </w:rPr>
              <w:t>149,617</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892,276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gridSpan w:val="2"/>
          </w:tcPr>
          <w:p>
            <w:pPr>
              <w:spacing w:after="0" w:line="129" w:lineRule="exact"/>
              <w:rPr>
                <w:sz w:val="20"/>
                <w:szCs w:val="20"/>
                <w:color w:val="auto"/>
              </w:rPr>
            </w:pPr>
            <w:r>
              <w:rPr>
                <w:rFonts w:ascii="Arial" w:cs="Arial" w:eastAsia="Arial" w:hAnsi="Arial"/>
                <w:sz w:val="12"/>
                <w:szCs w:val="12"/>
                <w:color w:val="auto"/>
              </w:rPr>
              <w:t>Vestcom Parent Holdings, Inc.</w:t>
            </w:r>
          </w:p>
        </w:tc>
        <w:tc>
          <w:tcPr>
            <w:tcW w:w="940" w:type="dxa"/>
            <w:vAlign w:val="bottom"/>
            <w:gridSpan w:val="2"/>
          </w:tcPr>
          <w:p>
            <w:pPr>
              <w:ind w:left="320"/>
              <w:spacing w:after="0" w:line="129"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90"/>
              </w:rPr>
              <w:t>Media: Advertising, Printing and</w:t>
            </w:r>
          </w:p>
        </w:tc>
        <w:tc>
          <w:tcPr>
            <w:tcW w:w="66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15,179</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56,895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577,005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2"/>
                <w:szCs w:val="12"/>
                <w:color w:val="auto"/>
                <w:w w:val="90"/>
              </w:rPr>
              <w:t>Publishing</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Equity/Warrants</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5,870,491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9,401,058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w w:val="86"/>
              </w:rPr>
              <w:t>597,910,267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598,887,525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Equivalents—7.7%</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tcPr>
          <w:p>
            <w:pPr>
              <w:spacing w:after="0" w:line="135" w:lineRule="exact"/>
              <w:rPr>
                <w:sz w:val="20"/>
                <w:szCs w:val="20"/>
                <w:color w:val="auto"/>
              </w:rPr>
            </w:pPr>
            <w:r>
              <w:rPr>
                <w:rFonts w:ascii="Arial" w:cs="Arial" w:eastAsia="Arial" w:hAnsi="Arial"/>
                <w:sz w:val="12"/>
                <w:szCs w:val="12"/>
                <w:color w:val="auto"/>
              </w:rPr>
              <w:t>BlackRock Liquidity Funds, Temp Cash and Temp Fund, Institutional Shares</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w w:val="96"/>
              </w:rPr>
              <w:t>28,212,041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28,212,041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691,318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698,932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Total Cash and Cash Equivalents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28,903,359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28,910,973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Equivalents—167.0%</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6"/>
              </w:rPr>
              <w:t>626,813,626</w:t>
            </w: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2"/>
              </w:rPr>
              <w:t>627,798,498</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Liabilities in Excess of Other Assets—(67.0)%</w:t>
            </w: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w w:val="88"/>
              </w:rPr>
              <w:t>(251,891,670)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2"/>
              </w:rPr>
              <w:t>375,906,828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5176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0"/>
          <w:szCs w:val="20"/>
          <w:color w:val="auto"/>
        </w:rPr>
      </w:pPr>
    </w:p>
    <w:p>
      <w:pPr>
        <w:ind w:left="340" w:right="380" w:hanging="332"/>
        <w:spacing w:after="0" w:line="243" w:lineRule="auto"/>
        <w:tabs>
          <w:tab w:leader="none" w:pos="3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340" w:hanging="332"/>
        <w:spacing w:after="0" w:line="234" w:lineRule="auto"/>
        <w:tabs>
          <w:tab w:leader="none" w:pos="3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00" w:hanging="332"/>
        <w:spacing w:after="0" w:line="234" w:lineRule="auto"/>
        <w:tabs>
          <w:tab w:leader="none" w:pos="3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rFonts w:ascii="Arial" w:cs="Arial" w:eastAsia="Arial" w:hAnsi="Arial"/>
          <w:sz w:val="12"/>
          <w:szCs w:val="12"/>
          <w:color w:val="auto"/>
        </w:rPr>
      </w:pPr>
    </w:p>
    <w:p>
      <w:pPr>
        <w:ind w:left="340" w:right="220" w:hanging="332"/>
        <w:spacing w:after="0" w:line="234" w:lineRule="auto"/>
        <w:tabs>
          <w:tab w:leader="none" w:pos="3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340" w:right="120" w:hanging="332"/>
        <w:spacing w:after="0" w:line="234" w:lineRule="auto"/>
        <w:tabs>
          <w:tab w:leader="none" w:pos="3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40" w:hanging="332"/>
        <w:spacing w:after="0" w:line="234" w:lineRule="auto"/>
        <w:tabs>
          <w:tab w:leader="none" w:pos="3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ind w:left="340" w:hanging="332"/>
        <w:spacing w:after="0" w:line="234" w:lineRule="auto"/>
        <w:tabs>
          <w:tab w:leader="none" w:pos="3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86"/>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right="220" w:hanging="332"/>
        <w:spacing w:after="0" w:line="234" w:lineRule="auto"/>
        <w:tabs>
          <w:tab w:leader="none" w:pos="3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Par amount is denominated in Canadian Dollars.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jc w:val="center"/>
              <w:ind w:right="102"/>
              <w:spacing w:after="0"/>
              <w:rPr>
                <w:sz w:val="20"/>
                <w:szCs w:val="20"/>
                <w:color w:val="auto"/>
              </w:rPr>
            </w:pPr>
            <w:r>
              <w:rPr>
                <w:rFonts w:ascii="Arial" w:cs="Arial" w:eastAsia="Arial" w:hAnsi="Arial"/>
                <w:sz w:val="12"/>
                <w:szCs w:val="12"/>
                <w:b w:val="1"/>
                <w:bCs w:val="1"/>
                <w:color w:val="auto"/>
                <w:w w:val="85"/>
              </w:rPr>
              <w:t>Basis Point</w:t>
            </w: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8"/>
              </w:rPr>
              <w:t>Spread</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Current</w:t>
            </w:r>
          </w:p>
        </w:tc>
        <w:tc>
          <w:tcPr>
            <w:tcW w:w="92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7"/>
              </w:rPr>
              <w:t>Above</w:t>
            </w:r>
          </w:p>
        </w:tc>
        <w:tc>
          <w:tcPr>
            <w:tcW w:w="70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Par /</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600" w:type="dxa"/>
            <w:vAlign w:val="bottom"/>
            <w:vMerge w:val="continue"/>
          </w:tcPr>
          <w:p>
            <w:pPr>
              <w:spacing w:after="0"/>
              <w:rPr>
                <w:sz w:val="12"/>
                <w:szCs w:val="12"/>
                <w:color w:val="auto"/>
              </w:rPr>
            </w:pPr>
          </w:p>
        </w:tc>
        <w:tc>
          <w:tcPr>
            <w:tcW w:w="1000" w:type="dxa"/>
            <w:vAlign w:val="bottom"/>
          </w:tcPr>
          <w:p>
            <w:pPr>
              <w:ind w:left="460"/>
              <w:spacing w:after="0"/>
              <w:rPr>
                <w:sz w:val="20"/>
                <w:szCs w:val="20"/>
                <w:color w:val="auto"/>
              </w:rPr>
            </w:pPr>
            <w:r>
              <w:rPr>
                <w:rFonts w:ascii="Arial" w:cs="Arial" w:eastAsia="Arial" w:hAnsi="Arial"/>
                <w:sz w:val="12"/>
                <w:szCs w:val="12"/>
                <w:b w:val="1"/>
                <w:bCs w:val="1"/>
                <w:color w:val="auto"/>
              </w:rPr>
              <w:t>Maturity</w:t>
            </w:r>
          </w:p>
        </w:tc>
        <w:tc>
          <w:tcPr>
            <w:tcW w:w="16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Coupon</w:t>
            </w:r>
          </w:p>
        </w:tc>
        <w:tc>
          <w:tcPr>
            <w:tcW w:w="920" w:type="dxa"/>
            <w:vAlign w:val="bottom"/>
          </w:tcPr>
          <w:p>
            <w:pPr>
              <w:jc w:val="center"/>
              <w:ind w:right="102"/>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0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840" w:type="dxa"/>
            <w:vAlign w:val="bottom"/>
          </w:tcPr>
          <w:p>
            <w:pPr>
              <w:jc w:val="right"/>
              <w:ind w:right="242"/>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0"/>
        </w:trPr>
        <w:tc>
          <w:tcPr>
            <w:tcW w:w="46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b w:val="1"/>
                <w:bCs w:val="1"/>
                <w:color w:val="auto"/>
                <w:w w:val="98"/>
              </w:rPr>
              <w:t xml:space="preserve">Investments in Non-Controlled, Non-Affiliated Portfolio Companies—104.2% </w:t>
            </w:r>
            <w:r>
              <w:rPr>
                <w:rFonts w:ascii="Arial" w:cs="Arial" w:eastAsia="Arial" w:hAnsi="Arial"/>
                <w:sz w:val="9"/>
                <w:szCs w:val="9"/>
                <w:b w:val="1"/>
                <w:bCs w:val="1"/>
                <w:color w:val="auto"/>
                <w:w w:val="98"/>
              </w:rPr>
              <w:t>(3), (4)</w:t>
            </w:r>
          </w:p>
        </w:tc>
        <w:tc>
          <w:tcPr>
            <w:tcW w:w="1000" w:type="dxa"/>
            <w:vAlign w:val="bottom"/>
            <w:tcBorders>
              <w:top w:val="single" w:sz="8" w:color="auto"/>
            </w:tcBorders>
            <w:shd w:val="clear" w:color="auto" w:fill="CCEEFF"/>
          </w:tcPr>
          <w:p>
            <w:pPr>
              <w:spacing w:after="0"/>
              <w:rPr>
                <w:sz w:val="10"/>
                <w:szCs w:val="10"/>
                <w:color w:val="auto"/>
              </w:rPr>
            </w:pPr>
          </w:p>
        </w:tc>
        <w:tc>
          <w:tcPr>
            <w:tcW w:w="16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Debt—89.1%</w:t>
            </w:r>
          </w:p>
        </w:tc>
        <w:tc>
          <w:tcPr>
            <w:tcW w:w="10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AKA Diversified Holdings,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04/02/2018</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11.97%</w:t>
            </w:r>
          </w:p>
        </w:tc>
        <w:tc>
          <w:tcPr>
            <w:tcW w:w="9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(9)</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10,734,388</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  10,555,953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  10,895,404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AKA Diversified Holdings, Inc. (Revolver) </w:t>
            </w:r>
            <w:r>
              <w:rPr>
                <w:rFonts w:ascii="Arial" w:cs="Arial" w:eastAsia="Arial" w:hAnsi="Arial"/>
                <w:sz w:val="9"/>
                <w:szCs w:val="9"/>
                <w:color w:val="auto"/>
              </w:rPr>
              <w:t>(10)</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04/02/2018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1,165,725</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17,486</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ALG USA Holdings,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02/28/2019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7,136,577</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7,101,328</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7,118,736</w:t>
            </w: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04/04/2022</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3,900,038</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3,881,182</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3,880,538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Ancile Solutions,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07/16/2018</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2,990,287</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2,971,513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2,975,336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 Gaming I,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12/21/2020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9.25%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L+825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6,602,074</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6,517,717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6,492,018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ARC Automotive Group,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10/12/2020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3"/>
              </w:rPr>
              <w:t>Automotive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3,970,000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3,935,708</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3,930,300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Azure Midstream Energy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11/15/2018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Energy: Oil and Gas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5,310,750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5,189,661</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4,514,138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Blue Bird Body Company</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06/29/2020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3"/>
              </w:rPr>
              <w:t>Automotive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4,280,585</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4,227,278</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4,264,533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Bowlmor AMF Corp.</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09/17/2021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12,902,393</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12,820,758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12,805,625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Camin Cargo Control,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06/30/2021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Transportation: Cargo</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2,493,750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2,469,351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2,468,812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CareCentrix,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07/08/2021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4,878,103</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4,870,850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07/02/2020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8.25%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4,961,991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4,700,000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Charming Charlie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12/24/2019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4,432,500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4,381,480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4,210,875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tcPr>
          <w:p>
            <w:pPr>
              <w:spacing w:after="0" w:line="129" w:lineRule="exact"/>
              <w:rPr>
                <w:sz w:val="20"/>
                <w:szCs w:val="20"/>
                <w:color w:val="auto"/>
              </w:rPr>
            </w:pPr>
            <w:r>
              <w:rPr>
                <w:rFonts w:ascii="Arial" w:cs="Arial" w:eastAsia="Arial" w:hAnsi="Arial"/>
                <w:sz w:val="12"/>
                <w:szCs w:val="12"/>
                <w:color w:val="auto"/>
              </w:rPr>
              <w:t>Chicken Soup for the Soul Publishing, LLC</w:t>
            </w:r>
          </w:p>
        </w:tc>
        <w:tc>
          <w:tcPr>
            <w:tcW w:w="1000" w:type="dxa"/>
            <w:vAlign w:val="bottom"/>
          </w:tcPr>
          <w:p>
            <w:pPr>
              <w:ind w:left="420"/>
              <w:spacing w:after="0" w:line="129" w:lineRule="exact"/>
              <w:rPr>
                <w:sz w:val="20"/>
                <w:szCs w:val="20"/>
                <w:color w:val="auto"/>
              </w:rPr>
            </w:pPr>
            <w:r>
              <w:rPr>
                <w:rFonts w:ascii="Arial" w:cs="Arial" w:eastAsia="Arial" w:hAnsi="Arial"/>
                <w:sz w:val="12"/>
                <w:szCs w:val="12"/>
                <w:color w:val="auto"/>
                <w:w w:val="93"/>
              </w:rPr>
              <w:t>01/08/2019</w:t>
            </w:r>
          </w:p>
        </w:tc>
        <w:tc>
          <w:tcPr>
            <w:tcW w:w="168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80" w:type="dxa"/>
            <w:vAlign w:val="bottom"/>
          </w:tcPr>
          <w:p>
            <w:pPr>
              <w:jc w:val="right"/>
              <w:ind w:right="82"/>
              <w:spacing w:after="0" w:line="129" w:lineRule="exact"/>
              <w:rPr>
                <w:sz w:val="20"/>
                <w:szCs w:val="20"/>
                <w:color w:val="auto"/>
              </w:rPr>
            </w:pPr>
            <w:r>
              <w:rPr>
                <w:rFonts w:ascii="Arial" w:cs="Arial" w:eastAsia="Arial" w:hAnsi="Arial"/>
                <w:sz w:val="12"/>
                <w:szCs w:val="12"/>
                <w:color w:val="auto"/>
              </w:rPr>
              <w:t>7.25%</w:t>
            </w:r>
          </w:p>
        </w:tc>
        <w:tc>
          <w:tcPr>
            <w:tcW w:w="92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4,925,000</w:t>
            </w:r>
          </w:p>
        </w:tc>
        <w:tc>
          <w:tcPr>
            <w:tcW w:w="8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4,887,389</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4,925,000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CRGT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12/21/2020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11,861,946</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11,755,521</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11,743,327</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Curo Health Services Holdings,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02/07/2022</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1,971,403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1,988,348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DCS Business Services,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03/19/2018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2,976,683</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2,952,648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3,017,613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DISA Global Solutions,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12/09/2020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4,975,000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4,931,287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4,875,500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268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06/30/2020   Chemicals, Plastics and Rubber</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4,901,367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4,937,500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09/10/2020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9,000,000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8,955,000</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8,955,000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09/10/2020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Emerging Markets Communications,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07/01/2021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4,987,500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4,914,374</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4,862,812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FHC Health Systems,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12/23/2021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4,975,000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4,927,105</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4,897,290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GlobalLogic Holdings,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05/31/2019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3,930,000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3,900,641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3,910,350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Granite Broadcasting Corporation</w:t>
            </w:r>
          </w:p>
        </w:tc>
        <w:tc>
          <w:tcPr>
            <w:tcW w:w="1000" w:type="dxa"/>
            <w:vAlign w:val="bottom"/>
            <w:shd w:val="clear" w:color="auto" w:fill="CCEEFF"/>
          </w:tcPr>
          <w:p>
            <w:pPr>
              <w:ind w:left="420"/>
              <w:spacing w:after="0" w:line="129" w:lineRule="exact"/>
              <w:rPr>
                <w:sz w:val="20"/>
                <w:szCs w:val="20"/>
                <w:color w:val="auto"/>
              </w:rPr>
            </w:pPr>
            <w:r>
              <w:rPr>
                <w:rFonts w:ascii="Arial" w:cs="Arial" w:eastAsia="Arial" w:hAnsi="Arial"/>
                <w:sz w:val="12"/>
                <w:szCs w:val="12"/>
                <w:color w:val="auto"/>
                <w:w w:val="93"/>
              </w:rPr>
              <w:t>05/23/2018</w:t>
            </w:r>
          </w:p>
        </w:tc>
        <w:tc>
          <w:tcPr>
            <w:tcW w:w="16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Media: Broadcasting and</w:t>
            </w:r>
          </w:p>
        </w:tc>
        <w:tc>
          <w:tcPr>
            <w:tcW w:w="78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6.75%</w:t>
            </w:r>
          </w:p>
        </w:tc>
        <w:tc>
          <w:tcPr>
            <w:tcW w:w="92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1,091,582</w:t>
            </w:r>
          </w:p>
        </w:tc>
        <w:tc>
          <w:tcPr>
            <w:tcW w:w="84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1,090,547</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1,088,177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Subscription</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Greenway Health,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11/04/2020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6,877,500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6,827,661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6,739,950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Help/Systems Holdings,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06/28/2019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4,866,257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4,851,000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10/21/2020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1,194,000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1,178,322</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1,194,000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Hostway Corporation</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12/13/2019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2,753,737</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2,734,900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2,726,199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Hunter Defense Technologies,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08/05/2019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6,650,000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6,598,073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6,641,687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ICC-Nexergy,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04/30/2020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4,987,500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4,941,329</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4,937,625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11/04/2020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L+625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6,965,000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6,842,099</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6,965,000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05/01/2019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10,094,315</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10,001,190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9,084,884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tcPr>
          <w:p>
            <w:pPr>
              <w:spacing w:after="0" w:line="129" w:lineRule="exact"/>
              <w:rPr>
                <w:sz w:val="20"/>
                <w:szCs w:val="20"/>
                <w:color w:val="auto"/>
              </w:rPr>
            </w:pPr>
            <w:r>
              <w:rPr>
                <w:rFonts w:ascii="Arial" w:cs="Arial" w:eastAsia="Arial" w:hAnsi="Arial"/>
                <w:sz w:val="12"/>
                <w:szCs w:val="12"/>
                <w:color w:val="auto"/>
              </w:rPr>
              <w:t>Instant Web, LLC, Term Loan A</w:t>
            </w:r>
          </w:p>
        </w:tc>
        <w:tc>
          <w:tcPr>
            <w:tcW w:w="1000" w:type="dxa"/>
            <w:vAlign w:val="bottom"/>
          </w:tcPr>
          <w:p>
            <w:pPr>
              <w:ind w:left="420"/>
              <w:spacing w:after="0" w:line="129" w:lineRule="exact"/>
              <w:rPr>
                <w:sz w:val="20"/>
                <w:szCs w:val="20"/>
                <w:color w:val="auto"/>
              </w:rPr>
            </w:pPr>
            <w:r>
              <w:rPr>
                <w:rFonts w:ascii="Arial" w:cs="Arial" w:eastAsia="Arial" w:hAnsi="Arial"/>
                <w:sz w:val="12"/>
                <w:szCs w:val="12"/>
                <w:color w:val="auto"/>
                <w:w w:val="93"/>
              </w:rPr>
              <w:t>03/28/2019</w:t>
            </w:r>
          </w:p>
        </w:tc>
        <w:tc>
          <w:tcPr>
            <w:tcW w:w="168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80" w:type="dxa"/>
            <w:vAlign w:val="bottom"/>
          </w:tcPr>
          <w:p>
            <w:pPr>
              <w:jc w:val="right"/>
              <w:ind w:right="82"/>
              <w:spacing w:after="0" w:line="129" w:lineRule="exact"/>
              <w:rPr>
                <w:sz w:val="20"/>
                <w:szCs w:val="20"/>
                <w:color w:val="auto"/>
              </w:rPr>
            </w:pPr>
            <w:r>
              <w:rPr>
                <w:rFonts w:ascii="Arial" w:cs="Arial" w:eastAsia="Arial" w:hAnsi="Arial"/>
                <w:sz w:val="12"/>
                <w:szCs w:val="12"/>
                <w:color w:val="auto"/>
              </w:rPr>
              <w:t>5.50%</w:t>
            </w:r>
          </w:p>
        </w:tc>
        <w:tc>
          <w:tcPr>
            <w:tcW w:w="92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5,366,227</w:t>
            </w:r>
          </w:p>
        </w:tc>
        <w:tc>
          <w:tcPr>
            <w:tcW w:w="8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5,306,494</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5,366,227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Instant Web, LLC, Term Loan B</w:t>
            </w:r>
          </w:p>
        </w:tc>
        <w:tc>
          <w:tcPr>
            <w:tcW w:w="1000" w:type="dxa"/>
            <w:vAlign w:val="bottom"/>
            <w:shd w:val="clear" w:color="auto" w:fill="CCEEFF"/>
          </w:tcPr>
          <w:p>
            <w:pPr>
              <w:ind w:left="420"/>
              <w:spacing w:after="0" w:line="129" w:lineRule="exact"/>
              <w:rPr>
                <w:sz w:val="20"/>
                <w:szCs w:val="20"/>
                <w:color w:val="auto"/>
              </w:rPr>
            </w:pPr>
            <w:r>
              <w:rPr>
                <w:rFonts w:ascii="Arial" w:cs="Arial" w:eastAsia="Arial" w:hAnsi="Arial"/>
                <w:sz w:val="12"/>
                <w:szCs w:val="12"/>
                <w:color w:val="auto"/>
                <w:w w:val="93"/>
              </w:rPr>
              <w:t>03/28/2019</w:t>
            </w:r>
          </w:p>
        </w:tc>
        <w:tc>
          <w:tcPr>
            <w:tcW w:w="16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8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12.00%</w:t>
            </w:r>
          </w:p>
        </w:tc>
        <w:tc>
          <w:tcPr>
            <w:tcW w:w="92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L+1,100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4,500,000</w:t>
            </w:r>
          </w:p>
        </w:tc>
        <w:tc>
          <w:tcPr>
            <w:tcW w:w="84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4,447,058</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4,500,000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Publishing</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Interior Specialists,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06/30/2020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6,800,000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6,734,452</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6,800,000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Jackson Hewitt Tax Service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07/30/2020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8.00%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4,901,996</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2680" w:type="dxa"/>
            <w:vAlign w:val="bottom"/>
            <w:gridSpan w:val="2"/>
          </w:tcPr>
          <w:p>
            <w:pPr>
              <w:ind w:left="420"/>
              <w:spacing w:after="0" w:line="135" w:lineRule="exact"/>
              <w:rPr>
                <w:sz w:val="20"/>
                <w:szCs w:val="20"/>
                <w:color w:val="auto"/>
              </w:rPr>
            </w:pPr>
            <w:r>
              <w:rPr>
                <w:rFonts w:ascii="Arial" w:cs="Arial" w:eastAsia="Arial" w:hAnsi="Arial"/>
                <w:sz w:val="12"/>
                <w:szCs w:val="12"/>
                <w:color w:val="auto"/>
                <w:w w:val="93"/>
              </w:rPr>
              <w:t>08/19/2019   Chemicals, Plastics and Rubber</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11.00%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L+1,000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5,965,222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5,874,403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5,537,227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Kendra Scott,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07/17/2020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3,000,000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2,970,849</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2,977,500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Lanyon Solutions,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11/13/2020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1,965,012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1,958,874</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1,943,731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11/30/2018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5,789,068</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5,735,375</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5,736,619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(11)</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05/10/2021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2,208,750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2,197,809</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2,197,706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05/10/2021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285,000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283,588</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283,575</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LTI Holdings, Inc.</w:t>
            </w:r>
          </w:p>
        </w:tc>
        <w:tc>
          <w:tcPr>
            <w:tcW w:w="2680" w:type="dxa"/>
            <w:vAlign w:val="bottom"/>
            <w:gridSpan w:val="2"/>
          </w:tcPr>
          <w:p>
            <w:pPr>
              <w:ind w:left="420"/>
              <w:spacing w:after="0" w:line="135" w:lineRule="exact"/>
              <w:rPr>
                <w:sz w:val="20"/>
                <w:szCs w:val="20"/>
                <w:color w:val="auto"/>
              </w:rPr>
            </w:pPr>
            <w:r>
              <w:rPr>
                <w:rFonts w:ascii="Arial" w:cs="Arial" w:eastAsia="Arial" w:hAnsi="Arial"/>
                <w:sz w:val="12"/>
                <w:szCs w:val="12"/>
                <w:color w:val="auto"/>
                <w:w w:val="93"/>
              </w:rPr>
              <w:t>04/18/2022   Chemicals, Plastics and Rubber</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1,995,000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1,985,364</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1,973,175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New Trident HoldCorp,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07/31/2019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8,917,647</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8,854,192</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8,566,559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Physiotherapy Corporation </w:t>
            </w:r>
            <w:r>
              <w:rPr>
                <w:rFonts w:ascii="Arial" w:cs="Arial" w:eastAsia="Arial" w:hAnsi="Arial"/>
                <w:sz w:val="9"/>
                <w:szCs w:val="9"/>
                <w:color w:val="auto"/>
              </w:rPr>
              <w:t>(8)</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06/04/2021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3,500,000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3,482,889</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3,491,250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PlayPower,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06/23/2021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3,990,000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3,951,094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3,970,050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Polyconcept Finance B.V.</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06/28/2019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11,482,697</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11,430,576</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11,425,283</w:t>
            </w: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Premier Dental Services,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11/01/2018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8,219,601</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8,131,135</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7,109,955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Profile Products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05/20/2021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7,470,287</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7,398,025</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7,470,287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05/20/2020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2,459,016</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Quality Home Brands Holdings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12/17/2018</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4,912,500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4,880,217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4,914,563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Now Group,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03/18/2021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6,965,000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6,931,604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6,912,763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Robertshaw US Holding Corp.</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06/18/2019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3,582,758</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3,557,217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3,575,247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Ryan,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08/07/2020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4,443,750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4,378,244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4,382,648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Sotera Defense Solutions,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04/21/2017</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6,101,682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5,946,657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5,491,514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St. George’s University Scholastic Services LLC </w:t>
            </w:r>
            <w:r>
              <w:rPr>
                <w:rFonts w:ascii="Arial" w:cs="Arial" w:eastAsia="Arial" w:hAnsi="Arial"/>
                <w:sz w:val="9"/>
                <w:szCs w:val="9"/>
                <w:color w:val="auto"/>
              </w:rPr>
              <w:t>(6), (11)</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08/09/2021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714,200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711,056</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714,200</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Surgical Specialties Corporation (US),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08/22/2018</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10,037,432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10,017,760</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9,937,058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12/16/2020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6,218,750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6,171,308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6,164,336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Systems Maintenance Services Holding,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10/18/2019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5,895,000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5,875,736</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5,895,000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Tensar Corporation</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07/09/2021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4,950,000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4,906,969</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4,588,056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TOMS Shoes,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11/02/2020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1,814,920</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1,845,725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1000" w:type="dxa"/>
            <w:vAlign w:val="bottom"/>
            <w:shd w:val="clear" w:color="auto" w:fill="CCEEFF"/>
          </w:tcPr>
          <w:p>
            <w:pPr>
              <w:ind w:left="420"/>
              <w:spacing w:after="0" w:line="129" w:lineRule="exact"/>
              <w:rPr>
                <w:sz w:val="20"/>
                <w:szCs w:val="20"/>
                <w:color w:val="auto"/>
              </w:rPr>
            </w:pPr>
            <w:r>
              <w:rPr>
                <w:rFonts w:ascii="Arial" w:cs="Arial" w:eastAsia="Arial" w:hAnsi="Arial"/>
                <w:sz w:val="12"/>
                <w:szCs w:val="12"/>
                <w:color w:val="auto"/>
                <w:w w:val="93"/>
              </w:rPr>
              <w:t>01/14/2019</w:t>
            </w:r>
          </w:p>
        </w:tc>
        <w:tc>
          <w:tcPr>
            <w:tcW w:w="16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Telecommunications</w:t>
            </w:r>
          </w:p>
        </w:tc>
        <w:tc>
          <w:tcPr>
            <w:tcW w:w="78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9.50%</w:t>
            </w:r>
          </w:p>
        </w:tc>
        <w:tc>
          <w:tcPr>
            <w:tcW w:w="92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L+850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430,126</w:t>
            </w:r>
          </w:p>
        </w:tc>
        <w:tc>
          <w:tcPr>
            <w:tcW w:w="84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430,126</w:t>
            </w: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430,126</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(PIK 1.00%)</w:t>
            </w:r>
          </w:p>
        </w:tc>
        <w:tc>
          <w:tcPr>
            <w:tcW w:w="9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01/14/2019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8.50%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599,702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548,736</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569,717</w:t>
            </w: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01/14/2019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8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151,090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02"/>
              <w:spacing w:after="0" w:line="135" w:lineRule="exact"/>
              <w:rPr>
                <w:sz w:val="20"/>
                <w:szCs w:val="20"/>
                <w:color w:val="auto"/>
              </w:rPr>
            </w:pPr>
            <w:r>
              <w:rPr>
                <w:rFonts w:ascii="Arial" w:cs="Arial" w:eastAsia="Arial" w:hAnsi="Arial"/>
                <w:sz w:val="12"/>
                <w:szCs w:val="12"/>
                <w:b w:val="1"/>
                <w:bCs w:val="1"/>
                <w:color w:val="auto"/>
              </w:rPr>
              <w:t>Current</w:t>
            </w: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700" w:type="dxa"/>
            <w:vAlign w:val="bottom"/>
            <w:gridSpan w:val="3"/>
            <w:vMerge w:val="continue"/>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Maturity</w:t>
            </w:r>
          </w:p>
        </w:tc>
        <w:tc>
          <w:tcPr>
            <w:tcW w:w="1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jc w:val="right"/>
              <w:ind w:right="302"/>
              <w:spacing w:after="0"/>
              <w:rPr>
                <w:sz w:val="20"/>
                <w:szCs w:val="20"/>
                <w:color w:val="auto"/>
              </w:rPr>
            </w:pPr>
            <w:r>
              <w:rPr>
                <w:rFonts w:ascii="Arial" w:cs="Arial" w:eastAsia="Arial" w:hAnsi="Arial"/>
                <w:sz w:val="12"/>
                <w:szCs w:val="12"/>
                <w:b w:val="1"/>
                <w:bCs w:val="1"/>
                <w:color w:val="auto"/>
              </w:rPr>
              <w:t>Coupon</w:t>
            </w: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U.S. Farathane, LLC</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02/07/2022</w:t>
            </w:r>
          </w:p>
        </w:tc>
        <w:tc>
          <w:tcPr>
            <w:tcW w:w="1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93"/>
              </w:rPr>
              <w:t>Automotive</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6.75</w:t>
            </w:r>
          </w:p>
        </w:tc>
        <w:tc>
          <w:tcPr>
            <w:tcW w:w="280" w:type="dxa"/>
            <w:vAlign w:val="bottom"/>
            <w:tcBorders>
              <w:top w:val="single" w:sz="8" w:color="CCEEFF"/>
            </w:tcBorders>
            <w:shd w:val="clear" w:color="auto" w:fill="CCEEFF"/>
          </w:tcPr>
          <w:p>
            <w:pPr>
              <w:jc w:val="right"/>
              <w:ind w:right="122"/>
              <w:spacing w:after="0" w:line="128" w:lineRule="exact"/>
              <w:rPr>
                <w:sz w:val="20"/>
                <w:szCs w:val="20"/>
                <w:color w:val="auto"/>
              </w:rPr>
            </w:pPr>
            <w:r>
              <w:rPr>
                <w:rFonts w:ascii="Arial" w:cs="Arial" w:eastAsia="Arial" w:hAnsi="Arial"/>
                <w:sz w:val="12"/>
                <w:szCs w:val="12"/>
                <w:color w:val="auto"/>
                <w:w w:val="74"/>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L+575</w:t>
            </w:r>
          </w:p>
        </w:tc>
        <w:tc>
          <w:tcPr>
            <w:tcW w:w="2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3,800,641</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3,729,952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3,807,672</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08/13/2021</w:t>
            </w:r>
          </w:p>
        </w:tc>
        <w:tc>
          <w:tcPr>
            <w:tcW w:w="100" w:type="dxa"/>
            <w:vAlign w:val="bottom"/>
          </w:tcPr>
          <w:p>
            <w:pPr>
              <w:spacing w:after="0"/>
              <w:rPr>
                <w:sz w:val="11"/>
                <w:szCs w:val="11"/>
                <w:color w:val="auto"/>
              </w:rPr>
            </w:pPr>
          </w:p>
        </w:tc>
        <w:tc>
          <w:tcPr>
            <w:tcW w:w="190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10.00%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L+900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3,121,094</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3,121,094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3,121,094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Vistage Worldwide,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08/19/2021</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6.50%</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5,000,000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4,950,477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Wilton Brands,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08/30/2018</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Consumer Goods: Non-Durable</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8.50%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L+725</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2,703,000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2,674,736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2,630,370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Worley Claims Services, LLC</w:t>
            </w:r>
          </w:p>
        </w:tc>
        <w:tc>
          <w:tcPr>
            <w:tcW w:w="7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10/30/2020</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860" w:type="dxa"/>
            <w:vAlign w:val="bottom"/>
            <w:gridSpan w:val="2"/>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9.00%</w:t>
            </w:r>
          </w:p>
        </w:tc>
        <w:tc>
          <w:tcPr>
            <w:tcW w:w="8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L+800</w:t>
            </w:r>
          </w:p>
        </w:tc>
        <w:tc>
          <w:tcPr>
            <w:tcW w:w="7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6,490,688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6,429,955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6,490,688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2"/>
              </w:rPr>
              <w:t>Estate</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Total First Lien Secured Debt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w w:val="83"/>
              </w:rPr>
              <w:t>335,790,073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332,180,834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Second Lien Secured Debt—12.8%</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10/31/2018</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8.50%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L+700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1,000,000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919,155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893,130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09/01/2017</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Metals and Mining</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11.50%</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1,000,000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12/31/2020</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Chemicals, Plastics and Rubber</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11.00%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L+1,050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2,000,000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1,965,770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Howard Berger Co.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09/30/2020</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Wholesale</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11.00%</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L+1,000</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10,423,463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6"/>
              </w:rPr>
              <w:t>10,670,000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J.A. Cosmetics Holdings,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07/31/2019</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11.00%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L+1,000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4,000,000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3,938,373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4,040,000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Language Line,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07/07/2022</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5"/>
              </w:rPr>
              <w:t>Consumer Services</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10.75%</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L+975</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w w:val="93"/>
              </w:rPr>
              <w:t>10,750,000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10,589,814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6"/>
              </w:rPr>
              <w:t>10,723,125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Novitex Acquisition,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07/07/2021</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11.75%</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L+1,050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3"/>
              </w:rPr>
              <w:t>10,902,202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10,780,000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10/02/2020</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Media: Diversified and Production</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9.00%</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L+775</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5,252,824</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5,194,116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5,230,920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08/01/2017</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Energy: Oil and Gas</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10.00%</w:t>
            </w: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2,812,500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2,697,607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2,615,625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47,630,500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6"/>
              </w:rPr>
              <w:t>47,902,800</w:t>
            </w:r>
          </w:p>
        </w:tc>
        <w:tc>
          <w:tcPr>
            <w:tcW w:w="0" w:type="dxa"/>
            <w:vAlign w:val="bottom"/>
          </w:tcPr>
          <w:p>
            <w:pPr>
              <w:spacing w:after="0"/>
              <w:rPr>
                <w:sz w:val="1"/>
                <w:szCs w:val="1"/>
                <w:color w:val="auto"/>
              </w:rPr>
            </w:pPr>
          </w:p>
        </w:tc>
      </w:tr>
      <w:tr>
        <w:trPr>
          <w:trHeight w:val="142"/>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Subordinated Debt/Corporate Notes—1.5% </w:t>
            </w:r>
            <w:r>
              <w:rPr>
                <w:rFonts w:ascii="Arial" w:cs="Arial" w:eastAsia="Arial" w:hAnsi="Arial"/>
                <w:sz w:val="9"/>
                <w:szCs w:val="9"/>
                <w:b w:val="1"/>
                <w:bCs w:val="1"/>
                <w:color w:val="auto"/>
              </w:rPr>
              <w:t>(8)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09/14/2018</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4,786,483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4,361,551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1,818,864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Affinion Investments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08/15/2018</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2,484,000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2,146,500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1,664,280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Credit Infonet, Inc.</w:t>
            </w:r>
          </w:p>
        </w:tc>
        <w:tc>
          <w:tcPr>
            <w:tcW w:w="7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10/26/2018</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9"/>
              </w:rPr>
              <w:t>High Tech Industries</w:t>
            </w:r>
          </w:p>
        </w:tc>
        <w:tc>
          <w:tcPr>
            <w:tcW w:w="860" w:type="dxa"/>
            <w:vAlign w:val="bottom"/>
            <w:gridSpan w:val="2"/>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13.00%</w:t>
            </w:r>
          </w:p>
        </w:tc>
        <w:tc>
          <w:tcPr>
            <w:tcW w:w="82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2,025,065</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1,999,885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1,992,841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2"/>
              <w:spacing w:after="0"/>
              <w:rPr>
                <w:sz w:val="20"/>
                <w:szCs w:val="20"/>
                <w:color w:val="auto"/>
              </w:rPr>
            </w:pPr>
            <w:r>
              <w:rPr>
                <w:rFonts w:ascii="Arial" w:cs="Arial" w:eastAsia="Arial" w:hAnsi="Arial"/>
                <w:sz w:val="12"/>
                <w:szCs w:val="12"/>
                <w:color w:val="auto"/>
              </w:rPr>
              <w:t>(PIK 1.75%)</w:t>
            </w: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tcPr>
          <w:p>
            <w:pPr>
              <w:spacing w:after="0" w:line="129" w:lineRule="exact"/>
              <w:rPr>
                <w:sz w:val="20"/>
                <w:szCs w:val="20"/>
                <w:color w:val="auto"/>
              </w:rPr>
            </w:pPr>
            <w:r>
              <w:rPr>
                <w:rFonts w:ascii="Arial" w:cs="Arial" w:eastAsia="Arial" w:hAnsi="Arial"/>
                <w:sz w:val="12"/>
                <w:szCs w:val="12"/>
                <w:color w:val="auto"/>
              </w:rPr>
              <w:t>UniTek Global Services, Inc.</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07/15/2019</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tcPr>
          <w:p>
            <w:pPr>
              <w:jc w:val="right"/>
              <w:ind w:right="122"/>
              <w:spacing w:after="0" w:line="129" w:lineRule="exact"/>
              <w:rPr>
                <w:sz w:val="20"/>
                <w:szCs w:val="20"/>
                <w:color w:val="auto"/>
              </w:rPr>
            </w:pPr>
            <w:r>
              <w:rPr>
                <w:rFonts w:ascii="Arial" w:cs="Arial" w:eastAsia="Arial" w:hAnsi="Arial"/>
                <w:sz w:val="12"/>
                <w:szCs w:val="12"/>
                <w:color w:val="auto"/>
              </w:rPr>
              <w:t>15.00%</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126,259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126,259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126,259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82"/>
              <w:spacing w:after="0"/>
              <w:rPr>
                <w:sz w:val="20"/>
                <w:szCs w:val="20"/>
                <w:color w:val="auto"/>
              </w:rPr>
            </w:pPr>
            <w:r>
              <w:rPr>
                <w:rFonts w:ascii="Arial" w:cs="Arial" w:eastAsia="Arial" w:hAnsi="Arial"/>
                <w:sz w:val="12"/>
                <w:szCs w:val="12"/>
                <w:color w:val="auto"/>
                <w:w w:val="98"/>
              </w:rPr>
              <w:t>(PIK 15.00%)</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8,634,195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5,602,244</w:t>
            </w:r>
          </w:p>
        </w:tc>
        <w:tc>
          <w:tcPr>
            <w:tcW w:w="0" w:type="dxa"/>
            <w:vAlign w:val="bottom"/>
          </w:tcPr>
          <w:p>
            <w:pPr>
              <w:spacing w:after="0"/>
              <w:rPr>
                <w:sz w:val="1"/>
                <w:szCs w:val="1"/>
                <w:color w:val="auto"/>
              </w:rPr>
            </w:pPr>
          </w:p>
        </w:tc>
      </w:tr>
      <w:tr>
        <w:trPr>
          <w:trHeight w:val="142"/>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Preferred Equity—0.3%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J.A. Cosmetics US, Inc.</w:t>
            </w:r>
          </w:p>
        </w:tc>
        <w:tc>
          <w:tcPr>
            <w:tcW w:w="80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8.00%</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399,704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455,490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UniTek Global Services, Inc.</w:t>
            </w:r>
          </w:p>
        </w:tc>
        <w:tc>
          <w:tcPr>
            <w:tcW w:w="800" w:type="dxa"/>
            <w:vAlign w:val="bottom"/>
            <w:gridSpan w:val="2"/>
          </w:tcPr>
          <w:p>
            <w:pPr>
              <w:ind w:left="260"/>
              <w:spacing w:after="0" w:line="135" w:lineRule="exact"/>
              <w:rPr>
                <w:sz w:val="20"/>
                <w:szCs w:val="20"/>
                <w:color w:val="auto"/>
              </w:rPr>
            </w:pPr>
            <w:r>
              <w:rPr>
                <w:rFonts w:ascii="Arial" w:cs="Arial" w:eastAsia="Arial" w:hAnsi="Arial"/>
                <w:sz w:val="12"/>
                <w:szCs w:val="12"/>
                <w:color w:val="auto"/>
              </w:rPr>
              <w:t>—</w:t>
            </w: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13.50%</w:t>
            </w: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1,047,317</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670,283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691,115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1,069,987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1,146,605</w:t>
            </w:r>
          </w:p>
        </w:tc>
        <w:tc>
          <w:tcPr>
            <w:tcW w:w="0" w:type="dxa"/>
            <w:vAlign w:val="bottom"/>
          </w:tcPr>
          <w:p>
            <w:pPr>
              <w:spacing w:after="0"/>
              <w:rPr>
                <w:sz w:val="1"/>
                <w:szCs w:val="1"/>
                <w:color w:val="auto"/>
              </w:rPr>
            </w:pPr>
          </w:p>
        </w:tc>
      </w:tr>
      <w:tr>
        <w:trPr>
          <w:trHeight w:val="142"/>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Common Equity/Warrants—0.5%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A2Z Wireless Holdings, Inc.</w:t>
            </w:r>
          </w:p>
        </w:tc>
        <w:tc>
          <w:tcPr>
            <w:tcW w:w="80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Retail</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463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118,817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674,296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Affinion Group Holdings, Inc., Series A (Warrants)</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12/12/2023</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554,715</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1,186,649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291,226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B (Warrants)</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12/12/2023</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1,135,743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22,715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tcPr>
          <w:p>
            <w:pPr>
              <w:spacing w:after="0" w:line="129" w:lineRule="exact"/>
              <w:rPr>
                <w:sz w:val="20"/>
                <w:szCs w:val="20"/>
                <w:color w:val="auto"/>
              </w:rPr>
            </w:pPr>
            <w:r>
              <w:rPr>
                <w:rFonts w:ascii="Arial" w:cs="Arial" w:eastAsia="Arial" w:hAnsi="Arial"/>
                <w:sz w:val="12"/>
                <w:szCs w:val="12"/>
                <w:color w:val="auto"/>
              </w:rPr>
              <w:t>Faraday Holdings, LLC</w:t>
            </w:r>
          </w:p>
        </w:tc>
        <w:tc>
          <w:tcPr>
            <w:tcW w:w="80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w:t>
            </w:r>
          </w:p>
        </w:tc>
        <w:tc>
          <w:tcPr>
            <w:tcW w:w="190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90"/>
              </w:rPr>
              <w:t>Construction and Building</w:t>
            </w:r>
          </w:p>
        </w:tc>
        <w:tc>
          <w:tcPr>
            <w:tcW w:w="86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939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45,761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52,466</w:t>
            </w:r>
          </w:p>
        </w:tc>
        <w:tc>
          <w:tcPr>
            <w:tcW w:w="0" w:type="dxa"/>
            <w:vAlign w:val="bottom"/>
          </w:tcPr>
          <w:p>
            <w:pPr>
              <w:spacing w:after="0"/>
              <w:rPr>
                <w:sz w:val="1"/>
                <w:szCs w:val="1"/>
                <w:color w:val="auto"/>
              </w:rPr>
            </w:pPr>
          </w:p>
        </w:tc>
      </w:tr>
      <w:tr>
        <w:trPr>
          <w:trHeight w:val="148"/>
        </w:trPr>
        <w:tc>
          <w:tcPr>
            <w:tcW w:w="4700" w:type="dxa"/>
            <w:vAlign w:val="bottom"/>
            <w:gridSpan w:val="3"/>
          </w:tcPr>
          <w:p>
            <w:pPr>
              <w:spacing w:after="0"/>
              <w:rPr>
                <w:sz w:val="20"/>
                <w:szCs w:val="20"/>
                <w:color w:val="auto"/>
              </w:rPr>
            </w:pPr>
            <w:r>
              <w:rPr>
                <w:rFonts w:ascii="Arial" w:cs="Arial" w:eastAsia="Arial" w:hAnsi="Arial"/>
                <w:sz w:val="12"/>
                <w:szCs w:val="12"/>
                <w:color w:val="auto"/>
              </w:rPr>
              <w:t>(Interior Specialists, Inc.)</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J.A. Cosmetics US, Inc.</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215,689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tcPr>
          <w:p>
            <w:pPr>
              <w:spacing w:after="0" w:line="129" w:lineRule="exact"/>
              <w:rPr>
                <w:sz w:val="20"/>
                <w:szCs w:val="20"/>
                <w:color w:val="auto"/>
              </w:rPr>
            </w:pPr>
            <w:r>
              <w:rPr>
                <w:rFonts w:ascii="Arial" w:cs="Arial" w:eastAsia="Arial" w:hAnsi="Arial"/>
                <w:sz w:val="12"/>
                <w:szCs w:val="12"/>
                <w:color w:val="auto"/>
              </w:rPr>
              <w:t>Patriot National, Inc. (Warrants)</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11/27/2023</w:t>
            </w:r>
          </w:p>
        </w:tc>
        <w:tc>
          <w:tcPr>
            <w:tcW w:w="100" w:type="dxa"/>
            <w:vAlign w:val="bottom"/>
          </w:tcPr>
          <w:p>
            <w:pPr>
              <w:spacing w:after="0"/>
              <w:rPr>
                <w:sz w:val="11"/>
                <w:szCs w:val="11"/>
                <w:color w:val="auto"/>
              </w:rPr>
            </w:pPr>
          </w:p>
        </w:tc>
        <w:tc>
          <w:tcPr>
            <w:tcW w:w="190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86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14,484</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28,002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190,609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2"/>
                <w:szCs w:val="12"/>
                <w:color w:val="auto"/>
                <w:w w:val="82"/>
              </w:rPr>
              <w:t>Estate</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80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149,617</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tcPr>
          <w:p>
            <w:pPr>
              <w:spacing w:after="0" w:line="129" w:lineRule="exact"/>
              <w:rPr>
                <w:sz w:val="20"/>
                <w:szCs w:val="20"/>
                <w:color w:val="auto"/>
              </w:rPr>
            </w:pPr>
            <w:r>
              <w:rPr>
                <w:rFonts w:ascii="Arial" w:cs="Arial" w:eastAsia="Arial" w:hAnsi="Arial"/>
                <w:sz w:val="12"/>
                <w:szCs w:val="12"/>
                <w:color w:val="auto"/>
              </w:rPr>
              <w:t>Vestcom Parent Holdings, Inc.</w:t>
            </w:r>
          </w:p>
        </w:tc>
        <w:tc>
          <w:tcPr>
            <w:tcW w:w="80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w:t>
            </w:r>
          </w:p>
        </w:tc>
        <w:tc>
          <w:tcPr>
            <w:tcW w:w="190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90"/>
              </w:rPr>
              <w:t>Media: Advertising, Printing and</w:t>
            </w:r>
          </w:p>
        </w:tc>
        <w:tc>
          <w:tcPr>
            <w:tcW w:w="86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15,179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56,895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255,899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Publishing</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Equity/Warrants</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1,436,420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1,702,900</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w w:val="83"/>
              </w:rPr>
              <w:t>394,561,175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388,535,383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Investments in Controlled, Affiliated Portfolio Companies—0.7%</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First Lien Secured Debt—0.7%</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GMC Television Broadcasting Holdings, LLC </w:t>
            </w:r>
            <w:r>
              <w:rPr>
                <w:rFonts w:ascii="Arial" w:cs="Arial" w:eastAsia="Arial" w:hAnsi="Arial"/>
                <w:sz w:val="9"/>
                <w:szCs w:val="9"/>
                <w:color w:val="auto"/>
              </w:rPr>
              <w:t>(8), (12)</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12/30/2016</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4.33%</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L+400</w:t>
            </w:r>
            <w:r>
              <w:rPr>
                <w:rFonts w:ascii="Arial" w:cs="Arial" w:eastAsia="Arial" w:hAnsi="Arial"/>
                <w:sz w:val="9"/>
                <w:szCs w:val="9"/>
                <w:color w:val="auto"/>
              </w:rPr>
              <w:t>(9)</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3,702,009</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2,777,132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2,776,507</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Total Investments—104.9%</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w w:val="83"/>
              </w:rPr>
              <w:t>397,338,307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391,311,890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Equivalents—5.8%</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BlackRock Liquidity Funds, Temp Cash and Temp Fund, Institutional Shares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3"/>
              </w:rPr>
              <w:t>21,428,514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21,428,514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Equivalents—110.7%</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83"/>
              </w:rPr>
              <w:t>418,766,821</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6"/>
              </w:rPr>
              <w:t>412,740,404</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Liabilities in Excess of Other Assets—(10.7)%</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0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w w:val="91"/>
              </w:rPr>
              <w:t>(39,849,955)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6"/>
              </w:rPr>
              <w:t>372,890,449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5176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6" w:lineRule="exact"/>
        <w:rPr>
          <w:sz w:val="20"/>
          <w:szCs w:val="20"/>
          <w:color w:val="auto"/>
        </w:rPr>
      </w:pPr>
    </w:p>
    <w:p>
      <w:pPr>
        <w:ind w:left="340" w:hanging="332"/>
        <w:spacing w:after="0" w:line="252" w:lineRule="auto"/>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40" w:right="180" w:hanging="332"/>
        <w:spacing w:after="0" w:line="252" w:lineRule="auto"/>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40" w:right="200" w:hanging="332"/>
        <w:spacing w:after="0" w:line="252" w:lineRule="auto"/>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87"/>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40" w:hanging="332"/>
        <w:spacing w:after="0"/>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securities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87"/>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40" w:right="200" w:hanging="332"/>
        <w:spacing w:after="0" w:line="252" w:lineRule="auto"/>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Became a controlled affiliate during the quarter ended September 30, 2015.</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NOTES TO CONSOLIDATED FINANCIAL STATEMENTS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02" w:lineRule="exact"/>
        <w:rPr>
          <w:sz w:val="20"/>
          <w:szCs w:val="20"/>
          <w:color w:val="auto"/>
        </w:rPr>
      </w:pPr>
    </w:p>
    <w:p>
      <w:pPr>
        <w:ind w:right="200" w:firstLine="685"/>
        <w:spacing w:after="0" w:line="277"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0" w:lineRule="exact"/>
        <w:rPr>
          <w:sz w:val="20"/>
          <w:szCs w:val="20"/>
          <w:color w:val="auto"/>
        </w:rPr>
      </w:pPr>
    </w:p>
    <w:p>
      <w:pPr>
        <w:ind w:firstLine="685"/>
        <w:spacing w:after="0" w:line="254" w:lineRule="auto"/>
        <w:rPr>
          <w:sz w:val="20"/>
          <w:szCs w:val="20"/>
          <w:color w:val="auto"/>
        </w:rPr>
      </w:pPr>
      <w:r>
        <w:rPr>
          <w:rFonts w:ascii="Arial" w:cs="Arial" w:eastAsia="Arial" w:hAnsi="Arial"/>
          <w:sz w:val="18"/>
          <w:szCs w:val="18"/>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entered into the Investment Management Agreement with the Investment Adviser, an external adviser that manages our day-to-day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also entered into the Administration Agreement with the Administrator, which provides the administrative services necessary for us to operate.</w:t>
      </w:r>
    </w:p>
    <w:p>
      <w:pPr>
        <w:spacing w:after="0" w:line="195" w:lineRule="exact"/>
        <w:rPr>
          <w:sz w:val="20"/>
          <w:szCs w:val="20"/>
          <w:color w:val="auto"/>
        </w:rPr>
      </w:pPr>
    </w:p>
    <w:p>
      <w:pPr>
        <w:ind w:right="20" w:firstLine="685"/>
        <w:spacing w:after="0" w:line="297"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$350 million as of September 30, 2016 at LIBOR plus 200 basis points during the revolving period. The Credit Facility is secured by all of the assets held by Funding I. See Note 11.</w:t>
      </w:r>
    </w:p>
    <w:p>
      <w:pPr>
        <w:spacing w:after="0" w:line="118" w:lineRule="exact"/>
        <w:rPr>
          <w:sz w:val="20"/>
          <w:szCs w:val="20"/>
          <w:color w:val="auto"/>
        </w:rPr>
      </w:pPr>
    </w:p>
    <w:p>
      <w:pPr>
        <w:ind w:right="520" w:firstLine="685"/>
        <w:spacing w:after="0" w:line="312" w:lineRule="auto"/>
        <w:rPr>
          <w:sz w:val="20"/>
          <w:szCs w:val="20"/>
          <w:color w:val="auto"/>
        </w:rPr>
      </w:pPr>
      <w:r>
        <w:rPr>
          <w:rFonts w:ascii="Arial" w:cs="Arial" w:eastAsia="Arial" w:hAnsi="Arial"/>
          <w:sz w:val="16"/>
          <w:szCs w:val="16"/>
          <w:color w:val="auto"/>
        </w:rPr>
        <w:t>We have formed and expect to continue to form certain Taxable Subsidiaries which are taxed as corporations for federal income tax purposes. Accordingly, the Taxable Subsidiaries will pay income taxes at regular corporate income tax rates. These Taxable Subsidiaries allow us to hold equity securities of portfolio companies organized as pass-through entities while continuing to satisfy the requirements of a RIC under the Code.</w:t>
      </w:r>
    </w:p>
    <w:p>
      <w:pPr>
        <w:spacing w:after="0" w:line="106" w:lineRule="exact"/>
        <w:rPr>
          <w:sz w:val="20"/>
          <w:szCs w:val="20"/>
          <w:color w:val="auto"/>
        </w:rPr>
      </w:pPr>
    </w:p>
    <w:p>
      <w:pPr>
        <w:ind w:right="60" w:firstLine="685"/>
        <w:spacing w:after="0" w:line="264" w:lineRule="auto"/>
        <w:rPr>
          <w:sz w:val="20"/>
          <w:szCs w:val="20"/>
          <w:color w:val="auto"/>
        </w:rPr>
      </w:pPr>
      <w:r>
        <w:rPr>
          <w:rFonts w:ascii="Arial" w:cs="Arial" w:eastAsia="Arial" w:hAnsi="Arial"/>
          <w:sz w:val="18"/>
          <w:szCs w:val="18"/>
          <w:color w:val="auto"/>
        </w:rPr>
        <w:t>In August 2015, we completed the acquisition of MCG pursuant to the Agreement and Plan of Merger by and among MCG, our Investment Adviser and the Company. As a result of the transactions completed by the Merger Agreement, MCG was ultimately merged with and into PFLT Funding II, LLC with PFLT Funding II, LLC as the surviving company. See Note 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89" w:lineRule="exact"/>
        <w:rPr>
          <w:sz w:val="20"/>
          <w:szCs w:val="20"/>
          <w:color w:val="auto"/>
        </w:rPr>
      </w:pPr>
    </w:p>
    <w:p>
      <w:pPr>
        <w:ind w:firstLine="685"/>
        <w:spacing w:after="0" w:line="254" w:lineRule="auto"/>
        <w:rPr>
          <w:sz w:val="20"/>
          <w:szCs w:val="20"/>
          <w:color w:val="auto"/>
        </w:rPr>
      </w:pPr>
      <w:r>
        <w:rPr>
          <w:rFonts w:ascii="Arial" w:cs="Arial" w:eastAsia="Arial" w:hAnsi="Arial"/>
          <w:sz w:val="18"/>
          <w:szCs w:val="18"/>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65" w:lineRule="exact"/>
        <w:rPr>
          <w:sz w:val="20"/>
          <w:szCs w:val="20"/>
          <w:color w:val="auto"/>
        </w:rPr>
      </w:pPr>
    </w:p>
    <w:p>
      <w:pPr>
        <w:ind w:right="60" w:firstLine="685"/>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98" w:lineRule="exact"/>
        <w:rPr>
          <w:sz w:val="20"/>
          <w:szCs w:val="20"/>
          <w:color w:val="auto"/>
        </w:rPr>
      </w:pPr>
    </w:p>
    <w:p>
      <w:pPr>
        <w:ind w:right="320" w:firstLine="685"/>
        <w:spacing w:after="0" w:line="277" w:lineRule="auto"/>
        <w:rPr>
          <w:sz w:val="20"/>
          <w:szCs w:val="20"/>
          <w:color w:val="auto"/>
        </w:rPr>
      </w:pPr>
      <w:r>
        <w:rPr>
          <w:rFonts w:ascii="Arial" w:cs="Arial" w:eastAsia="Arial" w:hAnsi="Arial"/>
          <w:sz w:val="18"/>
          <w:szCs w:val="18"/>
          <w:color w:val="auto"/>
        </w:rPr>
        <w:t>We expect that there may not be readily available market values for many of our investments, which are or will be in our portfolio, and we value such investments at fair value as determined in good faith by or under the direction of our board of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51"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7" w:lineRule="exact"/>
        <w:rPr>
          <w:sz w:val="20"/>
          <w:szCs w:val="20"/>
          <w:color w:val="auto"/>
        </w:rPr>
      </w:pPr>
    </w:p>
    <w:p>
      <w:pPr>
        <w:ind w:left="900" w:hanging="446"/>
        <w:spacing w:after="0" w:line="253" w:lineRule="auto"/>
        <w:tabs>
          <w:tab w:leader="none" w:pos="9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73" w:lineRule="exact"/>
        <w:rPr>
          <w:rFonts w:ascii="Arial" w:cs="Arial" w:eastAsia="Arial" w:hAnsi="Arial"/>
          <w:sz w:val="14"/>
          <w:szCs w:val="14"/>
          <w:color w:val="auto"/>
        </w:rPr>
      </w:pPr>
    </w:p>
    <w:p>
      <w:pPr>
        <w:ind w:left="900" w:hanging="446"/>
        <w:spacing w:after="0"/>
        <w:tabs>
          <w:tab w:leader="none" w:pos="9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203" w:lineRule="exact"/>
        <w:rPr>
          <w:rFonts w:ascii="Arial" w:cs="Arial" w:eastAsia="Arial" w:hAnsi="Arial"/>
          <w:sz w:val="14"/>
          <w:szCs w:val="14"/>
          <w:color w:val="auto"/>
        </w:rPr>
      </w:pPr>
    </w:p>
    <w:p>
      <w:pPr>
        <w:jc w:val="both"/>
        <w:ind w:left="900" w:right="260" w:hanging="446"/>
        <w:spacing w:after="0" w:line="264" w:lineRule="auto"/>
        <w:tabs>
          <w:tab w:leader="none" w:pos="9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68" w:lineRule="exact"/>
        <w:rPr>
          <w:rFonts w:ascii="Arial" w:cs="Arial" w:eastAsia="Arial" w:hAnsi="Arial"/>
          <w:sz w:val="13"/>
          <w:szCs w:val="13"/>
          <w:color w:val="auto"/>
        </w:rPr>
      </w:pPr>
    </w:p>
    <w:p>
      <w:pPr>
        <w:ind w:left="900" w:right="140" w:hanging="446"/>
        <w:spacing w:after="0" w:line="238" w:lineRule="auto"/>
        <w:tabs>
          <w:tab w:leader="none" w:pos="9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82" w:lineRule="exact"/>
        <w:rPr>
          <w:rFonts w:ascii="Arial" w:cs="Arial" w:eastAsia="Arial" w:hAnsi="Arial"/>
          <w:sz w:val="14"/>
          <w:szCs w:val="14"/>
          <w:color w:val="auto"/>
        </w:rPr>
      </w:pPr>
    </w:p>
    <w:p>
      <w:pPr>
        <w:ind w:left="900" w:right="280" w:hanging="446"/>
        <w:spacing w:after="0" w:line="253" w:lineRule="auto"/>
        <w:tabs>
          <w:tab w:leader="none" w:pos="9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8" w:lineRule="exact"/>
        <w:rPr>
          <w:sz w:val="20"/>
          <w:szCs w:val="20"/>
          <w:color w:val="auto"/>
        </w:rPr>
      </w:pPr>
    </w:p>
    <w:p>
      <w:pPr>
        <w:ind w:firstLine="685"/>
        <w:spacing w:after="0" w:line="297"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98"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48" w:lineRule="exact"/>
        <w:rPr>
          <w:sz w:val="20"/>
          <w:szCs w:val="20"/>
          <w:color w:val="auto"/>
        </w:rPr>
      </w:pPr>
    </w:p>
    <w:p>
      <w:pPr>
        <w:ind w:firstLine="685"/>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 Litigation settlements are accounted for in accordance with the gain contingency provisions of ASC 450-30.</w:t>
      </w:r>
    </w:p>
    <w:p>
      <w:pPr>
        <w:spacing w:after="0" w:line="127" w:lineRule="exact"/>
        <w:rPr>
          <w:sz w:val="20"/>
          <w:szCs w:val="20"/>
          <w:color w:val="auto"/>
        </w:rPr>
      </w:pPr>
    </w:p>
    <w:p>
      <w:pPr>
        <w:ind w:right="140" w:firstLine="685"/>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Income Taxes</w:t>
      </w:r>
    </w:p>
    <w:p>
      <w:pPr>
        <w:spacing w:after="0" w:line="198" w:lineRule="exact"/>
        <w:rPr>
          <w:sz w:val="20"/>
          <w:szCs w:val="20"/>
          <w:color w:val="auto"/>
        </w:rPr>
      </w:pPr>
    </w:p>
    <w:p>
      <w:pPr>
        <w:ind w:right="20" w:firstLine="685"/>
        <w:spacing w:after="0" w:line="272" w:lineRule="auto"/>
        <w:rPr>
          <w:sz w:val="20"/>
          <w:szCs w:val="20"/>
          <w:color w:val="auto"/>
        </w:rPr>
      </w:pPr>
      <w:r>
        <w:rPr>
          <w:rFonts w:ascii="Arial" w:cs="Arial" w:eastAsia="Arial" w:hAnsi="Arial"/>
          <w:sz w:val="17"/>
          <w:szCs w:val="17"/>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are not subject to federal income taxes as a RIC, we may elect to retain a portion of our calendar year income, which may result in an excise tax. For the fiscal years ended September 30, 2016, 2015 and 2014, we had accrued an excise tax of zero, $0.4 million and $0.5 million, respectively.</w:t>
      </w:r>
    </w:p>
    <w:p>
      <w:pPr>
        <w:spacing w:after="0" w:line="137"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We recognize the effect of a tax position in our Consolidated Financial Statements when it is more likely than not, based on the technical merits, that the position will be sustained upon examination by the applicable tax authority. Tax benefits of positions not considered to satisfy the “more-likely-than-not” threshold would be recorded as a tax expense. We did not have any material uncertain tax positions or any unrecognized tax benefits that met the recognition or measurement criteria of ASC 740-10-25 as of the periods presented herein.</w:t>
      </w:r>
    </w:p>
    <w:p>
      <w:pPr>
        <w:spacing w:after="0" w:line="146" w:lineRule="exact"/>
        <w:rPr>
          <w:sz w:val="20"/>
          <w:szCs w:val="20"/>
          <w:color w:val="auto"/>
        </w:rPr>
      </w:pPr>
    </w:p>
    <w:p>
      <w:pPr>
        <w:ind w:right="160" w:firstLine="685"/>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85" w:lineRule="exact"/>
        <w:rPr>
          <w:sz w:val="20"/>
          <w:szCs w:val="20"/>
          <w:color w:val="auto"/>
        </w:rPr>
      </w:pPr>
    </w:p>
    <w:p>
      <w:pPr>
        <w:ind w:right="20" w:firstLine="685"/>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46" w:lineRule="exact"/>
        <w:rPr>
          <w:sz w:val="20"/>
          <w:szCs w:val="20"/>
          <w:color w:val="auto"/>
        </w:rPr>
      </w:pPr>
    </w:p>
    <w:p>
      <w:pPr>
        <w:ind w:right="280" w:firstLine="685"/>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237" w:lineRule="exact"/>
        <w:rPr>
          <w:sz w:val="20"/>
          <w:szCs w:val="20"/>
          <w:color w:val="auto"/>
        </w:rPr>
      </w:pPr>
    </w:p>
    <w:p>
      <w:pPr>
        <w:ind w:left="1260" w:hanging="455"/>
        <w:spacing w:after="0"/>
        <w:tabs>
          <w:tab w:leader="none" w:pos="12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248" w:lineRule="exact"/>
        <w:rPr>
          <w:rFonts w:ascii="Arial" w:cs="Arial" w:eastAsia="Arial" w:hAnsi="Arial"/>
          <w:sz w:val="16"/>
          <w:szCs w:val="16"/>
          <w:color w:val="auto"/>
        </w:rPr>
      </w:pPr>
    </w:p>
    <w:p>
      <w:pPr>
        <w:ind w:left="1260" w:right="640" w:hanging="455"/>
        <w:spacing w:after="0" w:line="277" w:lineRule="auto"/>
        <w:tabs>
          <w:tab w:leader="none" w:pos="1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30" w:lineRule="exact"/>
        <w:rPr>
          <w:sz w:val="20"/>
          <w:szCs w:val="20"/>
          <w:color w:val="auto"/>
        </w:rPr>
      </w:pPr>
    </w:p>
    <w:p>
      <w:pPr>
        <w:ind w:right="200" w:firstLine="685"/>
        <w:spacing w:after="0" w:line="288"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ind w:right="260" w:firstLine="685"/>
        <w:spacing w:after="0" w:line="254"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Consolidation</w:t>
      </w:r>
    </w:p>
    <w:p>
      <w:pPr>
        <w:spacing w:after="0" w:line="185" w:lineRule="exact"/>
        <w:rPr>
          <w:sz w:val="20"/>
          <w:szCs w:val="20"/>
          <w:color w:val="auto"/>
        </w:rPr>
      </w:pPr>
    </w:p>
    <w:p>
      <w:pPr>
        <w:ind w:right="80" w:firstLine="685"/>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subsidiaries in our Consolidated Financial Statements.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Asset Transfers and Servicing</w:t>
      </w:r>
    </w:p>
    <w:p>
      <w:pPr>
        <w:spacing w:after="0" w:line="198" w:lineRule="exact"/>
        <w:rPr>
          <w:sz w:val="20"/>
          <w:szCs w:val="20"/>
          <w:color w:val="auto"/>
        </w:rPr>
      </w:pPr>
    </w:p>
    <w:p>
      <w:pPr>
        <w:ind w:right="20" w:firstLine="685"/>
        <w:spacing w:after="0" w:line="264"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such assets are not intended to be available to the creditors of PennantPark Floating Rate Capital Ltd. or any of its affiliates.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89" w:lineRule="exact"/>
        <w:rPr>
          <w:sz w:val="20"/>
          <w:szCs w:val="20"/>
          <w:color w:val="auto"/>
        </w:rPr>
      </w:pPr>
    </w:p>
    <w:p>
      <w:pPr>
        <w:ind w:right="100" w:firstLine="685"/>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Advisers, in February 2016.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62" w:lineRule="exact"/>
        <w:rPr>
          <w:sz w:val="20"/>
          <w:szCs w:val="20"/>
          <w:color w:val="auto"/>
        </w:rPr>
      </w:pPr>
    </w:p>
    <w:p>
      <w:pPr>
        <w:ind w:firstLine="685"/>
        <w:spacing w:after="0" w:line="270" w:lineRule="auto"/>
        <w:rPr>
          <w:sz w:val="20"/>
          <w:szCs w:val="20"/>
          <w:color w:val="auto"/>
        </w:rPr>
      </w:pPr>
      <w:r>
        <w:rPr>
          <w:rFonts w:ascii="Arial" w:cs="Arial" w:eastAsia="Arial" w:hAnsi="Arial"/>
          <w:sz w:val="17"/>
          <w:szCs w:val="17"/>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2016, 2015 and 2014, the Investment Adviser earned a base management fee of $5.0 million, $3.6 million and $3.7 million, respectively, from us.</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incentive fee has two parts, as follows:</w:t>
      </w:r>
    </w:p>
    <w:p>
      <w:pPr>
        <w:spacing w:after="0" w:line="185" w:lineRule="exact"/>
        <w:rPr>
          <w:sz w:val="20"/>
          <w:szCs w:val="20"/>
          <w:color w:val="auto"/>
        </w:rPr>
      </w:pPr>
    </w:p>
    <w:p>
      <w:pPr>
        <w:ind w:right="20" w:firstLine="685"/>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2016, 2015 and 2014, the Investment Adviser earned $3.7 million, $2.2 million and $2.6 million, respectively, in incentive fees on net investment income from us.</w:t>
      </w:r>
    </w:p>
    <w:p>
      <w:pPr>
        <w:spacing w:after="0" w:line="164" w:lineRule="exact"/>
        <w:rPr>
          <w:sz w:val="20"/>
          <w:szCs w:val="20"/>
          <w:color w:val="auto"/>
        </w:rPr>
      </w:pPr>
    </w:p>
    <w:p>
      <w:pPr>
        <w:ind w:right="120" w:firstLine="685"/>
        <w:spacing w:after="0" w:line="277"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 of our realized capital gains, if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2016, 2015 and 2014 the Investment Adviser accrued an incentive fee on capital gains of approximately zero, $(0.4) million and $0.8 million, respectively, as calculated under the Investment Management Agreement (as described above).</w:t>
      </w:r>
    </w:p>
    <w:p>
      <w:pPr>
        <w:spacing w:after="0" w:line="160" w:lineRule="exact"/>
        <w:rPr>
          <w:sz w:val="20"/>
          <w:szCs w:val="20"/>
          <w:color w:val="auto"/>
        </w:rPr>
      </w:pPr>
    </w:p>
    <w:p>
      <w:pPr>
        <w:ind w:right="60" w:firstLine="685"/>
        <w:spacing w:after="0" w:line="283"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2016, 2015 and 2014 was $1.1 million, $(0.7) million and $0.1 million, respectively.</w:t>
      </w:r>
    </w:p>
    <w:p>
      <w:pPr>
        <w:spacing w:after="0" w:line="7" w:lineRule="exact"/>
        <w:rPr>
          <w:sz w:val="20"/>
          <w:szCs w:val="20"/>
          <w:color w:val="auto"/>
        </w:rPr>
      </w:pPr>
    </w:p>
    <w:p>
      <w:pPr>
        <w:ind w:right="40" w:firstLine="685"/>
        <w:spacing w:after="0" w:line="268"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the directors who are not interested persons of us, in February 2016. Under the Administration Agreement, the Administrator provides administration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years ended September 30, 2016, 2015 and 2014, the Investment Adviser was reimbursed approximately $0.8 million, $0.5 million and $0.5 million, respectively, from us, including expenses the Investment Adviser incurred on behalf of the Administrator, for services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202" w:lineRule="exact"/>
        <w:rPr>
          <w:sz w:val="20"/>
          <w:szCs w:val="20"/>
          <w:color w:val="auto"/>
        </w:rPr>
      </w:pPr>
    </w:p>
    <w:p>
      <w:pPr>
        <w:ind w:right="60" w:firstLine="685"/>
        <w:spacing w:after="0" w:line="342" w:lineRule="auto"/>
        <w:rPr>
          <w:sz w:val="20"/>
          <w:szCs w:val="20"/>
          <w:color w:val="auto"/>
        </w:rPr>
      </w:pPr>
      <w:r>
        <w:rPr>
          <w:rFonts w:ascii="Arial" w:cs="Arial" w:eastAsia="Arial" w:hAnsi="Arial"/>
          <w:sz w:val="16"/>
          <w:szCs w:val="16"/>
          <w:color w:val="auto"/>
        </w:rPr>
        <w:t>Purchases of investments, including PIK, for the years ended September 30, 2016, 2015 and 2014 totaled $364.6 million, $224.8 million and $248.8 million, respectively. Sales and repayments of investments for the same periods totaled $164.2 million, $195.0 million and $225.6 million, respectively.</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September 30, 2016</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ind w:left="60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Cost</w:t>
            </w: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Cost</w:t>
            </w: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549,736,982</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548,410,095</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338,567,205</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334,957,341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Second lien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38,404,428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36,596,692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47,630,500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47,902,800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3,228,083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8,634,195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Preferred equity / common equity / warrants</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6,540,774</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10,720,366</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2,506,407</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597,910,267</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598,887,525</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397,338,307</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391,311,890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28,903,359</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21,428,514</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21,428,514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cash and cash equivalents</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626,813,626</w:t>
            </w:r>
          </w:p>
        </w:tc>
        <w:tc>
          <w:tcPr>
            <w:tcW w:w="5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627,798,498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418,766,821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412,740,404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334"/>
              <w:spacing w:after="0"/>
              <w:rPr>
                <w:sz w:val="20"/>
                <w:szCs w:val="20"/>
                <w:color w:val="auto"/>
              </w:rPr>
            </w:pPr>
            <w:r>
              <w:rPr>
                <w:rFonts w:ascii="Arial" w:cs="Arial" w:eastAsia="Arial" w:hAnsi="Arial"/>
                <w:sz w:val="18"/>
                <w:szCs w:val="18"/>
                <w:color w:val="auto"/>
              </w:rPr>
              <w:t>F-19</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1040" w:type="dxa"/>
            <w:vAlign w:val="bottom"/>
            <w:vMerge w:val="restart"/>
          </w:tcPr>
          <w:p>
            <w:pPr>
              <w:spacing w:after="0"/>
              <w:rPr>
                <w:sz w:val="14"/>
                <w:szCs w:val="14"/>
                <w:color w:val="auto"/>
              </w:rPr>
            </w:pPr>
          </w:p>
        </w:tc>
        <w:tc>
          <w:tcPr>
            <w:tcW w:w="20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CCEEFF"/>
            </w:tcBorders>
            <w:vMerge w:val="continue"/>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10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10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Consumer Goods: Non-Durable</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Banking, Finance, Insurance and Real Estate</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ind w:right="940"/>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97" w:lineRule="exact"/>
        <w:rPr>
          <w:sz w:val="20"/>
          <w:szCs w:val="20"/>
          <w:color w:val="auto"/>
        </w:rPr>
      </w:pPr>
    </w:p>
    <w:p>
      <w:pPr>
        <w:ind w:right="20" w:firstLine="685"/>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25" w:lineRule="exact"/>
        <w:rPr>
          <w:sz w:val="20"/>
          <w:szCs w:val="20"/>
          <w:color w:val="auto"/>
        </w:rPr>
      </w:pPr>
    </w:p>
    <w:p>
      <w:pPr>
        <w:ind w:left="1400" w:right="740" w:hanging="823"/>
        <w:spacing w:after="0" w:line="277" w:lineRule="auto"/>
        <w:tabs>
          <w:tab w:leader="none" w:pos="138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62" w:lineRule="exact"/>
        <w:rPr>
          <w:sz w:val="20"/>
          <w:szCs w:val="20"/>
          <w:color w:val="auto"/>
        </w:rPr>
      </w:pPr>
    </w:p>
    <w:p>
      <w:pPr>
        <w:ind w:left="1400" w:right="580" w:hanging="823"/>
        <w:spacing w:after="0" w:line="264" w:lineRule="auto"/>
        <w:tabs>
          <w:tab w:leader="none" w:pos="138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400" w:right="580" w:hanging="823"/>
        <w:spacing w:after="0" w:line="277" w:lineRule="auto"/>
        <w:tabs>
          <w:tab w:leader="none" w:pos="138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0" w:lineRule="exact"/>
        <w:rPr>
          <w:sz w:val="20"/>
          <w:szCs w:val="20"/>
          <w:color w:val="auto"/>
        </w:rPr>
      </w:pPr>
    </w:p>
    <w:p>
      <w:pPr>
        <w:ind w:right="240" w:firstLine="685"/>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right="40" w:firstLine="685"/>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51" w:lineRule="exact"/>
        <w:rPr>
          <w:sz w:val="20"/>
          <w:szCs w:val="20"/>
          <w:color w:val="auto"/>
        </w:rPr>
      </w:pPr>
    </w:p>
    <w:p>
      <w:pPr>
        <w:ind w:right="80" w:firstLine="685"/>
        <w:spacing w:after="0" w:line="255" w:lineRule="auto"/>
        <w:rPr>
          <w:sz w:val="20"/>
          <w:szCs w:val="20"/>
          <w:color w:val="auto"/>
        </w:rPr>
      </w:pPr>
      <w:r>
        <w:rPr>
          <w:rFonts w:ascii="Arial" w:cs="Arial" w:eastAsia="Arial" w:hAnsi="Arial"/>
          <w:sz w:val="18"/>
          <w:szCs w:val="18"/>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53"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one reclassification from Level 2 to 1 and one reclassification from Level 3 to Level 2 during the year ended September 30, 2016. During the year ended September 30, 2015, there were two reclassifications from Level 2 to 3 and one reclassification from Level 3 to 2.</w:t>
      </w:r>
    </w:p>
    <w:p>
      <w:pPr>
        <w:spacing w:after="0" w:line="148" w:lineRule="exact"/>
        <w:rPr>
          <w:sz w:val="20"/>
          <w:szCs w:val="20"/>
          <w:color w:val="auto"/>
        </w:rPr>
      </w:pPr>
    </w:p>
    <w:p>
      <w:pPr>
        <w:ind w:right="180" w:firstLine="685"/>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 and 2(e).</w:t>
      </w:r>
    </w:p>
    <w:p>
      <w:pPr>
        <w:spacing w:after="0" w:line="154" w:lineRule="exact"/>
        <w:rPr>
          <w:sz w:val="20"/>
          <w:szCs w:val="20"/>
          <w:color w:val="auto"/>
        </w:rPr>
      </w:pPr>
    </w:p>
    <w:p>
      <w:pPr>
        <w:ind w:firstLine="685"/>
        <w:spacing w:after="0" w:line="276" w:lineRule="auto"/>
        <w:rPr>
          <w:sz w:val="20"/>
          <w:szCs w:val="20"/>
          <w:color w:val="auto"/>
        </w:rPr>
      </w:pPr>
      <w:r>
        <w:rPr>
          <w:rFonts w:ascii="Arial" w:cs="Arial" w:eastAsia="Arial" w:hAnsi="Arial"/>
          <w:sz w:val="17"/>
          <w:szCs w:val="17"/>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32" w:lineRule="exact"/>
        <w:rPr>
          <w:sz w:val="20"/>
          <w:szCs w:val="20"/>
          <w:color w:val="auto"/>
        </w:rPr>
      </w:pPr>
    </w:p>
    <w:p>
      <w:pPr>
        <w:ind w:right="20" w:firstLine="685"/>
        <w:spacing w:after="0" w:line="288" w:lineRule="auto"/>
        <w:rPr>
          <w:sz w:val="20"/>
          <w:szCs w:val="20"/>
          <w:color w:val="auto"/>
        </w:rPr>
      </w:pPr>
      <w:r>
        <w:rPr>
          <w:rFonts w:ascii="Arial" w:cs="Arial" w:eastAsia="Arial" w:hAnsi="Arial"/>
          <w:sz w:val="16"/>
          <w:szCs w:val="16"/>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Fair Value as of</w:t>
            </w:r>
          </w:p>
        </w:tc>
        <w:tc>
          <w:tcPr>
            <w:tcW w:w="260" w:type="dxa"/>
            <w:vAlign w:val="bottom"/>
          </w:tcPr>
          <w:p>
            <w:pPr>
              <w:spacing w:after="0"/>
              <w:rPr>
                <w:sz w:val="14"/>
                <w:szCs w:val="14"/>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2016</w:t>
            </w:r>
          </w:p>
        </w:tc>
        <w:tc>
          <w:tcPr>
            <w:tcW w:w="26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96"/>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Debt investments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273,399,858</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Market Comparable</w:t>
            </w:r>
          </w:p>
        </w:tc>
        <w:tc>
          <w:tcPr>
            <w:tcW w:w="2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Broker/Dealer bid quotes</w:t>
            </w:r>
          </w:p>
        </w:tc>
        <w:tc>
          <w:tcPr>
            <w:tcW w:w="2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16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314,767,301</w:t>
            </w:r>
          </w:p>
        </w:tc>
        <w:tc>
          <w:tcPr>
            <w:tcW w:w="26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5.3% – 16.5%</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7"/>
              </w:rPr>
              <w:t>(8.9%)</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7,655,677</w:t>
            </w:r>
          </w:p>
        </w:tc>
        <w:tc>
          <w:tcPr>
            <w:tcW w:w="26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rPr>
              <w:t>EBITDA multiple</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4.3x – 9.0x</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(7.2x)</w:t>
            </w:r>
          </w:p>
        </w:tc>
        <w:tc>
          <w:tcPr>
            <w:tcW w:w="0" w:type="dxa"/>
            <w:vAlign w:val="bottom"/>
          </w:tcPr>
          <w:p>
            <w:pPr>
              <w:spacing w:after="0"/>
              <w:rPr>
                <w:sz w:val="1"/>
                <w:szCs w:val="1"/>
                <w:color w:val="auto"/>
              </w:rPr>
            </w:pPr>
          </w:p>
        </w:tc>
      </w:tr>
      <w:tr>
        <w:trPr>
          <w:trHeight w:val="207"/>
        </w:trPr>
        <w:tc>
          <w:tcPr>
            <w:tcW w:w="4320" w:type="dxa"/>
            <w:vAlign w:val="bottom"/>
            <w:gridSpan w:val="2"/>
          </w:tcPr>
          <w:p>
            <w:pPr>
              <w:ind w:left="180"/>
              <w:spacing w:after="0"/>
              <w:rPr>
                <w:sz w:val="20"/>
                <w:szCs w:val="20"/>
                <w:color w:val="auto"/>
              </w:rPr>
            </w:pPr>
            <w:r>
              <w:rPr>
                <w:rFonts w:ascii="Arial" w:cs="Arial" w:eastAsia="Arial" w:hAnsi="Arial"/>
                <w:sz w:val="16"/>
                <w:szCs w:val="16"/>
                <w:color w:val="auto"/>
              </w:rPr>
              <w:t>Total Level 3 investments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595,822,836</w:t>
            </w: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232,389,498</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Fair Value as of</w:t>
            </w:r>
          </w:p>
        </w:tc>
        <w:tc>
          <w:tcPr>
            <w:tcW w:w="260" w:type="dxa"/>
            <w:vAlign w:val="bottom"/>
          </w:tcPr>
          <w:p>
            <w:pPr>
              <w:spacing w:after="0"/>
              <w:rPr>
                <w:sz w:val="24"/>
                <w:szCs w:val="24"/>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2015</w:t>
            </w:r>
          </w:p>
        </w:tc>
        <w:tc>
          <w:tcPr>
            <w:tcW w:w="26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96"/>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Debt investments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259,566,475</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Market Comparable</w:t>
            </w:r>
          </w:p>
        </w:tc>
        <w:tc>
          <w:tcPr>
            <w:tcW w:w="2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Broker/Dealer bid quotes</w:t>
            </w:r>
          </w:p>
        </w:tc>
        <w:tc>
          <w:tcPr>
            <w:tcW w:w="2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16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128,895,910</w:t>
            </w:r>
          </w:p>
        </w:tc>
        <w:tc>
          <w:tcPr>
            <w:tcW w:w="26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5.5% – 34.7%</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0" w:type="dxa"/>
            <w:vAlign w:val="bottom"/>
          </w:tcPr>
          <w:p>
            <w:pPr>
              <w:spacing w:after="0"/>
              <w:rPr>
                <w:sz w:val="1"/>
                <w:szCs w:val="1"/>
                <w:color w:val="auto"/>
              </w:rPr>
            </w:pPr>
          </w:p>
        </w:tc>
      </w:tr>
      <w:tr>
        <w:trPr>
          <w:trHeight w:val="209"/>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313,941</w:t>
            </w:r>
          </w:p>
        </w:tc>
        <w:tc>
          <w:tcPr>
            <w:tcW w:w="2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Broker/Dealer bid quotes</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16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2,344,955</w:t>
            </w:r>
          </w:p>
        </w:tc>
        <w:tc>
          <w:tcPr>
            <w:tcW w:w="26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color w:val="auto"/>
              </w:rPr>
              <w:t>EBITDA multiple</w:t>
            </w:r>
          </w:p>
        </w:tc>
        <w:tc>
          <w:tcPr>
            <w:tcW w:w="1300" w:type="dxa"/>
            <w:vAlign w:val="bottom"/>
          </w:tcPr>
          <w:p>
            <w:pPr>
              <w:jc w:val="center"/>
              <w:spacing w:after="0"/>
              <w:rPr>
                <w:sz w:val="20"/>
                <w:szCs w:val="20"/>
                <w:color w:val="auto"/>
              </w:rPr>
            </w:pPr>
            <w:r>
              <w:rPr>
                <w:rFonts w:ascii="Arial" w:cs="Arial" w:eastAsia="Arial" w:hAnsi="Arial"/>
                <w:sz w:val="16"/>
                <w:szCs w:val="16"/>
                <w:color w:val="auto"/>
                <w:w w:val="94"/>
              </w:rPr>
              <w:t>6.0x – 10.5x</w:t>
            </w:r>
          </w:p>
        </w:tc>
        <w:tc>
          <w:tcPr>
            <w:tcW w:w="0" w:type="dxa"/>
            <w:vAlign w:val="bottom"/>
          </w:tcPr>
          <w:p>
            <w:pPr>
              <w:spacing w:after="0"/>
              <w:rPr>
                <w:sz w:val="1"/>
                <w:szCs w:val="1"/>
                <w:color w:val="auto"/>
              </w:rPr>
            </w:pPr>
          </w:p>
        </w:tc>
      </w:tr>
      <w:tr>
        <w:trPr>
          <w:trHeight w:val="219"/>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(7.6x)</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Level 3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391,121,281</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3"/>
              </w:rPr>
              <w:t>2.9%</w:t>
            </w:r>
          </w:p>
        </w:tc>
        <w:tc>
          <w:tcPr>
            <w:tcW w:w="0" w:type="dxa"/>
            <w:vAlign w:val="bottom"/>
          </w:tcPr>
          <w:p>
            <w:pPr>
              <w:spacing w:after="0" w:line="20" w:lineRule="exact"/>
              <w:rPr>
                <w:sz w:val="1"/>
                <w:szCs w:val="1"/>
                <w:color w:val="auto"/>
              </w:rPr>
            </w:pPr>
          </w:p>
        </w:tc>
      </w:tr>
      <w:tr>
        <w:trPr>
          <w:trHeight w:val="194"/>
        </w:trPr>
        <w:tc>
          <w:tcPr>
            <w:tcW w:w="432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29,600,000</w:t>
            </w:r>
          </w:p>
        </w:tc>
        <w:tc>
          <w:tcPr>
            <w:tcW w:w="26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investments, cash and cash equivalents and Credit Facility were categorized as follows in the fair value hierarchy for ASC 820 purposes: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Fair Value at September 30, 2016</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14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20"/>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ind w:right="46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Debt investments (First lien)</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548,410,095</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548,410,095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Debt investments (Second lien)</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36,596,692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36,596,692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investments (Subordinated debt / corporate notes)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3,160,372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3,160,372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10,720,366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106,922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2,957,767</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7,655,677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598,887,525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106,922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2,957,767</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595,822,836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28,910,973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28,910,973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 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627,798,498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29,017,895</w:t>
            </w:r>
          </w:p>
        </w:tc>
        <w:tc>
          <w:tcPr>
            <w:tcW w:w="3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2,957,767</w:t>
            </w:r>
          </w:p>
        </w:tc>
        <w:tc>
          <w:tcPr>
            <w:tcW w:w="620" w:type="dxa"/>
            <w:vAlign w:val="bottom"/>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595,822,836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20" w:type="dxa"/>
            <w:vAlign w:val="bottom"/>
            <w:gridSpan w:val="2"/>
            <w:vMerge w:val="continue"/>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232,389,498</w:t>
            </w:r>
          </w:p>
        </w:tc>
        <w:tc>
          <w:tcPr>
            <w:tcW w:w="30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232,389,498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Fair Value at September 30, 2015</w:t>
            </w: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14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20"/>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ind w:right="46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Debt investments (First lien)</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334,957,341</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334,957,341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Debt investments (Second lien)</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47,902,800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47,902,800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investments (Subordinated debt / corporate notes)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5,602,244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5,602,244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2,849,505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190,609</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2,658,896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391,311,890</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190,609</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391,121,281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21,428,514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21,428,514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 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412,740,404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21,428,514</w:t>
            </w:r>
          </w:p>
        </w:tc>
        <w:tc>
          <w:tcPr>
            <w:tcW w:w="3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190,609</w:t>
            </w:r>
          </w:p>
        </w:tc>
        <w:tc>
          <w:tcPr>
            <w:tcW w:w="620" w:type="dxa"/>
            <w:vAlign w:val="bottom"/>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391,121,281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20" w:type="dxa"/>
            <w:vAlign w:val="bottom"/>
            <w:gridSpan w:val="2"/>
            <w:vMerge w:val="continue"/>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29,600,000</w:t>
            </w:r>
          </w:p>
        </w:tc>
        <w:tc>
          <w:tcPr>
            <w:tcW w:w="30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29,600,000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 (Continued) SEPTEMBER 30, 2016</w:t>
      </w:r>
    </w:p>
    <w:p>
      <w:pPr>
        <w:spacing w:after="0" w:line="113" w:lineRule="exact"/>
        <w:rPr>
          <w:sz w:val="20"/>
          <w:szCs w:val="20"/>
          <w:color w:val="auto"/>
        </w:rPr>
      </w:pPr>
    </w:p>
    <w:p>
      <w:pPr>
        <w:ind w:right="220" w:firstLine="685"/>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jc w:val="center"/>
              <w:ind w:left="741"/>
              <w:spacing w:after="0"/>
              <w:rPr>
                <w:sz w:val="20"/>
                <w:szCs w:val="20"/>
                <w:color w:val="auto"/>
              </w:rPr>
            </w:pPr>
            <w:r>
              <w:rPr>
                <w:rFonts w:ascii="Arial" w:cs="Arial" w:eastAsia="Arial" w:hAnsi="Arial"/>
                <w:sz w:val="14"/>
                <w:szCs w:val="14"/>
                <w:b w:val="1"/>
                <w:bCs w:val="1"/>
                <w:color w:val="auto"/>
                <w:w w:val="92"/>
              </w:rPr>
              <w:t>Year Ended September 30, 2016</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subordinated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334,957,341</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56,163,940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391,121,281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Net realized gains (losses)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744,464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(2,223,584)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(1,479,120)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unrealized appreciation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2,282,976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4,804,379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7,087,355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Purchases, PIK, net discount accretion and non-cash exchanges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357,140,895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9,088,987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366,229,882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Sales, repayments and non-cash exchanges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(146,715,581)</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(17,463,214)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(164,178,795)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Transfers in and/or out of Level 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(2,957,767)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(2,957,767)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548,410,095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47,412,741</w:t>
            </w:r>
          </w:p>
        </w:tc>
        <w:tc>
          <w:tcPr>
            <w:tcW w:w="1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595,822,836</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6"/>
                <w:szCs w:val="16"/>
                <w:color w:val="auto"/>
              </w:rPr>
              <w:t>Net change in unrealized appreciation (depreciation) reported within the net change in unrealized</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0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160"/>
              <w:spacing w:after="0"/>
              <w:rPr>
                <w:sz w:val="20"/>
                <w:szCs w:val="20"/>
                <w:color w:val="auto"/>
              </w:rPr>
            </w:pPr>
            <w:r>
              <w:rPr>
                <w:rFonts w:ascii="Arial" w:cs="Arial" w:eastAsia="Arial" w:hAnsi="Arial"/>
                <w:sz w:val="16"/>
                <w:szCs w:val="16"/>
                <w:color w:val="auto"/>
                <w:w w:val="96"/>
              </w:rPr>
              <w:t>appreciation on investments in our Consolidated Statements of Operations attributable to our Level 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6"/>
                <w:szCs w:val="16"/>
                <w:color w:val="auto"/>
              </w:rPr>
              <w:t>assets still held at the reporting date.</w:t>
            </w:r>
          </w:p>
        </w:tc>
        <w:tc>
          <w:tcPr>
            <w:tcW w:w="200" w:type="dxa"/>
            <w:vAlign w:val="bottom"/>
            <w:gridSpan w:val="2"/>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2,617,111</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(693,738)</w:t>
            </w: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1,923,373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jc w:val="center"/>
              <w:ind w:left="741"/>
              <w:spacing w:after="0"/>
              <w:rPr>
                <w:sz w:val="20"/>
                <w:szCs w:val="20"/>
                <w:color w:val="auto"/>
              </w:rPr>
            </w:pPr>
            <w:r>
              <w:rPr>
                <w:rFonts w:ascii="Arial" w:cs="Arial" w:eastAsia="Arial" w:hAnsi="Arial"/>
                <w:sz w:val="14"/>
                <w:szCs w:val="14"/>
                <w:b w:val="1"/>
                <w:bCs w:val="1"/>
                <w:color w:val="auto"/>
                <w:w w:val="92"/>
              </w:rPr>
              <w:t>Year Ended September 30, 2015</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subordinated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302,565,355</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40,707,230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343,272,585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Net realized (losses) gains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(175,862)</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667,008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491,146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unrealized depreciation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(3,286,024)</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(2,397,090)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(5,683,114)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line="202" w:lineRule="exact"/>
              <w:rPr>
                <w:sz w:val="20"/>
                <w:szCs w:val="20"/>
                <w:color w:val="auto"/>
              </w:rPr>
            </w:pPr>
            <w:r>
              <w:rPr>
                <w:rFonts w:ascii="Arial" w:cs="Arial" w:eastAsia="Arial" w:hAnsi="Arial"/>
                <w:sz w:val="14"/>
                <w:szCs w:val="14"/>
                <w:color w:val="auto"/>
              </w:rPr>
              <w:t xml:space="preserve">Purchases, PIK, net discount accretion and non-cash exchanges </w:t>
            </w:r>
            <w:r>
              <w:rPr>
                <w:rFonts w:ascii="Arial" w:cs="Arial" w:eastAsia="Arial" w:hAnsi="Arial"/>
                <w:sz w:val="23"/>
                <w:szCs w:val="23"/>
                <w:color w:val="auto"/>
                <w:vertAlign w:val="superscript"/>
              </w:rPr>
              <w:t>(1)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215,410,313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27,790,325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243,200,638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Sales, repayments and non-cash exchanges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(179,556,441)</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(15,493,137)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(195,049,578)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Transfers in and/or out of Level 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4,889,604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4,889,604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334,957,341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56,163,940</w:t>
            </w:r>
          </w:p>
        </w:tc>
        <w:tc>
          <w:tcPr>
            <w:tcW w:w="1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391,121,281</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4"/>
                <w:szCs w:val="14"/>
                <w:color w:val="auto"/>
                <w:w w:val="97"/>
              </w:rPr>
              <w:t>Net change in unrealized depreciation reported within the net change in unrealized appreciation on investments in our</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0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60" w:type="dxa"/>
            <w:vAlign w:val="bottom"/>
            <w:gridSpan w:val="2"/>
          </w:tcPr>
          <w:p>
            <w:pPr>
              <w:ind w:left="140"/>
              <w:spacing w:after="0"/>
              <w:rPr>
                <w:sz w:val="20"/>
                <w:szCs w:val="20"/>
                <w:color w:val="auto"/>
              </w:rPr>
            </w:pPr>
            <w:r>
              <w:rPr>
                <w:rFonts w:ascii="Arial" w:cs="Arial" w:eastAsia="Arial" w:hAnsi="Arial"/>
                <w:sz w:val="14"/>
                <w:szCs w:val="14"/>
                <w:color w:val="auto"/>
              </w:rPr>
              <w:t>Consolidated Statements of Operations attributable to our Level 3 assets still held at the reporting date.</w:t>
            </w:r>
          </w:p>
        </w:tc>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4"/>
                <w:szCs w:val="14"/>
                <w:color w:val="auto"/>
              </w:rPr>
              <w:t>(3,449,989)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(2,257,945)</w:t>
            </w: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(5,707,934)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0326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64" w:lineRule="exact"/>
        <w:rPr>
          <w:sz w:val="20"/>
          <w:szCs w:val="20"/>
          <w:color w:val="auto"/>
        </w:rPr>
      </w:pPr>
    </w:p>
    <w:p>
      <w:pPr>
        <w:ind w:left="580" w:hanging="572"/>
        <w:spacing w:after="0"/>
        <w:tabs>
          <w:tab w:leader="none" w:pos="580" w:val="left"/>
        </w:tabs>
        <w:numPr>
          <w:ilvl w:val="0"/>
          <w:numId w:val="90"/>
        </w:numPr>
        <w:rPr>
          <w:rFonts w:ascii="Arial" w:cs="Arial" w:eastAsia="Arial" w:hAnsi="Arial"/>
          <w:sz w:val="12"/>
          <w:szCs w:val="12"/>
          <w:color w:val="auto"/>
        </w:rPr>
      </w:pPr>
      <w:r>
        <w:rPr>
          <w:rFonts w:ascii="Arial" w:cs="Arial" w:eastAsia="Arial" w:hAnsi="Arial"/>
          <w:sz w:val="14"/>
          <w:szCs w:val="14"/>
          <w:color w:val="auto"/>
        </w:rPr>
        <w:t>Includes assets acquired from MCG.</w:t>
      </w:r>
    </w:p>
    <w:p>
      <w:pPr>
        <w:spacing w:after="0" w:line="8" w:lineRule="exact"/>
        <w:rPr>
          <w:sz w:val="20"/>
          <w:szCs w:val="20"/>
          <w:color w:val="auto"/>
        </w:rPr>
      </w:pPr>
    </w:p>
    <w:p>
      <w:pPr>
        <w:ind w:right="160" w:firstLine="685"/>
        <w:spacing w:after="0" w:line="259"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Carrying/Fair Value</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5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Years Ended September 30,</w:t>
            </w: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tcPr>
          <w:p>
            <w:pPr>
              <w:jc w:val="right"/>
              <w:ind w:right="802"/>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tcPr>
          <w:p>
            <w:pPr>
              <w:jc w:val="right"/>
              <w:ind w:right="78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Beginning Balance (cost – $29,600,000 and $146,400,000, respectively)</w:t>
            </w:r>
          </w:p>
        </w:tc>
        <w:tc>
          <w:tcPr>
            <w:tcW w:w="4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29,600,000</w:t>
            </w: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146,949,000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40"/>
              <w:spacing w:after="0"/>
              <w:rPr>
                <w:sz w:val="20"/>
                <w:szCs w:val="20"/>
                <w:color w:val="auto"/>
              </w:rPr>
            </w:pPr>
            <w:r>
              <w:rPr>
                <w:rFonts w:ascii="Arial" w:cs="Arial" w:eastAsia="Arial" w:hAnsi="Arial"/>
                <w:sz w:val="16"/>
                <w:szCs w:val="16"/>
                <w:color w:val="auto"/>
              </w:rPr>
              <w:t>Total unrealized depreciation included in earnings</w:t>
            </w:r>
          </w:p>
        </w:tc>
        <w:tc>
          <w:tcPr>
            <w:tcW w:w="520" w:type="dxa"/>
            <w:vAlign w:val="bottom"/>
          </w:tcPr>
          <w:p>
            <w:pPr>
              <w:spacing w:after="0"/>
              <w:rPr>
                <w:sz w:val="17"/>
                <w:szCs w:val="17"/>
                <w:color w:val="auto"/>
              </w:rPr>
            </w:pP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(518,002)</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(549,000)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Borrowings</w:t>
            </w:r>
          </w:p>
        </w:tc>
        <w:tc>
          <w:tcPr>
            <w:tcW w:w="5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260,707,500</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130,700,000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40"/>
              <w:spacing w:after="0"/>
              <w:rPr>
                <w:sz w:val="20"/>
                <w:szCs w:val="20"/>
                <w:color w:val="auto"/>
              </w:rPr>
            </w:pPr>
            <w:r>
              <w:rPr>
                <w:rFonts w:ascii="Arial" w:cs="Arial" w:eastAsia="Arial" w:hAnsi="Arial"/>
                <w:sz w:val="16"/>
                <w:szCs w:val="16"/>
                <w:color w:val="auto"/>
              </w:rPr>
              <w:t>Repayments</w:t>
            </w:r>
          </w:p>
        </w:tc>
        <w:tc>
          <w:tcPr>
            <w:tcW w:w="520" w:type="dxa"/>
            <w:vAlign w:val="bottom"/>
          </w:tcPr>
          <w:p>
            <w:pPr>
              <w:spacing w:after="0"/>
              <w:rPr>
                <w:sz w:val="17"/>
                <w:szCs w:val="17"/>
                <w:color w:val="auto"/>
              </w:rPr>
            </w:pP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(57,400,000)</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(247,500,000)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Transfers in and/or out of Level 3</w:t>
            </w:r>
          </w:p>
        </w:tc>
        <w:tc>
          <w:tcPr>
            <w:tcW w:w="5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20" w:type="dxa"/>
            <w:vAlign w:val="bottom"/>
            <w:gridSpan w:val="2"/>
          </w:tcPr>
          <w:p>
            <w:pPr>
              <w:spacing w:after="0"/>
              <w:rPr>
                <w:sz w:val="20"/>
                <w:szCs w:val="20"/>
                <w:color w:val="auto"/>
              </w:rPr>
            </w:pPr>
            <w:r>
              <w:rPr>
                <w:rFonts w:ascii="Arial" w:cs="Arial" w:eastAsia="Arial" w:hAnsi="Arial"/>
                <w:sz w:val="16"/>
                <w:szCs w:val="16"/>
                <w:color w:val="auto"/>
              </w:rPr>
              <w:t>Ending Balance (cost – $232,907,500 and $29,600,000, respectively)</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232,389,498</w:t>
            </w:r>
          </w:p>
        </w:tc>
        <w:tc>
          <w:tcPr>
            <w:tcW w:w="1240" w:type="dxa"/>
            <w:vAlign w:val="bottom"/>
            <w:gridSpan w:val="2"/>
          </w:tcPr>
          <w:p>
            <w:pPr>
              <w:jc w:val="right"/>
              <w:ind w:right="4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29,600,000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80" w:firstLine="685"/>
        <w:spacing w:after="0" w:line="277" w:lineRule="auto"/>
        <w:rPr>
          <w:sz w:val="20"/>
          <w:szCs w:val="20"/>
          <w:color w:val="auto"/>
        </w:rPr>
      </w:pPr>
      <w:r>
        <w:rPr>
          <w:rFonts w:ascii="Arial" w:cs="Arial" w:eastAsia="Arial" w:hAnsi="Arial"/>
          <w:sz w:val="18"/>
          <w:szCs w:val="18"/>
          <w:color w:val="auto"/>
        </w:rPr>
        <w:t>As of September 30, 2016, we had outstanding non-U.S. dollar borrowings on our Credit Facility. Net change in fair value from foreign currency translating on outstanding borrowings is listed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500" w:type="dxa"/>
            <w:vAlign w:val="bottom"/>
          </w:tcPr>
          <w:p>
            <w:pPr>
              <w:spacing w:after="0"/>
              <w:rPr>
                <w:sz w:val="14"/>
                <w:szCs w:val="14"/>
                <w:color w:val="auto"/>
              </w:rPr>
            </w:pPr>
          </w:p>
        </w:tc>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4"/>
              </w:rPr>
              <w:t>Local Currency</w:t>
            </w:r>
          </w:p>
        </w:tc>
        <w:tc>
          <w:tcPr>
            <w:tcW w:w="1080" w:type="dxa"/>
            <w:vAlign w:val="bottom"/>
          </w:tcPr>
          <w:p>
            <w:pPr>
              <w:spacing w:after="0"/>
              <w:rPr>
                <w:sz w:val="14"/>
                <w:szCs w:val="14"/>
                <w:color w:val="auto"/>
              </w:rPr>
            </w:pPr>
          </w:p>
        </w:tc>
        <w:tc>
          <w:tcPr>
            <w:tcW w:w="206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8"/>
              </w:rPr>
              <w:t>Original</w:t>
            </w:r>
          </w:p>
        </w:tc>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6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Reset Date</w:t>
            </w:r>
          </w:p>
        </w:tc>
        <w:tc>
          <w:tcPr>
            <w:tcW w:w="5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16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20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3"/>
              </w:rPr>
              <w:t>Borrowing Cost</w:t>
            </w:r>
          </w:p>
        </w:tc>
        <w:tc>
          <w:tcPr>
            <w:tcW w:w="198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Canadian Dollars</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1"/>
              </w:rPr>
              <w:t>C$ 17,500,000</w:t>
            </w:r>
          </w:p>
        </w:tc>
        <w:tc>
          <w:tcPr>
            <w:tcW w:w="10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  12,407,501</w:t>
            </w:r>
          </w:p>
        </w:tc>
        <w:tc>
          <w:tcPr>
            <w:tcW w:w="10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4"/>
              </w:rPr>
              <w:t>$ 13,338,920</w:t>
            </w:r>
          </w:p>
        </w:tc>
        <w:tc>
          <w:tcPr>
            <w:tcW w:w="10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8"/>
              </w:rPr>
              <w:t>October 3, 2016</w:t>
            </w: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931,419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right="40" w:firstLine="685"/>
        <w:spacing w:after="0" w:line="268" w:lineRule="auto"/>
        <w:rPr>
          <w:sz w:val="20"/>
          <w:szCs w:val="20"/>
          <w:color w:val="auto"/>
        </w:rPr>
      </w:pPr>
      <w:r>
        <w:rPr>
          <w:rFonts w:ascii="Arial" w:cs="Arial" w:eastAsia="Arial" w:hAnsi="Arial"/>
          <w:sz w:val="17"/>
          <w:szCs w:val="17"/>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$0.9 million, $2.3 million and $0.7 million relating to amendment fees on the Credit Facility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2016 and 2015, our Credit Facility had a net change in unrealized depreciation of $0.5 million and $0.5 million, respectively. As of September 30, 2016 and 2015, the net unrealized depreciation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89" w:lineRule="exact"/>
        <w:rPr>
          <w:sz w:val="20"/>
          <w:szCs w:val="20"/>
          <w:color w:val="auto"/>
        </w:rPr>
      </w:pPr>
    </w:p>
    <w:p>
      <w:pPr>
        <w:ind w:right="120" w:firstLine="685"/>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September 30, 2016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Fair Value at</w:t>
            </w:r>
          </w:p>
        </w:tc>
        <w:tc>
          <w:tcPr>
            <w:tcW w:w="2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Purchases of /</w:t>
            </w:r>
          </w:p>
        </w:tc>
        <w:tc>
          <w:tcPr>
            <w:tcW w:w="2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Sale of /</w:t>
            </w:r>
          </w:p>
        </w:tc>
        <w:tc>
          <w:tcPr>
            <w:tcW w:w="120" w:type="dxa"/>
            <w:vAlign w:val="bottom"/>
          </w:tcPr>
          <w:p>
            <w:pPr>
              <w:spacing w:after="0"/>
              <w:rPr>
                <w:sz w:val="14"/>
                <w:szCs w:val="14"/>
                <w:color w:val="auto"/>
              </w:rPr>
            </w:pPr>
          </w:p>
        </w:tc>
        <w:tc>
          <w:tcPr>
            <w:tcW w:w="7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Advances to</w:t>
            </w:r>
          </w:p>
        </w:tc>
        <w:tc>
          <w:tcPr>
            <w:tcW w:w="2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0"/>
              </w:rPr>
              <w:t>September 30, 2015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Affiliates</w:t>
            </w:r>
          </w:p>
        </w:tc>
        <w:tc>
          <w:tcPr>
            <w:tcW w:w="24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from Affiliates</w:t>
            </w:r>
          </w:p>
        </w:tc>
        <w:tc>
          <w:tcPr>
            <w:tcW w:w="120" w:type="dxa"/>
            <w:vAlign w:val="bottom"/>
          </w:tcPr>
          <w:p>
            <w:pPr>
              <w:spacing w:after="0"/>
              <w:rPr>
                <w:sz w:val="14"/>
                <w:szCs w:val="14"/>
                <w:color w:val="auto"/>
              </w:rPr>
            </w:pPr>
          </w:p>
        </w:tc>
        <w:tc>
          <w:tcPr>
            <w:tcW w:w="700" w:type="dxa"/>
            <w:vAlign w:val="bottom"/>
          </w:tcPr>
          <w:p>
            <w:pPr>
              <w:jc w:val="right"/>
              <w:ind w:right="79"/>
              <w:spacing w:after="0"/>
              <w:rPr>
                <w:sz w:val="20"/>
                <w:szCs w:val="20"/>
                <w:color w:val="auto"/>
              </w:rPr>
            </w:pPr>
            <w:r>
              <w:rPr>
                <w:rFonts w:ascii="Arial" w:cs="Arial" w:eastAsia="Arial" w:hAnsi="Arial"/>
                <w:sz w:val="14"/>
                <w:szCs w:val="14"/>
                <w:b w:val="1"/>
                <w:bCs w:val="1"/>
                <w:color w:val="auto"/>
                <w:w w:val="92"/>
              </w:rPr>
              <w:t>Accrued</w:t>
            </w:r>
          </w:p>
        </w:tc>
        <w:tc>
          <w:tcPr>
            <w:tcW w:w="2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7"/>
              </w:rPr>
              <w:t>Gains (Losses)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Controlled Affiliates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GMC Television Broadcasting Holdings, LLC</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2,776,507</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380" w:type="dxa"/>
            <w:vAlign w:val="bottom"/>
            <w:gridSpan w:val="3"/>
          </w:tcPr>
          <w:p>
            <w:pPr>
              <w:ind w:lef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(2,777,132)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105,502</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Controlled Affiliates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2,776,507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380" w:type="dxa"/>
            <w:vAlign w:val="bottom"/>
            <w:gridSpan w:val="3"/>
            <w:shd w:val="clear" w:color="auto" w:fill="CCEEFF"/>
          </w:tcPr>
          <w:p>
            <w:pPr>
              <w:ind w:lef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(2,777,132)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105,502</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September 30,</w:t>
            </w: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14"/>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737"/>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82"/>
        </w:trPr>
        <w:tc>
          <w:tcPr>
            <w:tcW w:w="4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Numerator for net increase in net assets resulting from</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33,488,663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12,504,245</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20,513,971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1"/>
              </w:rPr>
              <w:t>Denominator for basic and diluted weighted average shares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right"/>
              <w:ind w:right="440"/>
              <w:spacing w:after="0"/>
              <w:rPr>
                <w:sz w:val="20"/>
                <w:szCs w:val="20"/>
                <w:color w:val="auto"/>
              </w:rPr>
            </w:pPr>
            <w:r>
              <w:rPr>
                <w:rFonts w:ascii="Arial" w:cs="Arial" w:eastAsia="Arial" w:hAnsi="Arial"/>
                <w:sz w:val="18"/>
                <w:szCs w:val="18"/>
                <w:color w:val="auto"/>
              </w:rPr>
              <w:t>26,730,074</w:t>
            </w:r>
          </w:p>
        </w:tc>
        <w:tc>
          <w:tcPr>
            <w:tcW w:w="160" w:type="dxa"/>
            <w:vAlign w:val="bottom"/>
          </w:tcPr>
          <w:p>
            <w:pPr>
              <w:spacing w:after="0"/>
              <w:rPr>
                <w:sz w:val="18"/>
                <w:szCs w:val="18"/>
                <w:color w:val="auto"/>
              </w:rPr>
            </w:pPr>
          </w:p>
        </w:tc>
        <w:tc>
          <w:tcPr>
            <w:tcW w:w="2100" w:type="dxa"/>
            <w:vAlign w:val="bottom"/>
            <w:gridSpan w:val="2"/>
          </w:tcPr>
          <w:p>
            <w:pPr>
              <w:jc w:val="right"/>
              <w:ind w:right="340"/>
              <w:spacing w:after="0"/>
              <w:rPr>
                <w:sz w:val="20"/>
                <w:szCs w:val="20"/>
                <w:color w:val="auto"/>
              </w:rPr>
            </w:pPr>
            <w:r>
              <w:rPr>
                <w:rFonts w:ascii="Arial" w:cs="Arial" w:eastAsia="Arial" w:hAnsi="Arial"/>
                <w:sz w:val="18"/>
                <w:szCs w:val="18"/>
                <w:color w:val="auto"/>
              </w:rPr>
              <w:t>16,291,965</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14,898,056</w:t>
            </w: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increase in net assets per share</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resulting from operations</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0.77</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162" w:lineRule="exact"/>
        <w:rPr>
          <w:sz w:val="20"/>
          <w:szCs w:val="20"/>
          <w:color w:val="auto"/>
        </w:rPr>
      </w:pPr>
    </w:p>
    <w:p>
      <w:pPr>
        <w:ind w:right="40" w:firstLine="685"/>
        <w:spacing w:after="0" w:line="276" w:lineRule="auto"/>
        <w:rPr>
          <w:sz w:val="20"/>
          <w:szCs w:val="20"/>
          <w:color w:val="auto"/>
        </w:rPr>
      </w:pPr>
      <w:r>
        <w:rPr>
          <w:rFonts w:ascii="Arial" w:cs="Arial" w:eastAsia="Arial" w:hAnsi="Arial"/>
          <w:sz w:val="17"/>
          <w:szCs w:val="17"/>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32" w:lineRule="exact"/>
        <w:rPr>
          <w:sz w:val="20"/>
          <w:szCs w:val="20"/>
          <w:color w:val="auto"/>
        </w:rPr>
      </w:pPr>
    </w:p>
    <w:p>
      <w:pPr>
        <w:ind w:right="140" w:firstLine="685"/>
        <w:spacing w:after="0" w:line="342" w:lineRule="auto"/>
        <w:rPr>
          <w:sz w:val="20"/>
          <w:szCs w:val="20"/>
          <w:color w:val="auto"/>
        </w:rPr>
      </w:pPr>
      <w:r>
        <w:rPr>
          <w:rFonts w:ascii="Arial" w:cs="Arial" w:eastAsia="Arial" w:hAnsi="Arial"/>
          <w:sz w:val="16"/>
          <w:szCs w:val="16"/>
          <w:color w:val="auto"/>
        </w:rPr>
        <w:t>As of September 30, 2016 and 2015, the cost of investments for federal income tax purposes was $600.1 million and $399.6 million, respectively, resulting in a gross unrealized appreciation of $10.6 million and $3.3 million, respectively, and depreciation of $11.8 million and $11.6 million, respectively.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amounts were reclassified for tax purposes: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2"/>
              </w:rPr>
              <w:t>Years Ended September 30,</w:t>
            </w: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r>
      <w:tr>
        <w:trPr>
          <w:trHeight w:val="142"/>
        </w:trPr>
        <w:tc>
          <w:tcPr>
            <w:tcW w:w="39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2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61"/>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r>
      <w:tr>
        <w:trPr>
          <w:trHeight w:val="196"/>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Decrease in paid-in capital</w:t>
            </w: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(308,435)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(429,892)</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(254,753)</w:t>
            </w:r>
          </w:p>
        </w:tc>
        <w:tc>
          <w:tcPr>
            <w:tcW w:w="860" w:type="dxa"/>
            <w:vAlign w:val="bottom"/>
            <w:shd w:val="clear" w:color="auto" w:fill="CCEEFF"/>
          </w:tcPr>
          <w:p>
            <w:pPr>
              <w:spacing w:after="0"/>
              <w:rPr>
                <w:sz w:val="17"/>
                <w:szCs w:val="17"/>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Increase in accumulated net realized gain</w:t>
            </w: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9,384</w:t>
            </w:r>
          </w:p>
        </w:tc>
        <w:tc>
          <w:tcPr>
            <w:tcW w:w="860" w:type="dxa"/>
            <w:vAlign w:val="bottom"/>
          </w:tcPr>
          <w:p>
            <w:pPr>
              <w:spacing w:after="0"/>
              <w:rPr>
                <w:sz w:val="17"/>
                <w:szCs w:val="17"/>
                <w:color w:val="auto"/>
              </w:rPr>
            </w:pP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Increase in undistributed net investment income</w:t>
            </w: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308,435</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429,892</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245,369</w:t>
            </w:r>
          </w:p>
        </w:tc>
        <w:tc>
          <w:tcPr>
            <w:tcW w:w="86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Years Ended September 30,</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2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60"/>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net assets resulting from operations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33,488,663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12,504,245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20,513,971</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Net realized loss on investments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1,376,788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60" w:type="dxa"/>
            <w:vAlign w:val="bottom"/>
            <w:gridSpan w:val="2"/>
          </w:tcPr>
          <w:p>
            <w:pPr>
              <w:jc w:val="right"/>
              <w:ind w:right="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w w:val="96"/>
              </w:rPr>
              <w:t>Net change in unrealized (appreciation) depreciation on investments</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Credit Facility</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(7,529,291)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5,551,614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(1,004,771)</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Other book-to-tax differences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642,719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5,788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266,378</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Other non-deductible expenses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479,425</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6"/>
                <w:szCs w:val="16"/>
                <w:color w:val="auto"/>
              </w:rPr>
              <w:t>Taxable income before dividends paid deduction</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80" w:type="dxa"/>
            <w:vAlign w:val="bottom"/>
            <w:vMerge w:val="continue"/>
          </w:tcPr>
          <w:p>
            <w:pPr>
              <w:spacing w:after="0"/>
              <w:rPr>
                <w:sz w:val="17"/>
                <w:szCs w:val="17"/>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27,978,879</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18,501,647</w:t>
            </w:r>
          </w:p>
        </w:tc>
        <w:tc>
          <w:tcPr>
            <w:tcW w:w="220" w:type="dxa"/>
            <w:vAlign w:val="bottom"/>
          </w:tcPr>
          <w:p>
            <w:pPr>
              <w:spacing w:after="0"/>
              <w:rPr>
                <w:sz w:val="17"/>
                <w:szCs w:val="17"/>
                <w:color w:val="auto"/>
              </w:rPr>
            </w:pPr>
          </w:p>
        </w:tc>
        <w:tc>
          <w:tcPr>
            <w:tcW w:w="520" w:type="dxa"/>
            <w:vAlign w:val="bottom"/>
            <w:gridSpan w:val="2"/>
          </w:tcPr>
          <w:p>
            <w:pPr>
              <w:jc w:val="right"/>
              <w:ind w:right="284"/>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20,255,003</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components of undistributed taxable income on a tax basis and reconciliation to accumulated surplus on a book basis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2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60"/>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Undistributed ordinary income – tax basis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10,097,684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12,591,089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10,097,482</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w w:val="95"/>
              </w:rPr>
              <w:t>(Realized loss carried forward)/Undistributed long-term capital gain</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(1,121,514)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1,652,842</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580" w:type="dxa"/>
            <w:vAlign w:val="bottom"/>
            <w:gridSpan w:val="2"/>
          </w:tcPr>
          <w:p>
            <w:pPr>
              <w:ind w:left="18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Distributions payable and other book to tax differences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(5,793,312)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(5,203,754)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(3,989,324)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w w:val="94"/>
              </w:rPr>
              <w:t>Net unrealized appreciation (depreciation) of investments and Credit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6"/>
                <w:szCs w:val="16"/>
                <w:color w:val="auto"/>
              </w:rPr>
              <w:t>Facility</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1,502,874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(6,026,417)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gridSpan w:val="2"/>
          </w:tcPr>
          <w:p>
            <w:pPr>
              <w:jc w:val="right"/>
              <w:ind w:right="820"/>
              <w:spacing w:after="0"/>
              <w:rPr>
                <w:sz w:val="20"/>
                <w:szCs w:val="20"/>
                <w:color w:val="auto"/>
              </w:rPr>
            </w:pPr>
            <w:r>
              <w:rPr>
                <w:rFonts w:ascii="Arial" w:cs="Arial" w:eastAsia="Arial" w:hAnsi="Arial"/>
                <w:sz w:val="16"/>
                <w:szCs w:val="16"/>
                <w:color w:val="auto"/>
              </w:rPr>
              <w:t>(474,803)</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Total accumulated surplus – book basis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4,685,732</w:t>
            </w:r>
          </w:p>
        </w:tc>
        <w:tc>
          <w:tcPr>
            <w:tcW w:w="3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1,360,918</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84"/>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7,286,197</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7411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68" w:lineRule="exact"/>
        <w:rPr>
          <w:sz w:val="20"/>
          <w:szCs w:val="20"/>
          <w:color w:val="auto"/>
        </w:rPr>
      </w:pPr>
    </w:p>
    <w:p>
      <w:pPr>
        <w:ind w:left="360" w:right="1120" w:hanging="352"/>
        <w:spacing w:after="0" w:line="277" w:lineRule="auto"/>
        <w:tabs>
          <w:tab w:leader="none" w:pos="483" w:val="left"/>
        </w:tabs>
        <w:numPr>
          <w:ilvl w:val="0"/>
          <w:numId w:val="91"/>
        </w:numPr>
        <w:rPr>
          <w:rFonts w:ascii="Arial" w:cs="Arial" w:eastAsia="Arial" w:hAnsi="Arial"/>
          <w:sz w:val="15"/>
          <w:szCs w:val="15"/>
          <w:color w:val="auto"/>
        </w:rPr>
      </w:pPr>
      <w:r>
        <w:rPr>
          <w:rFonts w:ascii="Arial" w:cs="Arial" w:eastAsia="Arial" w:hAnsi="Arial"/>
          <w:sz w:val="18"/>
          <w:szCs w:val="18"/>
          <w:color w:val="auto"/>
        </w:rPr>
        <w:t>As of September 30, 2016, the capital loss carried forward was $1.1 million. This loss can be carried forward indefinitely to be an offset against future capital gains.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tax characteristics of distributions declared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Years Ended September 30,</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2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61"/>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Ordinary income (including short-term gains)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30,472,284</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17,206,311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13,473,860</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Long-term capital gain</w:t>
            </w: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1,653,105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2,578,795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Total distributions</w:t>
            </w:r>
          </w:p>
        </w:tc>
        <w:tc>
          <w:tcPr>
            <w:tcW w:w="380" w:type="dxa"/>
            <w:vAlign w:val="bottom"/>
            <w:gridSpan w:val="2"/>
            <w:shd w:val="clear" w:color="auto" w:fill="CCEEFF"/>
          </w:tcPr>
          <w:p>
            <w:pPr>
              <w:jc w:val="right"/>
              <w:ind w:right="249"/>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30,472,284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18,859,416</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84"/>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16,052,655</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6"/>
                <w:szCs w:val="16"/>
                <w:color w:val="auto"/>
              </w:rPr>
              <w:t>Total distributions per share based on weighted average shares</w:t>
            </w: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80" w:type="dxa"/>
            <w:vAlign w:val="bottom"/>
            <w:gridSpan w:val="2"/>
            <w:vMerge w:val="continue"/>
          </w:tcPr>
          <w:p>
            <w:pPr>
              <w:spacing w:after="0"/>
              <w:rPr>
                <w:sz w:val="16"/>
                <w:szCs w:val="16"/>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1.14</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16"/>
                <w:szCs w:val="16"/>
                <w:color w:val="auto"/>
              </w:rPr>
            </w:pPr>
          </w:p>
        </w:tc>
        <w:tc>
          <w:tcPr>
            <w:tcW w:w="520" w:type="dxa"/>
            <w:vAlign w:val="bottom"/>
            <w:gridSpan w:val="2"/>
          </w:tcPr>
          <w:p>
            <w:pPr>
              <w:jc w:val="right"/>
              <w:ind w:right="284"/>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1.08</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202" w:lineRule="exact"/>
        <w:rPr>
          <w:sz w:val="20"/>
          <w:szCs w:val="20"/>
          <w:color w:val="auto"/>
        </w:rPr>
      </w:pPr>
    </w:p>
    <w:p>
      <w:pPr>
        <w:ind w:firstLine="685"/>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2016 and 2015, cash equivalents consisted of money market funds in the amounts of $28.9 million and $21.4 million at fair value,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2016</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2014</w:t>
            </w: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 xml:space="preserve">2013 </w:t>
            </w:r>
            <w:r>
              <w:rPr>
                <w:rFonts w:ascii="Arial" w:cs="Arial" w:eastAsia="Arial" w:hAnsi="Arial"/>
                <w:sz w:val="9"/>
                <w:szCs w:val="9"/>
                <w:b w:val="1"/>
                <w:bCs w:val="1"/>
                <w:color w:val="auto"/>
              </w:rPr>
              <w:t>(6)</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 xml:space="preserve">2012 </w:t>
            </w:r>
            <w:r>
              <w:rPr>
                <w:rFonts w:ascii="Arial" w:cs="Arial" w:eastAsia="Arial" w:hAnsi="Arial"/>
                <w:sz w:val="9"/>
                <w:szCs w:val="9"/>
                <w:b w:val="1"/>
                <w:bCs w:val="1"/>
                <w:color w:val="auto"/>
              </w:rPr>
              <w:t>(6)</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Data:</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Net asset value, beginning of period</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13.95</w:t>
            </w:r>
          </w:p>
        </w:tc>
        <w:tc>
          <w:tcPr>
            <w:tcW w:w="3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14.40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14.10</w:t>
            </w:r>
          </w:p>
        </w:tc>
        <w:tc>
          <w:tcPr>
            <w:tcW w:w="3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13.98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1.10</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4"/>
                <w:szCs w:val="14"/>
                <w:color w:val="auto"/>
              </w:rPr>
              <w:t xml:space="preserve">Net change in realized and unrealized gain (loss) </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0.23</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0.26</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0.15</w:t>
            </w:r>
          </w:p>
        </w:tc>
        <w:tc>
          <w:tcPr>
            <w:tcW w:w="2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1.25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23"/>
                <w:szCs w:val="23"/>
                <w:color w:val="auto"/>
                <w:vertAlign w:val="superscript"/>
              </w:rPr>
              <w:t>(1), (2)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Distribution of net investment income</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(1.13)</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(0.84)</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6"/>
                <w:szCs w:val="16"/>
                <w:color w:val="auto"/>
              </w:rPr>
              <w:t>Distribution of realized gains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(0.01)</w:t>
            </w:r>
          </w:p>
        </w:tc>
        <w:tc>
          <w:tcPr>
            <w:tcW w:w="2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(0.24)</w:t>
            </w:r>
          </w:p>
        </w:tc>
        <w:tc>
          <w:tcPr>
            <w:tcW w:w="16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(0.10)</w:t>
            </w: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distributions to stockholders</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(1.14)</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(1.08)</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4"/>
                <w:szCs w:val="14"/>
                <w:color w:val="auto"/>
              </w:rPr>
              <w:t xml:space="preserve">Effect of acquisition of MCG and offering costs </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(0.08)</w:t>
            </w: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Net asset value, end of period</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13.95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14.10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6"/>
                <w:szCs w:val="16"/>
                <w:color w:val="auto"/>
              </w:rPr>
              <w:t>Per share market value, end of period</w:t>
            </w: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20" w:type="dxa"/>
            <w:vAlign w:val="bottom"/>
            <w:gridSpan w:val="2"/>
            <w:vMerge w:val="continue"/>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13.23</w:t>
            </w:r>
          </w:p>
        </w:tc>
        <w:tc>
          <w:tcPr>
            <w:tcW w:w="36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11.94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13.78</w:t>
            </w:r>
          </w:p>
        </w:tc>
        <w:tc>
          <w:tcPr>
            <w:tcW w:w="38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13.78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800" w:type="dxa"/>
            <w:vAlign w:val="bottom"/>
            <w:shd w:val="clear" w:color="auto" w:fill="CCEEFF"/>
          </w:tcPr>
          <w:p>
            <w:pPr>
              <w:spacing w:after="0" w:line="200"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21.77%</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8.05%</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17.17%</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Shares outstanding at end of period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26,730,074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26,730,074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14,898,056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14,898,056</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6,850,667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Ratios / Supplemental Data:</w:t>
            </w: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23"/>
                <w:szCs w:val="23"/>
                <w:color w:val="auto"/>
                <w:vertAlign w:val="superscript"/>
              </w:rPr>
              <w:t>(4)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3.56%</w:t>
            </w: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4.45%</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4.43%</w:t>
            </w:r>
          </w:p>
        </w:tc>
        <w:tc>
          <w:tcPr>
            <w:tcW w:w="2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w w:val="97"/>
              </w:rPr>
              <w:t>Ratio of Credit Facility related expenses to average net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6"/>
                <w:szCs w:val="16"/>
                <w:color w:val="auto"/>
              </w:rPr>
              <w:t>Ratio of total expenses to average net assets</w:t>
            </w: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5.14%</w:t>
            </w: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6.40%</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6.09%</w:t>
            </w:r>
          </w:p>
        </w:tc>
        <w:tc>
          <w:tcPr>
            <w:tcW w:w="2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Ratio of net investment income to average net assets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7.77%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Net assets at end of period</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375,906,828</w:t>
            </w:r>
          </w:p>
        </w:tc>
        <w:tc>
          <w:tcPr>
            <w:tcW w:w="3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372,890,449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214,527,710</w:t>
            </w:r>
          </w:p>
        </w:tc>
        <w:tc>
          <w:tcPr>
            <w:tcW w:w="3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w w:val="96"/>
              </w:rPr>
              <w:t>210,066,394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95,743,877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debt outstanding</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140,218,095</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123,924,384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147,599,452</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71,678,836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46,133,607</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line="230" w:lineRule="exact"/>
              <w:rPr>
                <w:sz w:val="20"/>
                <w:szCs w:val="20"/>
                <w:color w:val="auto"/>
              </w:rPr>
            </w:pPr>
            <w:r>
              <w:rPr>
                <w:rFonts w:ascii="Arial" w:cs="Arial" w:eastAsia="Arial" w:hAnsi="Arial"/>
                <w:sz w:val="16"/>
                <w:szCs w:val="16"/>
                <w:color w:val="auto"/>
              </w:rPr>
              <w:t xml:space="preserve">Weighted average debt per share </w:t>
            </w:r>
            <w:r>
              <w:rPr>
                <w:rFonts w:ascii="Arial" w:cs="Arial" w:eastAsia="Arial" w:hAnsi="Arial"/>
                <w:sz w:val="26"/>
                <w:szCs w:val="26"/>
                <w:color w:val="auto"/>
                <w:vertAlign w:val="superscript"/>
              </w:rPr>
              <w:t>(1)</w:t>
            </w: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vMerge w:val="continue"/>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5.25</w:t>
            </w:r>
          </w:p>
        </w:tc>
        <w:tc>
          <w:tcPr>
            <w:tcW w:w="3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7.61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7.48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23"/>
                <w:szCs w:val="23"/>
                <w:color w:val="auto"/>
                <w:vertAlign w:val="superscript"/>
              </w:rPr>
              <w:t>(5)</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13,598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3,109</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Portfolio turnover ratio</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32.16%</w:t>
            </w: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51.02%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62.74%</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81.89%</w:t>
            </w:r>
          </w:p>
        </w:tc>
        <w:tc>
          <w:tcPr>
            <w:tcW w:w="2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50.68%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6515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71" w:lineRule="exact"/>
        <w:rPr>
          <w:sz w:val="20"/>
          <w:szCs w:val="20"/>
          <w:color w:val="auto"/>
        </w:rPr>
      </w:pPr>
    </w:p>
    <w:p>
      <w:pPr>
        <w:ind w:left="1040" w:hanging="1032"/>
        <w:spacing w:after="0"/>
        <w:tabs>
          <w:tab w:leader="none" w:pos="1040" w:val="left"/>
        </w:tabs>
        <w:numPr>
          <w:ilvl w:val="0"/>
          <w:numId w:val="92"/>
        </w:numPr>
        <w:rPr>
          <w:rFonts w:ascii="Arial" w:cs="Arial" w:eastAsia="Arial" w:hAnsi="Arial"/>
          <w:sz w:val="28"/>
          <w:szCs w:val="28"/>
          <w:color w:val="auto"/>
          <w:vertAlign w:val="superscript"/>
        </w:rPr>
      </w:pPr>
      <w:r>
        <w:rPr>
          <w:rFonts w:ascii="Arial" w:cs="Arial" w:eastAsia="Arial" w:hAnsi="Arial"/>
          <w:sz w:val="16"/>
          <w:szCs w:val="16"/>
          <w:color w:val="auto"/>
        </w:rPr>
        <w:t>Based on the weighted average shares outstanding for the respective periods.</w:t>
      </w:r>
    </w:p>
    <w:p>
      <w:pPr>
        <w:spacing w:after="0" w:line="10" w:lineRule="exact"/>
        <w:rPr>
          <w:rFonts w:ascii="Arial" w:cs="Arial" w:eastAsia="Arial" w:hAnsi="Arial"/>
          <w:sz w:val="28"/>
          <w:szCs w:val="28"/>
          <w:color w:val="auto"/>
          <w:vertAlign w:val="superscript"/>
        </w:rPr>
      </w:pPr>
    </w:p>
    <w:p>
      <w:pPr>
        <w:ind w:left="1040" w:right="160" w:hanging="1032"/>
        <w:spacing w:after="0" w:line="187" w:lineRule="auto"/>
        <w:tabs>
          <w:tab w:leader="none" w:pos="1040" w:val="left"/>
        </w:tabs>
        <w:numPr>
          <w:ilvl w:val="0"/>
          <w:numId w:val="92"/>
        </w:numPr>
        <w:rPr>
          <w:rFonts w:ascii="Arial" w:cs="Arial" w:eastAsia="Arial" w:hAnsi="Arial"/>
          <w:sz w:val="28"/>
          <w:szCs w:val="28"/>
          <w:color w:val="auto"/>
          <w:vertAlign w:val="superscript"/>
        </w:rPr>
      </w:pPr>
      <w:r>
        <w:rPr>
          <w:rFonts w:ascii="Arial" w:cs="Arial" w:eastAsia="Arial" w:hAnsi="Arial"/>
          <w:sz w:val="16"/>
          <w:szCs w:val="16"/>
          <w:color w:val="auto"/>
        </w:rPr>
        <w:t>The tax status of distributions is calculated in accordance with income tax regulations, which may differ from amounts determined under GAAP, and reported on Form 1099-DIV each calendar year.</w:t>
      </w:r>
    </w:p>
    <w:p>
      <w:pPr>
        <w:ind w:left="1040" w:right="580" w:hanging="1032"/>
        <w:spacing w:after="0" w:line="192" w:lineRule="auto"/>
        <w:tabs>
          <w:tab w:leader="none" w:pos="1040" w:val="left"/>
        </w:tabs>
        <w:numPr>
          <w:ilvl w:val="0"/>
          <w:numId w:val="92"/>
        </w:numPr>
        <w:rPr>
          <w:rFonts w:ascii="Arial" w:cs="Arial" w:eastAsia="Arial" w:hAnsi="Arial"/>
          <w:sz w:val="28"/>
          <w:szCs w:val="28"/>
          <w:color w:val="auto"/>
          <w:vertAlign w:val="superscript"/>
        </w:rPr>
      </w:pPr>
      <w:r>
        <w:rPr>
          <w:rFonts w:ascii="Arial" w:cs="Arial" w:eastAsia="Arial" w:hAnsi="Arial"/>
          <w:sz w:val="16"/>
          <w:szCs w:val="16"/>
          <w:color w:val="auto"/>
        </w:rPr>
        <w:t>Based on the change in market price per share during the period and takes into account distributions, if any, reinvested in accordance with our dividend reinvestment plan.</w:t>
      </w:r>
    </w:p>
    <w:p>
      <w:pPr>
        <w:ind w:left="1040" w:hanging="1032"/>
        <w:spacing w:after="0" w:line="183" w:lineRule="auto"/>
        <w:tabs>
          <w:tab w:leader="none" w:pos="1040" w:val="left"/>
        </w:tabs>
        <w:numPr>
          <w:ilvl w:val="0"/>
          <w:numId w:val="92"/>
        </w:numPr>
        <w:rPr>
          <w:rFonts w:ascii="Arial" w:cs="Arial" w:eastAsia="Arial" w:hAnsi="Arial"/>
          <w:sz w:val="23"/>
          <w:szCs w:val="23"/>
          <w:color w:val="auto"/>
          <w:vertAlign w:val="superscript"/>
        </w:rPr>
      </w:pPr>
      <w:r>
        <w:rPr>
          <w:rFonts w:ascii="Arial" w:cs="Arial" w:eastAsia="Arial" w:hAnsi="Arial"/>
          <w:sz w:val="14"/>
          <w:szCs w:val="14"/>
          <w:color w:val="auto"/>
        </w:rPr>
        <w:t>Excludes Credit Facility related costs.</w:t>
      </w:r>
    </w:p>
    <w:p>
      <w:pPr>
        <w:spacing w:after="0" w:line="11" w:lineRule="exact"/>
        <w:rPr>
          <w:rFonts w:ascii="Arial" w:cs="Arial" w:eastAsia="Arial" w:hAnsi="Arial"/>
          <w:sz w:val="23"/>
          <w:szCs w:val="23"/>
          <w:color w:val="auto"/>
          <w:vertAlign w:val="superscript"/>
        </w:rPr>
      </w:pPr>
    </w:p>
    <w:p>
      <w:pPr>
        <w:ind w:left="1040" w:hanging="1032"/>
        <w:spacing w:after="0" w:line="207" w:lineRule="auto"/>
        <w:tabs>
          <w:tab w:leader="none" w:pos="1040" w:val="left"/>
        </w:tabs>
        <w:numPr>
          <w:ilvl w:val="0"/>
          <w:numId w:val="92"/>
        </w:numPr>
        <w:rPr>
          <w:rFonts w:ascii="Arial" w:cs="Arial" w:eastAsia="Arial" w:hAnsi="Arial"/>
          <w:sz w:val="28"/>
          <w:szCs w:val="28"/>
          <w:color w:val="auto"/>
          <w:vertAlign w:val="superscript"/>
        </w:rPr>
      </w:pPr>
      <w:r>
        <w:rPr>
          <w:rFonts w:ascii="Arial" w:cs="Arial" w:eastAsia="Arial" w:hAnsi="Arial"/>
          <w:sz w:val="16"/>
          <w:szCs w:val="16"/>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2" w:lineRule="exact"/>
        <w:rPr>
          <w:rFonts w:ascii="Arial" w:cs="Arial" w:eastAsia="Arial" w:hAnsi="Arial"/>
          <w:sz w:val="28"/>
          <w:szCs w:val="28"/>
          <w:color w:val="auto"/>
          <w:vertAlign w:val="superscript"/>
        </w:rPr>
      </w:pPr>
    </w:p>
    <w:p>
      <w:pPr>
        <w:ind w:left="1040" w:hanging="1032"/>
        <w:spacing w:after="0" w:line="183" w:lineRule="auto"/>
        <w:tabs>
          <w:tab w:leader="none" w:pos="1040" w:val="left"/>
        </w:tabs>
        <w:numPr>
          <w:ilvl w:val="0"/>
          <w:numId w:val="92"/>
        </w:numPr>
        <w:rPr>
          <w:rFonts w:ascii="Arial" w:cs="Arial" w:eastAsia="Arial" w:hAnsi="Arial"/>
          <w:sz w:val="23"/>
          <w:szCs w:val="23"/>
          <w:color w:val="auto"/>
          <w:vertAlign w:val="superscript"/>
        </w:rPr>
      </w:pPr>
      <w:r>
        <w:rPr>
          <w:rFonts w:ascii="Arial" w:cs="Arial" w:eastAsia="Arial" w:hAnsi="Arial"/>
          <w:sz w:val="14"/>
          <w:szCs w:val="14"/>
          <w:color w:val="auto"/>
        </w:rPr>
        <w:t>Audited by predecessor auditors.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189" w:lineRule="exact"/>
        <w:rPr>
          <w:sz w:val="20"/>
          <w:szCs w:val="20"/>
          <w:color w:val="auto"/>
        </w:rPr>
      </w:pPr>
    </w:p>
    <w:p>
      <w:pPr>
        <w:ind w:right="60" w:firstLine="685"/>
        <w:spacing w:after="0" w:line="255" w:lineRule="auto"/>
        <w:rPr>
          <w:sz w:val="20"/>
          <w:szCs w:val="20"/>
          <w:color w:val="auto"/>
        </w:rPr>
      </w:pPr>
      <w:r>
        <w:rPr>
          <w:rFonts w:ascii="Arial" w:cs="Arial" w:eastAsia="Arial" w:hAnsi="Arial"/>
          <w:sz w:val="18"/>
          <w:szCs w:val="18"/>
          <w:color w:val="auto"/>
        </w:rPr>
        <w:t>Funding I’s multi-currency Credit Facility with the Lenders was $350 million as of September 30, 2016,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2016 and 2015, Funding I had $232.9 million and $29.6 million of outstanding borrowings under the Credit Facility, respectively. The Credit Facility had a weighted average interest rate of 2.57% and 2.20%, excluding the undrawn commitment fees of 0.375% and 0.75%, as of September 30, 2016 and 2015, respectively. The annualized weighted average cost of debt for the years ended September 30, 2016, 2015 and 2014, inclusive of the fee on the undrawn commitment on the Credit Facility but excluding amendment costs, was 3.51%, 2.62% and 2.35%, respectively.</w:t>
      </w:r>
    </w:p>
    <w:p>
      <w:pPr>
        <w:spacing w:after="0" w:line="149" w:lineRule="exact"/>
        <w:rPr>
          <w:sz w:val="20"/>
          <w:szCs w:val="20"/>
          <w:color w:val="auto"/>
        </w:rPr>
      </w:pPr>
    </w:p>
    <w:p>
      <w:pPr>
        <w:ind w:right="40" w:firstLine="685"/>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60" w:lineRule="exact"/>
        <w:rPr>
          <w:sz w:val="20"/>
          <w:szCs w:val="20"/>
          <w:color w:val="auto"/>
        </w:rPr>
      </w:pPr>
    </w:p>
    <w:p>
      <w:pPr>
        <w:ind w:right="40" w:firstLine="685"/>
        <w:spacing w:after="0" w:line="297" w:lineRule="auto"/>
        <w:rPr>
          <w:sz w:val="20"/>
          <w:szCs w:val="20"/>
          <w:color w:val="auto"/>
        </w:rPr>
      </w:pPr>
      <w:r>
        <w:rPr>
          <w:rFonts w:ascii="Arial" w:cs="Arial" w:eastAsia="Arial" w:hAnsi="Arial"/>
          <w:sz w:val="16"/>
          <w:szCs w:val="16"/>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2016, we were in compliance with the covenants relating to our Credit Facility.</w:t>
      </w:r>
    </w:p>
    <w:p>
      <w:pPr>
        <w:spacing w:after="0" w:line="118" w:lineRule="exact"/>
        <w:rPr>
          <w:sz w:val="20"/>
          <w:szCs w:val="20"/>
          <w:color w:val="auto"/>
        </w:rPr>
      </w:pPr>
    </w:p>
    <w:p>
      <w:pPr>
        <w:jc w:val="both"/>
        <w:ind w:right="300" w:firstLine="685"/>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1"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ind w:right="220" w:firstLine="685"/>
        <w:spacing w:after="0" w:line="257"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September 30, 2016 and 2015, we had $20.0 million and $4.8 million, respectively, in commitments to fund investments.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ACQUISITION OF MCG CAPITAL CORPORTION</w:t>
      </w:r>
    </w:p>
    <w:p>
      <w:pPr>
        <w:spacing w:after="0" w:line="202"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We entered into the Merger Agreement with MCG on April 28, 2015 to improve our scale to be more important to borrowers, to increase our market capitalization, to reduce our expense ratio and to increase diversification.</w:t>
      </w:r>
    </w:p>
    <w:p>
      <w:pPr>
        <w:spacing w:after="0" w:line="130" w:lineRule="exact"/>
        <w:rPr>
          <w:sz w:val="20"/>
          <w:szCs w:val="20"/>
          <w:color w:val="auto"/>
        </w:rPr>
      </w:pPr>
    </w:p>
    <w:p>
      <w:pPr>
        <w:ind w:right="160" w:firstLine="685"/>
        <w:spacing w:after="0" w:line="271" w:lineRule="auto"/>
        <w:rPr>
          <w:sz w:val="20"/>
          <w:szCs w:val="20"/>
          <w:color w:val="auto"/>
        </w:rPr>
      </w:pPr>
      <w:r>
        <w:rPr>
          <w:rFonts w:ascii="Arial" w:cs="Arial" w:eastAsia="Arial" w:hAnsi="Arial"/>
          <w:sz w:val="17"/>
          <w:szCs w:val="17"/>
          <w:color w:val="auto"/>
        </w:rPr>
        <w:t>In August 2015, we completed the acquisition of MCG whereby we acquired 100% of the net assets of MCG, approximately $166.9 million consisting of primarily cash. In accordance with the terms of the Merger Agreement, each outstanding share of MCG common stock (including shares of restricted stock) was converted into the right to receive (i) 0.32044 shares of our common stock (with MCG stockholders receiving cash in lieu of fractional shares of our common stock), and (ii) $0.30595 per share in cash. Pursuant to the Merger Agreement, we issued an aggregate of approximately 11.8 million shares of our common stock to former MCG stockholders, and our Investment Adviser made an aggregate cash payment of approximately $11.3 million to former MCG stockholders. The cash payment of approximately $11.3 million by our Investment Adviser is not subject to any reimbursement arrangement and is therefore not reflected in our consolidated financial statements. We incurred transaction costs of $2.3 million, of which $2.2 million relating to our share issuance were charged to paid in capital and $0.1 million was expensed.</w:t>
      </w:r>
    </w:p>
    <w:p>
      <w:pPr>
        <w:spacing w:after="0" w:line="138" w:lineRule="exact"/>
        <w:rPr>
          <w:sz w:val="20"/>
          <w:szCs w:val="20"/>
          <w:color w:val="auto"/>
        </w:rPr>
      </w:pPr>
    </w:p>
    <w:p>
      <w:pPr>
        <w:ind w:firstLine="685"/>
        <w:spacing w:after="0" w:line="288" w:lineRule="auto"/>
        <w:rPr>
          <w:sz w:val="20"/>
          <w:szCs w:val="20"/>
          <w:color w:val="auto"/>
        </w:rPr>
      </w:pPr>
      <w:r>
        <w:rPr>
          <w:rFonts w:ascii="Arial" w:cs="Arial" w:eastAsia="Arial" w:hAnsi="Arial"/>
          <w:sz w:val="16"/>
          <w:szCs w:val="16"/>
          <w:color w:val="auto"/>
        </w:rPr>
        <w:t>We accounted for the merger with MCG under the asset acquisition method of accounting in accordance with ASC 805-50, Business Combinations —Related Issues. Under asset acquisition accounting, acquiring assets in groups requires ascertaining the cost of the net assets, as well as, allocating that cost to the individual assets and liabilities comprising the group. Under ASC 805-50-30-1, assets are recognized based on their cost to the acquiring entity, which generally includes transaction costs of the asset acquisition, and no gain or loss is recognized unless the fair value of noncash assets given as consideration differs from the assets’ carrying amounts on the acquiring entity’s records. Furthermore, ASC 805-50-30-2 provides that if the consideration given is not in the form of cash (for example, in the form of equity interests issued), measurement is based on the cost to the acquiring entity or the fair value of the net assets acquired, whichever is more clearly evident and, thus, more reliably measured. Since the acquired net assets were principally comprised of cash, we used the net assets acquired to measure the value of the common stock issued. Finally, ASC 805-50-30-3 provides that the cost of the group of assets acquired in an asset acquisition is allocated to the individual assets acquired or liabilities assumed based on their relative fair values of net identifiable assets acquired other than “non-qualifying” assets (for example, cash) and does not give rise to goodwill.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860" w:hanging="687"/>
        <w:spacing w:after="0"/>
        <w:tabs>
          <w:tab w:leader="none" w:pos="86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25"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The Index to Consolidated Financial Statements on page F-1 of this Registration Statement is hereby incorporated by reference.</w:t>
      </w:r>
    </w:p>
    <w:p>
      <w:pPr>
        <w:spacing w:after="0" w:line="225" w:lineRule="exact"/>
        <w:rPr>
          <w:sz w:val="20"/>
          <w:szCs w:val="20"/>
          <w:color w:val="auto"/>
        </w:rPr>
      </w:pPr>
    </w:p>
    <w:p>
      <w:pPr>
        <w:ind w:left="860" w:hanging="687"/>
        <w:spacing w:after="0"/>
        <w:tabs>
          <w:tab w:leader="none" w:pos="8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Exhibits.</w:t>
      </w:r>
    </w:p>
    <w:p>
      <w:pPr>
        <w:spacing w:after="0" w:line="185" w:lineRule="exact"/>
        <w:rPr>
          <w:sz w:val="20"/>
          <w:szCs w:val="20"/>
          <w:color w:val="auto"/>
        </w:rPr>
      </w:pPr>
    </w:p>
    <w:p>
      <w:pPr>
        <w:ind w:left="860" w:right="100" w:hanging="740"/>
        <w:spacing w:after="0" w:line="268" w:lineRule="auto"/>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Articles of Amendment and Restatement of the Registrant (Incorporated by reference to Exhibit 99(A) to the Registrant’s Pre-Effective Amendment No. 3 to the Registration Statement on Form N-2 (File No. 333-170243), filed on March 29, 2011).</w:t>
      </w:r>
    </w:p>
    <w:p>
      <w:pPr>
        <w:spacing w:after="0" w:line="145" w:lineRule="exact"/>
        <w:rPr>
          <w:rFonts w:ascii="Arial" w:cs="Arial" w:eastAsia="Arial" w:hAnsi="Arial"/>
          <w:sz w:val="18"/>
          <w:szCs w:val="18"/>
          <w:color w:val="auto"/>
        </w:rPr>
      </w:pPr>
    </w:p>
    <w:p>
      <w:pPr>
        <w:ind w:left="860" w:right="100" w:hanging="745"/>
        <w:spacing w:after="0" w:line="268" w:lineRule="auto"/>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3.1 to the Registrant’s Current Report on Form 8-K (File No. 814-00891), filed on December 2, 2015).</w:t>
      </w:r>
    </w:p>
    <w:p>
      <w:pPr>
        <w:spacing w:after="0" w:line="145" w:lineRule="exact"/>
        <w:rPr>
          <w:sz w:val="20"/>
          <w:szCs w:val="20"/>
          <w:color w:val="auto"/>
        </w:rPr>
      </w:pPr>
    </w:p>
    <w:p>
      <w:pPr>
        <w:ind w:left="860" w:right="600" w:hanging="839"/>
        <w:spacing w:after="0" w:line="268" w:lineRule="auto"/>
        <w:tabs>
          <w:tab w:leader="none" w:pos="84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Share Certificate (Incorporated by reference to Exhibit 99(D) to the Registrant’s Pre-Effective Amendment No. 5 to the Registration Statement on Form N-2 (File No. 333-170243), filed on April 5, 2011).</w:t>
      </w:r>
    </w:p>
    <w:p>
      <w:pPr>
        <w:spacing w:after="0" w:line="145"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16"/>
          <w:szCs w:val="16"/>
          <w:color w:val="auto"/>
        </w:rPr>
        <w:t>(d)(2)</w:t>
      </w:r>
      <w:r>
        <w:rPr>
          <w:sz w:val="20"/>
          <w:szCs w:val="20"/>
          <w:color w:val="auto"/>
        </w:rPr>
        <w:tab/>
      </w:r>
      <w:r>
        <w:rPr>
          <w:rFonts w:ascii="Arial" w:cs="Arial" w:eastAsia="Arial" w:hAnsi="Arial"/>
          <w:sz w:val="16"/>
          <w:szCs w:val="16"/>
          <w:color w:val="auto"/>
        </w:rPr>
        <w:t>Form of Subscription Certificate (Incorporated by reference to Exhibit 99(D)(2) to the Registrant’s Registration Statement on Form N-2 (File No.</w:t>
      </w:r>
    </w:p>
    <w:p>
      <w:pPr>
        <w:spacing w:after="0" w:line="3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333-180084), filed on March 14, 2012).</w:t>
      </w:r>
    </w:p>
    <w:p>
      <w:pPr>
        <w:spacing w:after="0" w:line="178" w:lineRule="exact"/>
        <w:rPr>
          <w:sz w:val="20"/>
          <w:szCs w:val="20"/>
          <w:color w:val="auto"/>
        </w:rPr>
      </w:pPr>
    </w:p>
    <w:p>
      <w:pPr>
        <w:ind w:left="860" w:right="280" w:hanging="839"/>
        <w:spacing w:after="0" w:line="268" w:lineRule="auto"/>
        <w:tabs>
          <w:tab w:leader="none" w:pos="84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Form of Indenture (Incorporated by reference to Exhibit 99(D)(3) to the Registrant’s Registration Statement on Form N-2 (File No. 333-180084), filed on March 14, 2012).</w:t>
      </w:r>
    </w:p>
    <w:p>
      <w:pPr>
        <w:spacing w:after="0" w:line="145" w:lineRule="exact"/>
        <w:rPr>
          <w:sz w:val="20"/>
          <w:szCs w:val="20"/>
          <w:color w:val="auto"/>
        </w:rPr>
      </w:pPr>
    </w:p>
    <w:p>
      <w:pPr>
        <w:ind w:left="860" w:right="80" w:hanging="839"/>
        <w:spacing w:after="0" w:line="268" w:lineRule="auto"/>
        <w:tabs>
          <w:tab w:leader="none" w:pos="84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Subscription Agent Agreement (Incorporated by reference to Exhibit 99(D)(4) to the Registrant’s Registration Statement on Form N-2 (File No. 333-180084), filed on March 14, 2012).</w:t>
      </w:r>
    </w:p>
    <w:p>
      <w:pPr>
        <w:spacing w:after="0" w:line="145" w:lineRule="exact"/>
        <w:rPr>
          <w:sz w:val="20"/>
          <w:szCs w:val="20"/>
          <w:color w:val="auto"/>
        </w:rPr>
      </w:pPr>
    </w:p>
    <w:p>
      <w:pPr>
        <w:ind w:left="860" w:right="200" w:hanging="839"/>
        <w:spacing w:after="0" w:line="268" w:lineRule="auto"/>
        <w:tabs>
          <w:tab w:leader="none" w:pos="840" w:val="left"/>
        </w:tabs>
        <w:rPr>
          <w:sz w:val="20"/>
          <w:szCs w:val="20"/>
          <w:color w:val="auto"/>
        </w:rPr>
      </w:pPr>
      <w:r>
        <w:rPr>
          <w:rFonts w:ascii="Arial" w:cs="Arial" w:eastAsia="Arial" w:hAnsi="Arial"/>
          <w:sz w:val="18"/>
          <w:szCs w:val="18"/>
          <w:color w:val="auto"/>
        </w:rPr>
        <w:t>(d)(5)</w:t>
      </w:r>
      <w:r>
        <w:rPr>
          <w:sz w:val="20"/>
          <w:szCs w:val="20"/>
          <w:color w:val="auto"/>
        </w:rPr>
        <w:tab/>
      </w:r>
      <w:r>
        <w:rPr>
          <w:rFonts w:ascii="Arial" w:cs="Arial" w:eastAsia="Arial" w:hAnsi="Arial"/>
          <w:sz w:val="18"/>
          <w:szCs w:val="18"/>
          <w:color w:val="auto"/>
        </w:rPr>
        <w:t>Form of Warrant Agreement (Incorporated by reference to Exhibit 99(D)(5) to the Registrant’s Registration Statement on Form N-2 (File No. 333-180084), filed on March 14, 2012).</w:t>
      </w:r>
    </w:p>
    <w:p>
      <w:pPr>
        <w:spacing w:after="0" w:line="145" w:lineRule="exact"/>
        <w:rPr>
          <w:sz w:val="20"/>
          <w:szCs w:val="20"/>
          <w:color w:val="auto"/>
        </w:rPr>
      </w:pPr>
    </w:p>
    <w:p>
      <w:pPr>
        <w:ind w:left="860" w:right="840" w:hanging="839"/>
        <w:spacing w:after="0" w:line="268" w:lineRule="auto"/>
        <w:tabs>
          <w:tab w:leader="none" w:pos="84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Form T-1 Statement of Eligibility with respect to the Form of Indenture (Incorporated by reference to Exhibit 99(D)(6) to the Registrant’s Registration Statement on Form N-2 (File No. 333-180084), filed on March 14, 2012).</w:t>
      </w:r>
    </w:p>
    <w:p>
      <w:pPr>
        <w:spacing w:after="0" w:line="145"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16"/>
          <w:szCs w:val="16"/>
          <w:color w:val="auto"/>
        </w:rPr>
        <w:t>(d)(7)</w:t>
      </w:r>
      <w:r>
        <w:rPr>
          <w:sz w:val="20"/>
          <w:szCs w:val="20"/>
          <w:color w:val="auto"/>
        </w:rPr>
        <w:tab/>
      </w:r>
      <w:r>
        <w:rPr>
          <w:rFonts w:ascii="Arial" w:cs="Arial" w:eastAsia="Arial" w:hAnsi="Arial"/>
          <w:sz w:val="16"/>
          <w:szCs w:val="16"/>
          <w:color w:val="auto"/>
        </w:rPr>
        <w:t>Form of Articles Supplementary (Incorporated by reference to Exhibit 99(D)(7) to the Registrant’s Registration Statement on Form N-2 (File No.</w:t>
      </w:r>
    </w:p>
    <w:p>
      <w:pPr>
        <w:spacing w:after="0" w:line="3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333-180084), filed on March 14, 2012).</w:t>
      </w:r>
    </w:p>
    <w:p>
      <w:pPr>
        <w:spacing w:after="0" w:line="178" w:lineRule="exact"/>
        <w:rPr>
          <w:sz w:val="20"/>
          <w:szCs w:val="20"/>
          <w:color w:val="auto"/>
        </w:rPr>
      </w:pPr>
    </w:p>
    <w:p>
      <w:pPr>
        <w:ind w:left="860" w:right="680" w:hanging="740"/>
        <w:spacing w:after="0" w:line="268" w:lineRule="auto"/>
        <w:tabs>
          <w:tab w:leader="none" w:pos="8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Form of Dividend Reinvestment Plan (Incorporated by reference to Exhibit 99(E) to the Registrant’s Pre-Effective Amendment No. 3 to the Registration Statement on Form N-2 (File No. 333-170243), filed on March 29, 2011).</w:t>
      </w:r>
    </w:p>
    <w:p>
      <w:pPr>
        <w:spacing w:after="0" w:line="145" w:lineRule="exact"/>
        <w:rPr>
          <w:sz w:val="20"/>
          <w:szCs w:val="20"/>
          <w:color w:val="auto"/>
        </w:rPr>
      </w:pPr>
    </w:p>
    <w:p>
      <w:pPr>
        <w:ind w:left="860" w:hanging="745"/>
        <w:spacing w:after="0" w:line="259" w:lineRule="auto"/>
        <w:tabs>
          <w:tab w:leader="none" w:pos="8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Second Amended and Restated Investment Advisory Agreement, dated as of February 2, 2016, between PennantPark Floating Rate Capital Ltd. and PennantPark Investment Advisers, LLC (Incorporated by reference to the Registrant’s Quarterly Report on Form 10-Q (File No. 814-00891), filed on February 4, 2016).</w:t>
      </w:r>
    </w:p>
    <w:p>
      <w:pPr>
        <w:spacing w:after="0" w:line="154" w:lineRule="exact"/>
        <w:rPr>
          <w:sz w:val="20"/>
          <w:szCs w:val="20"/>
          <w:color w:val="auto"/>
        </w:rPr>
      </w:pPr>
    </w:p>
    <w:p>
      <w:pPr>
        <w:ind w:left="860" w:right="140" w:hanging="839"/>
        <w:spacing w:after="0" w:line="268" w:lineRule="auto"/>
        <w:tabs>
          <w:tab w:leader="none" w:pos="84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(Incorporated by reference to Exhibit 99(H)(1) to the Registrant’s Registration Statement on Form N-2 (File No. 333-180084), filed on March 14, 2012).</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60"/>
          </w:cols>
          <w:pgMar w:left="240" w:top="459" w:right="2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860" w:right="280" w:hanging="839"/>
        <w:spacing w:after="0" w:line="268" w:lineRule="auto"/>
        <w:tabs>
          <w:tab w:leader="none" w:pos="84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(Incorporated by reference to Exhibit 99(H)(2) to the Registrant’s Registration Statement on Form N-2 (File No. 333-180084), filed on March 14, 2012).</w:t>
      </w:r>
    </w:p>
    <w:p>
      <w:pPr>
        <w:spacing w:after="0" w:line="145" w:lineRule="exact"/>
        <w:rPr>
          <w:sz w:val="20"/>
          <w:szCs w:val="20"/>
          <w:color w:val="auto"/>
        </w:rPr>
      </w:pPr>
    </w:p>
    <w:p>
      <w:pPr>
        <w:ind w:left="860" w:right="680" w:hanging="726"/>
        <w:spacing w:after="0" w:line="332" w:lineRule="auto"/>
        <w:tabs>
          <w:tab w:leader="none" w:pos="8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Form of Custodian Agreement between the Registrant and The Bank of New York Mellon (Incorporated by reference to Exhibit 99(J) to the Registrant’s Pre-Effective Amendment No. 3 to the Registration Statement on Form N-2 (File No. 333-170243), filed on March 29, 2011).</w:t>
      </w:r>
    </w:p>
    <w:p>
      <w:pPr>
        <w:spacing w:after="0" w:line="99" w:lineRule="exact"/>
        <w:rPr>
          <w:sz w:val="20"/>
          <w:szCs w:val="20"/>
          <w:color w:val="auto"/>
        </w:rPr>
      </w:pPr>
    </w:p>
    <w:p>
      <w:pPr>
        <w:ind w:left="860" w:right="60" w:hanging="839"/>
        <w:spacing w:after="0" w:line="259" w:lineRule="auto"/>
        <w:tabs>
          <w:tab w:leader="none" w:pos="840"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Form of Stock Transfer Agency Agreement between the Registrant and American Stock Transfer &amp; Trust Company, LLC (Incorporated by reference to Exhibit 99(K)(1) to the Registrant’s Pre-Effective Amendment No. 3 to the Registration Statement on Form N-2 (File No. 333-170243), filed on March 29, 2011).</w:t>
      </w:r>
    </w:p>
    <w:p>
      <w:pPr>
        <w:spacing w:after="0" w:line="154" w:lineRule="exact"/>
        <w:rPr>
          <w:sz w:val="20"/>
          <w:szCs w:val="20"/>
          <w:color w:val="auto"/>
        </w:rPr>
      </w:pPr>
    </w:p>
    <w:p>
      <w:pPr>
        <w:jc w:val="both"/>
        <w:ind w:left="860" w:right="120" w:hanging="839"/>
        <w:spacing w:after="0" w:line="259" w:lineRule="auto"/>
        <w:tabs>
          <w:tab w:leader="none" w:pos="84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Form of Administration Agreement between the Registrant and PennantPark Investment Administration, LLC (Incorporated by reference to Exhibit 99(K)(2) to the Registrant’s Pre-Effective Amendment No. 3 to the Registration Statement on Form N-2 (File No. 333-170243), filed on March 29, 2011).</w:t>
      </w:r>
    </w:p>
    <w:p>
      <w:pPr>
        <w:spacing w:after="0" w:line="154" w:lineRule="exact"/>
        <w:rPr>
          <w:sz w:val="20"/>
          <w:szCs w:val="20"/>
          <w:color w:val="auto"/>
        </w:rPr>
      </w:pPr>
    </w:p>
    <w:p>
      <w:pPr>
        <w:ind w:left="860" w:right="320" w:hanging="839"/>
        <w:spacing w:after="0" w:line="268" w:lineRule="auto"/>
        <w:tabs>
          <w:tab w:leader="none" w:pos="84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Form of Trademark License Agreement (Incorporated by reference to Exhibit 99(K)(3) to the Registrant’s Pre-Effective Amendment No. 3 to the Registration Statement on Form N-2 (File No. 333-170243), filed on March 29, 2011).</w:t>
      </w:r>
    </w:p>
    <w:p>
      <w:pPr>
        <w:spacing w:after="0" w:line="145" w:lineRule="exact"/>
        <w:rPr>
          <w:sz w:val="20"/>
          <w:szCs w:val="20"/>
          <w:color w:val="auto"/>
        </w:rPr>
      </w:pPr>
    </w:p>
    <w:p>
      <w:pPr>
        <w:ind w:left="860" w:right="280" w:hanging="839"/>
        <w:spacing w:after="0" w:line="298" w:lineRule="auto"/>
        <w:tabs>
          <w:tab w:leader="none" w:pos="840" w:val="left"/>
        </w:tabs>
        <w:rPr>
          <w:sz w:val="20"/>
          <w:szCs w:val="20"/>
          <w:color w:val="auto"/>
        </w:rPr>
      </w:pPr>
      <w:r>
        <w:rPr>
          <w:rFonts w:ascii="Arial" w:cs="Arial" w:eastAsia="Arial" w:hAnsi="Arial"/>
          <w:sz w:val="16"/>
          <w:szCs w:val="16"/>
          <w:color w:val="auto"/>
        </w:rPr>
        <w:t>(k)(4)</w:t>
      </w:r>
      <w:r>
        <w:rPr>
          <w:sz w:val="20"/>
          <w:szCs w:val="20"/>
          <w:color w:val="auto"/>
        </w:rPr>
        <w:tab/>
      </w:r>
      <w:r>
        <w:rPr>
          <w:rFonts w:ascii="Arial" w:cs="Arial" w:eastAsia="Arial" w:hAnsi="Arial"/>
          <w:sz w:val="16"/>
          <w:szCs w:val="16"/>
          <w:color w:val="auto"/>
        </w:rPr>
        <w:t>Third Amended and Restated Revolving Credit and Security Agreement, dated as of May 22, 2015, among PennantPark Floating Rate Funding I, LLC, as borrower, PennantPark Investment Advisers, LLC, as collateral manager, the lenders from time to time parties thereto, SunTrust Bank, as administrative agent, and U.S. Bank National Association, as collateral agent, as backup collateral manager, and as custodian (Incorporated by reference to Exhibit 10.1 to the Registrant’s Quarterly Report on Form 10-Q (File No. 814-00891), filed on August 6, 2015).</w:t>
      </w:r>
    </w:p>
    <w:p>
      <w:pPr>
        <w:spacing w:after="0" w:line="126" w:lineRule="exact"/>
        <w:rPr>
          <w:sz w:val="20"/>
          <w:szCs w:val="20"/>
          <w:color w:val="auto"/>
        </w:rPr>
      </w:pPr>
    </w:p>
    <w:p>
      <w:pPr>
        <w:ind w:left="860" w:right="160" w:hanging="839"/>
        <w:spacing w:after="0" w:line="255" w:lineRule="auto"/>
        <w:tabs>
          <w:tab w:leader="none" w:pos="840" w:val="left"/>
        </w:tabs>
        <w:rPr>
          <w:sz w:val="20"/>
          <w:szCs w:val="20"/>
          <w:color w:val="auto"/>
        </w:rPr>
      </w:pPr>
      <w:r>
        <w:rPr>
          <w:rFonts w:ascii="Arial" w:cs="Arial" w:eastAsia="Arial" w:hAnsi="Arial"/>
          <w:sz w:val="18"/>
          <w:szCs w:val="18"/>
          <w:color w:val="auto"/>
        </w:rPr>
        <w:t>(k)(5)</w:t>
      </w:r>
      <w:r>
        <w:rPr>
          <w:sz w:val="20"/>
          <w:szCs w:val="20"/>
          <w:color w:val="auto"/>
        </w:rPr>
        <w:tab/>
      </w:r>
      <w:r>
        <w:rPr>
          <w:rFonts w:ascii="Arial" w:cs="Arial" w:eastAsia="Arial" w:hAnsi="Arial"/>
          <w:sz w:val="18"/>
          <w:szCs w:val="18"/>
          <w:color w:val="auto"/>
        </w:rPr>
        <w:t>First Amendment to Third Amended and Restated Revolving Credit and Security Agreement, dated as of August 26, 2015, among PennantPark Floating Rate Funding I, LLC, as borrower, PennantPark Investment Advisers, LLC, as collateral manager, the lenders from time to time party thereto, SunTrust Bank, as administrative agent, and U.S. Bank National Association, as collateral agent, as backup collateral manager and as custodian (Incorporated by reference to Exhibit 10.1 to the Registrant’s Annual Report on Form 10-K (File No. 814-00891), filed on November 12, 2015).</w:t>
      </w:r>
    </w:p>
    <w:p>
      <w:pPr>
        <w:spacing w:after="0" w:line="156" w:lineRule="exact"/>
        <w:rPr>
          <w:sz w:val="20"/>
          <w:szCs w:val="20"/>
          <w:color w:val="auto"/>
        </w:rPr>
      </w:pPr>
    </w:p>
    <w:p>
      <w:pPr>
        <w:ind w:left="860" w:hanging="839"/>
        <w:spacing w:after="0" w:line="259" w:lineRule="auto"/>
        <w:tabs>
          <w:tab w:leader="none" w:pos="84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Purchase and Contribution Agreement, dated as of June 23, 2011, among PennantPark Floating Rate Capital Ltd., as the seller, and PennantPark Floating Rate Funding I, LLC, as the buyer (Incorporated by reference to Exhibit 10.2 to the Registrant’s Periodic Report on Form 8-K (File No. 814-00891), filed on June 29, 2011).</w:t>
      </w:r>
    </w:p>
    <w:p>
      <w:pPr>
        <w:spacing w:after="0" w:line="154" w:lineRule="exact"/>
        <w:rPr>
          <w:sz w:val="20"/>
          <w:szCs w:val="20"/>
          <w:color w:val="auto"/>
        </w:rPr>
      </w:pPr>
    </w:p>
    <w:p>
      <w:pPr>
        <w:ind w:left="860" w:right="160" w:hanging="839"/>
        <w:spacing w:after="0" w:line="259" w:lineRule="auto"/>
        <w:tabs>
          <w:tab w:leader="none" w:pos="840" w:val="left"/>
        </w:tabs>
        <w:rPr>
          <w:sz w:val="20"/>
          <w:szCs w:val="20"/>
          <w:color w:val="auto"/>
        </w:rPr>
      </w:pPr>
      <w:r>
        <w:rPr>
          <w:rFonts w:ascii="Arial" w:cs="Arial" w:eastAsia="Arial" w:hAnsi="Arial"/>
          <w:sz w:val="18"/>
          <w:szCs w:val="18"/>
          <w:color w:val="auto"/>
        </w:rPr>
        <w:t>(k)(7)</w:t>
      </w:r>
      <w:r>
        <w:rPr>
          <w:sz w:val="20"/>
          <w:szCs w:val="20"/>
          <w:color w:val="auto"/>
        </w:rPr>
        <w:tab/>
      </w:r>
      <w:r>
        <w:rPr>
          <w:rFonts w:ascii="Arial" w:cs="Arial" w:eastAsia="Arial" w:hAnsi="Arial"/>
          <w:sz w:val="18"/>
          <w:szCs w:val="18"/>
          <w:color w:val="auto"/>
        </w:rPr>
        <w:t>Indemnification Agreement, dated as of November 15, 2016, between PennantPark Floating Rate Capital Ltd. and each of the directors and officers listed on Schedule A attached thereto (Incorporated by reference to Exhibit 10.6 on the Registrant’s Annual Report on Form 10-K (File No. 814-00891), filed on November 22, 2016).</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326" w:lineRule="exact"/>
        <w:rPr>
          <w:sz w:val="20"/>
          <w:szCs w:val="20"/>
          <w:color w:val="auto"/>
        </w:rPr>
      </w:pPr>
    </w:p>
    <w:p>
      <w:pPr>
        <w:ind w:left="1100" w:hanging="710"/>
        <w:spacing w:after="0"/>
        <w:tabs>
          <w:tab w:leader="none" w:pos="110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222"/>
        </w:trPr>
        <w:tc>
          <w:tcPr>
            <w:tcW w:w="720" w:type="dxa"/>
            <w:vAlign w:val="bottom"/>
          </w:tcPr>
          <w:p>
            <w:pPr>
              <w:jc w:val="center"/>
              <w:ind w:right="132"/>
              <w:spacing w:after="0"/>
              <w:rPr>
                <w:sz w:val="20"/>
                <w:szCs w:val="20"/>
                <w:color w:val="auto"/>
              </w:rPr>
            </w:pPr>
            <w:r>
              <w:rPr>
                <w:rFonts w:ascii="Arial" w:cs="Arial" w:eastAsia="Arial" w:hAnsi="Arial"/>
                <w:sz w:val="18"/>
                <w:szCs w:val="18"/>
                <w:color w:val="auto"/>
              </w:rPr>
              <w:t>(l)(1)*</w:t>
            </w:r>
          </w:p>
        </w:tc>
        <w:tc>
          <w:tcPr>
            <w:tcW w:w="10440" w:type="dxa"/>
            <w:vAlign w:val="bottom"/>
          </w:tcPr>
          <w:p>
            <w:pPr>
              <w:ind w:left="200"/>
              <w:spacing w:after="0"/>
              <w:rPr>
                <w:sz w:val="20"/>
                <w:szCs w:val="20"/>
                <w:color w:val="auto"/>
              </w:rPr>
            </w:pPr>
            <w:r>
              <w:rPr>
                <w:rFonts w:ascii="Arial" w:cs="Arial" w:eastAsia="Arial" w:hAnsi="Arial"/>
                <w:sz w:val="18"/>
                <w:szCs w:val="18"/>
                <w:color w:val="auto"/>
              </w:rPr>
              <w:t>Opinion and Consent of Venable LLP.</w:t>
            </w:r>
          </w:p>
        </w:tc>
      </w:tr>
      <w:tr>
        <w:trPr>
          <w:trHeight w:val="392"/>
        </w:trPr>
        <w:tc>
          <w:tcPr>
            <w:tcW w:w="720" w:type="dxa"/>
            <w:vAlign w:val="bottom"/>
          </w:tcPr>
          <w:p>
            <w:pPr>
              <w:jc w:val="center"/>
              <w:ind w:right="132"/>
              <w:spacing w:after="0"/>
              <w:rPr>
                <w:sz w:val="20"/>
                <w:szCs w:val="20"/>
                <w:color w:val="auto"/>
              </w:rPr>
            </w:pPr>
            <w:r>
              <w:rPr>
                <w:rFonts w:ascii="Arial" w:cs="Arial" w:eastAsia="Arial" w:hAnsi="Arial"/>
                <w:sz w:val="18"/>
                <w:szCs w:val="18"/>
                <w:color w:val="auto"/>
              </w:rPr>
              <w:t>(l)(2)*</w:t>
            </w:r>
          </w:p>
        </w:tc>
        <w:tc>
          <w:tcPr>
            <w:tcW w:w="10440" w:type="dxa"/>
            <w:vAlign w:val="bottom"/>
          </w:tcPr>
          <w:p>
            <w:pPr>
              <w:ind w:left="200"/>
              <w:spacing w:after="0"/>
              <w:rPr>
                <w:sz w:val="20"/>
                <w:szCs w:val="20"/>
                <w:color w:val="auto"/>
              </w:rPr>
            </w:pPr>
            <w:r>
              <w:rPr>
                <w:rFonts w:ascii="Arial" w:cs="Arial" w:eastAsia="Arial" w:hAnsi="Arial"/>
                <w:sz w:val="18"/>
                <w:szCs w:val="18"/>
                <w:color w:val="auto"/>
              </w:rPr>
              <w:t>Opinion and Consent of Dechert LLP.</w:t>
            </w:r>
          </w:p>
        </w:tc>
      </w:tr>
      <w:tr>
        <w:trPr>
          <w:trHeight w:val="392"/>
        </w:trPr>
        <w:tc>
          <w:tcPr>
            <w:tcW w:w="720" w:type="dxa"/>
            <w:vAlign w:val="bottom"/>
          </w:tcPr>
          <w:p>
            <w:pPr>
              <w:jc w:val="center"/>
              <w:ind w:right="132"/>
              <w:spacing w:after="0"/>
              <w:rPr>
                <w:sz w:val="20"/>
                <w:szCs w:val="20"/>
                <w:color w:val="auto"/>
              </w:rPr>
            </w:pPr>
            <w:r>
              <w:rPr>
                <w:rFonts w:ascii="Arial" w:cs="Arial" w:eastAsia="Arial" w:hAnsi="Arial"/>
                <w:sz w:val="18"/>
                <w:szCs w:val="18"/>
                <w:color w:val="auto"/>
                <w:w w:val="97"/>
              </w:rPr>
              <w:t>(n)(1)*</w:t>
            </w:r>
          </w:p>
        </w:tc>
        <w:tc>
          <w:tcPr>
            <w:tcW w:w="10440" w:type="dxa"/>
            <w:vAlign w:val="bottom"/>
          </w:tcPr>
          <w:p>
            <w:pPr>
              <w:ind w:left="200"/>
              <w:spacing w:after="0"/>
              <w:rPr>
                <w:sz w:val="20"/>
                <w:szCs w:val="20"/>
                <w:color w:val="auto"/>
              </w:rPr>
            </w:pPr>
            <w:r>
              <w:rPr>
                <w:rFonts w:ascii="Arial" w:cs="Arial" w:eastAsia="Arial" w:hAnsi="Arial"/>
                <w:sz w:val="18"/>
                <w:szCs w:val="18"/>
                <w:color w:val="auto"/>
              </w:rPr>
              <w:t>Consent of RSM US LLP.</w:t>
            </w:r>
          </w:p>
        </w:tc>
      </w:tr>
      <w:tr>
        <w:trPr>
          <w:trHeight w:val="392"/>
        </w:trPr>
        <w:tc>
          <w:tcPr>
            <w:tcW w:w="720" w:type="dxa"/>
            <w:vAlign w:val="bottom"/>
          </w:tcPr>
          <w:p>
            <w:pPr>
              <w:jc w:val="center"/>
              <w:ind w:right="132"/>
              <w:spacing w:after="0"/>
              <w:rPr>
                <w:sz w:val="20"/>
                <w:szCs w:val="20"/>
                <w:color w:val="auto"/>
              </w:rPr>
            </w:pPr>
            <w:r>
              <w:rPr>
                <w:rFonts w:ascii="Arial" w:cs="Arial" w:eastAsia="Arial" w:hAnsi="Arial"/>
                <w:sz w:val="18"/>
                <w:szCs w:val="18"/>
                <w:color w:val="auto"/>
                <w:w w:val="97"/>
              </w:rPr>
              <w:t>(n)(2)*</w:t>
            </w:r>
          </w:p>
        </w:tc>
        <w:tc>
          <w:tcPr>
            <w:tcW w:w="10440" w:type="dxa"/>
            <w:vAlign w:val="bottom"/>
          </w:tcPr>
          <w:p>
            <w:pPr>
              <w:ind w:left="200"/>
              <w:spacing w:after="0"/>
              <w:rPr>
                <w:sz w:val="20"/>
                <w:szCs w:val="20"/>
                <w:color w:val="auto"/>
              </w:rPr>
            </w:pPr>
            <w:r>
              <w:rPr>
                <w:rFonts w:ascii="Arial" w:cs="Arial" w:eastAsia="Arial" w:hAnsi="Arial"/>
                <w:sz w:val="18"/>
                <w:szCs w:val="18"/>
                <w:color w:val="auto"/>
              </w:rPr>
              <w:t>Report of RSM US LLP regarding senior securities table contained herein.</w:t>
            </w:r>
          </w:p>
        </w:tc>
      </w:tr>
      <w:tr>
        <w:trPr>
          <w:trHeight w:val="385"/>
        </w:trPr>
        <w:tc>
          <w:tcPr>
            <w:tcW w:w="720" w:type="dxa"/>
            <w:vAlign w:val="bottom"/>
          </w:tcPr>
          <w:p>
            <w:pPr>
              <w:jc w:val="center"/>
              <w:ind w:right="132"/>
              <w:spacing w:after="0"/>
              <w:rPr>
                <w:sz w:val="20"/>
                <w:szCs w:val="20"/>
                <w:color w:val="auto"/>
              </w:rPr>
            </w:pPr>
            <w:r>
              <w:rPr>
                <w:rFonts w:ascii="Arial" w:cs="Arial" w:eastAsia="Arial" w:hAnsi="Arial"/>
                <w:sz w:val="18"/>
                <w:szCs w:val="18"/>
                <w:color w:val="auto"/>
                <w:w w:val="94"/>
              </w:rPr>
              <w:t>(r)(1)</w:t>
            </w:r>
          </w:p>
        </w:tc>
        <w:tc>
          <w:tcPr>
            <w:tcW w:w="10440" w:type="dxa"/>
            <w:vAlign w:val="bottom"/>
          </w:tcPr>
          <w:p>
            <w:pPr>
              <w:ind w:left="200"/>
              <w:spacing w:after="0"/>
              <w:rPr>
                <w:sz w:val="20"/>
                <w:szCs w:val="20"/>
                <w:color w:val="auto"/>
              </w:rPr>
            </w:pPr>
            <w:r>
              <w:rPr>
                <w:rFonts w:ascii="Arial" w:cs="Arial" w:eastAsia="Arial" w:hAnsi="Arial"/>
                <w:sz w:val="18"/>
                <w:szCs w:val="18"/>
                <w:color w:val="auto"/>
                <w:w w:val="93"/>
              </w:rPr>
              <w:t>Joint Code of Ethics of the Registrant, PennantPark Investment Corporation and PennantPark Investment Advisers, LLC (Incorporated by</w:t>
            </w:r>
          </w:p>
        </w:tc>
      </w:tr>
      <w:tr>
        <w:trPr>
          <w:trHeight w:val="222"/>
        </w:trPr>
        <w:tc>
          <w:tcPr>
            <w:tcW w:w="720" w:type="dxa"/>
            <w:vAlign w:val="bottom"/>
          </w:tcPr>
          <w:p>
            <w:pPr>
              <w:spacing w:after="0"/>
              <w:rPr>
                <w:sz w:val="19"/>
                <w:szCs w:val="19"/>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reference to Exhibit 14.1 to the Registrant’s Annual Report on Form 10-K (File No. 814-00891), filed on November 22, 2016).</w:t>
            </w:r>
          </w:p>
        </w:tc>
      </w:tr>
      <w:tr>
        <w:trPr>
          <w:trHeight w:val="385"/>
        </w:trPr>
        <w:tc>
          <w:tcPr>
            <w:tcW w:w="720" w:type="dxa"/>
            <w:vAlign w:val="bottom"/>
          </w:tcPr>
          <w:p>
            <w:pPr>
              <w:jc w:val="center"/>
              <w:ind w:right="132"/>
              <w:spacing w:after="0"/>
              <w:rPr>
                <w:sz w:val="20"/>
                <w:szCs w:val="20"/>
                <w:color w:val="auto"/>
              </w:rPr>
            </w:pPr>
            <w:r>
              <w:rPr>
                <w:rFonts w:ascii="Arial" w:cs="Arial" w:eastAsia="Arial" w:hAnsi="Arial"/>
                <w:sz w:val="18"/>
                <w:szCs w:val="18"/>
                <w:color w:val="auto"/>
                <w:w w:val="88"/>
              </w:rPr>
              <w:t>(s)(1)</w:t>
            </w:r>
          </w:p>
        </w:tc>
        <w:tc>
          <w:tcPr>
            <w:tcW w:w="10440" w:type="dxa"/>
            <w:vAlign w:val="bottom"/>
          </w:tcPr>
          <w:p>
            <w:pPr>
              <w:ind w:left="200"/>
              <w:spacing w:after="0"/>
              <w:rPr>
                <w:sz w:val="20"/>
                <w:szCs w:val="20"/>
                <w:color w:val="auto"/>
              </w:rPr>
            </w:pPr>
            <w:r>
              <w:rPr>
                <w:rFonts w:ascii="Arial" w:cs="Arial" w:eastAsia="Arial" w:hAnsi="Arial"/>
                <w:sz w:val="18"/>
                <w:szCs w:val="18"/>
                <w:color w:val="auto"/>
                <w:w w:val="91"/>
              </w:rPr>
              <w:t>Form of Prospectus Supplement For Common Stock Offerings (Incorporated by reference to Exhibit 99(S)(1) to the Registrant’s Registration</w:t>
            </w:r>
          </w:p>
        </w:tc>
      </w:tr>
      <w:tr>
        <w:trPr>
          <w:trHeight w:val="222"/>
        </w:trPr>
        <w:tc>
          <w:tcPr>
            <w:tcW w:w="720" w:type="dxa"/>
            <w:vAlign w:val="bottom"/>
          </w:tcPr>
          <w:p>
            <w:pPr>
              <w:spacing w:after="0"/>
              <w:rPr>
                <w:sz w:val="19"/>
                <w:szCs w:val="19"/>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Statement on Form N-2 (File No. 333-180084), filed on March 14, 2012).</w:t>
            </w:r>
          </w:p>
        </w:tc>
      </w:tr>
      <w:tr>
        <w:trPr>
          <w:trHeight w:val="385"/>
        </w:trPr>
        <w:tc>
          <w:tcPr>
            <w:tcW w:w="720" w:type="dxa"/>
            <w:vAlign w:val="bottom"/>
          </w:tcPr>
          <w:p>
            <w:pPr>
              <w:jc w:val="center"/>
              <w:ind w:right="132"/>
              <w:spacing w:after="0"/>
              <w:rPr>
                <w:sz w:val="20"/>
                <w:szCs w:val="20"/>
                <w:color w:val="auto"/>
              </w:rPr>
            </w:pPr>
            <w:r>
              <w:rPr>
                <w:rFonts w:ascii="Arial" w:cs="Arial" w:eastAsia="Arial" w:hAnsi="Arial"/>
                <w:sz w:val="18"/>
                <w:szCs w:val="18"/>
                <w:color w:val="auto"/>
                <w:w w:val="88"/>
              </w:rPr>
              <w:t>(s)(2)</w:t>
            </w:r>
          </w:p>
        </w:tc>
        <w:tc>
          <w:tcPr>
            <w:tcW w:w="10440" w:type="dxa"/>
            <w:vAlign w:val="bottom"/>
          </w:tcPr>
          <w:p>
            <w:pPr>
              <w:ind w:left="200"/>
              <w:spacing w:after="0"/>
              <w:rPr>
                <w:sz w:val="20"/>
                <w:szCs w:val="20"/>
                <w:color w:val="auto"/>
              </w:rPr>
            </w:pPr>
            <w:r>
              <w:rPr>
                <w:rFonts w:ascii="Arial" w:cs="Arial" w:eastAsia="Arial" w:hAnsi="Arial"/>
                <w:sz w:val="18"/>
                <w:szCs w:val="18"/>
                <w:color w:val="auto"/>
                <w:w w:val="91"/>
              </w:rPr>
              <w:t>Form of Prospectus Supplement For Preferred Stock Offerings (Incorporated by reference to Exhibit 99(S)(2) to the Registrant’s Registration</w:t>
            </w:r>
          </w:p>
        </w:tc>
      </w:tr>
      <w:tr>
        <w:trPr>
          <w:trHeight w:val="222"/>
        </w:trPr>
        <w:tc>
          <w:tcPr>
            <w:tcW w:w="720" w:type="dxa"/>
            <w:vAlign w:val="bottom"/>
          </w:tcPr>
          <w:p>
            <w:pPr>
              <w:spacing w:after="0"/>
              <w:rPr>
                <w:sz w:val="19"/>
                <w:szCs w:val="19"/>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Statement on Form N-2 (File No. 333-180084), filed on March 14, 2012).</w:t>
            </w:r>
          </w:p>
        </w:tc>
      </w:tr>
      <w:tr>
        <w:trPr>
          <w:trHeight w:val="385"/>
        </w:trPr>
        <w:tc>
          <w:tcPr>
            <w:tcW w:w="720" w:type="dxa"/>
            <w:vAlign w:val="bottom"/>
          </w:tcPr>
          <w:p>
            <w:pPr>
              <w:jc w:val="center"/>
              <w:ind w:right="132"/>
              <w:spacing w:after="0"/>
              <w:rPr>
                <w:sz w:val="20"/>
                <w:szCs w:val="20"/>
                <w:color w:val="auto"/>
              </w:rPr>
            </w:pPr>
            <w:r>
              <w:rPr>
                <w:rFonts w:ascii="Arial" w:cs="Arial" w:eastAsia="Arial" w:hAnsi="Arial"/>
                <w:sz w:val="18"/>
                <w:szCs w:val="18"/>
                <w:color w:val="auto"/>
                <w:w w:val="88"/>
              </w:rPr>
              <w:t>(s)(3)</w:t>
            </w:r>
          </w:p>
        </w:tc>
        <w:tc>
          <w:tcPr>
            <w:tcW w:w="10440" w:type="dxa"/>
            <w:vAlign w:val="bottom"/>
          </w:tcPr>
          <w:p>
            <w:pPr>
              <w:ind w:left="200"/>
              <w:spacing w:after="0"/>
              <w:rPr>
                <w:sz w:val="20"/>
                <w:szCs w:val="20"/>
                <w:color w:val="auto"/>
              </w:rPr>
            </w:pPr>
            <w:r>
              <w:rPr>
                <w:rFonts w:ascii="Arial" w:cs="Arial" w:eastAsia="Arial" w:hAnsi="Arial"/>
                <w:sz w:val="18"/>
                <w:szCs w:val="18"/>
                <w:color w:val="auto"/>
                <w:w w:val="89"/>
              </w:rPr>
              <w:t>Form of Prospectus Supplement For Debt Offerings (Incorporated by reference to Exhibit 99(S)(3) to the Registrant’s Registration Statement on</w:t>
            </w:r>
          </w:p>
        </w:tc>
      </w:tr>
      <w:tr>
        <w:trPr>
          <w:trHeight w:val="222"/>
        </w:trPr>
        <w:tc>
          <w:tcPr>
            <w:tcW w:w="720" w:type="dxa"/>
            <w:vAlign w:val="bottom"/>
          </w:tcPr>
          <w:p>
            <w:pPr>
              <w:spacing w:after="0"/>
              <w:rPr>
                <w:sz w:val="19"/>
                <w:szCs w:val="19"/>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Form N-2 (File No. 333-180084), filed on March 14, 2012).</w:t>
            </w:r>
          </w:p>
        </w:tc>
      </w:tr>
      <w:tr>
        <w:trPr>
          <w:trHeight w:val="385"/>
        </w:trPr>
        <w:tc>
          <w:tcPr>
            <w:tcW w:w="720" w:type="dxa"/>
            <w:vAlign w:val="bottom"/>
          </w:tcPr>
          <w:p>
            <w:pPr>
              <w:jc w:val="center"/>
              <w:ind w:right="132"/>
              <w:spacing w:after="0"/>
              <w:rPr>
                <w:sz w:val="20"/>
                <w:szCs w:val="20"/>
                <w:color w:val="auto"/>
              </w:rPr>
            </w:pPr>
            <w:r>
              <w:rPr>
                <w:rFonts w:ascii="Arial" w:cs="Arial" w:eastAsia="Arial" w:hAnsi="Arial"/>
                <w:sz w:val="18"/>
                <w:szCs w:val="18"/>
                <w:color w:val="auto"/>
                <w:w w:val="88"/>
              </w:rPr>
              <w:t>(s)(4)</w:t>
            </w:r>
          </w:p>
        </w:tc>
        <w:tc>
          <w:tcPr>
            <w:tcW w:w="10440" w:type="dxa"/>
            <w:vAlign w:val="bottom"/>
          </w:tcPr>
          <w:p>
            <w:pPr>
              <w:ind w:left="200"/>
              <w:spacing w:after="0"/>
              <w:rPr>
                <w:sz w:val="20"/>
                <w:szCs w:val="20"/>
                <w:color w:val="auto"/>
              </w:rPr>
            </w:pPr>
            <w:r>
              <w:rPr>
                <w:rFonts w:ascii="Arial" w:cs="Arial" w:eastAsia="Arial" w:hAnsi="Arial"/>
                <w:sz w:val="18"/>
                <w:szCs w:val="18"/>
                <w:color w:val="auto"/>
                <w:w w:val="88"/>
              </w:rPr>
              <w:t>Form of Prospectus Supplement For Rights Offerings (Incorporated by reference to Exhibit 99(S)(4) to the Registrant’s Registration Statement on</w:t>
            </w:r>
          </w:p>
        </w:tc>
      </w:tr>
      <w:tr>
        <w:trPr>
          <w:trHeight w:val="222"/>
        </w:trPr>
        <w:tc>
          <w:tcPr>
            <w:tcW w:w="720" w:type="dxa"/>
            <w:vAlign w:val="bottom"/>
          </w:tcPr>
          <w:p>
            <w:pPr>
              <w:spacing w:after="0"/>
              <w:rPr>
                <w:sz w:val="19"/>
                <w:szCs w:val="19"/>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Form N-2 (File No. 333-180084), filed on March 14, 2012).</w:t>
            </w:r>
          </w:p>
        </w:tc>
      </w:tr>
      <w:tr>
        <w:trPr>
          <w:trHeight w:val="385"/>
        </w:trPr>
        <w:tc>
          <w:tcPr>
            <w:tcW w:w="720" w:type="dxa"/>
            <w:vAlign w:val="bottom"/>
          </w:tcPr>
          <w:p>
            <w:pPr>
              <w:jc w:val="center"/>
              <w:ind w:right="132"/>
              <w:spacing w:after="0"/>
              <w:rPr>
                <w:sz w:val="20"/>
                <w:szCs w:val="20"/>
                <w:color w:val="auto"/>
              </w:rPr>
            </w:pPr>
            <w:r>
              <w:rPr>
                <w:rFonts w:ascii="Arial" w:cs="Arial" w:eastAsia="Arial" w:hAnsi="Arial"/>
                <w:sz w:val="18"/>
                <w:szCs w:val="18"/>
                <w:color w:val="auto"/>
                <w:w w:val="88"/>
              </w:rPr>
              <w:t>(s)(5)</w:t>
            </w:r>
          </w:p>
        </w:tc>
        <w:tc>
          <w:tcPr>
            <w:tcW w:w="10440" w:type="dxa"/>
            <w:vAlign w:val="bottom"/>
          </w:tcPr>
          <w:p>
            <w:pPr>
              <w:ind w:left="200"/>
              <w:spacing w:after="0"/>
              <w:rPr>
                <w:sz w:val="20"/>
                <w:szCs w:val="20"/>
                <w:color w:val="auto"/>
              </w:rPr>
            </w:pPr>
            <w:r>
              <w:rPr>
                <w:rFonts w:ascii="Arial" w:cs="Arial" w:eastAsia="Arial" w:hAnsi="Arial"/>
                <w:sz w:val="18"/>
                <w:szCs w:val="18"/>
                <w:color w:val="auto"/>
                <w:w w:val="89"/>
              </w:rPr>
              <w:t>Form of Prospectus Supplement For Warrant Offerings (Incorporated by reference to Exhibit 99(S)(5) to the Registrant’s Registration Statement</w:t>
            </w:r>
          </w:p>
        </w:tc>
      </w:tr>
      <w:tr>
        <w:trPr>
          <w:trHeight w:val="222"/>
        </w:trPr>
        <w:tc>
          <w:tcPr>
            <w:tcW w:w="720" w:type="dxa"/>
            <w:vAlign w:val="bottom"/>
          </w:tcPr>
          <w:p>
            <w:pPr>
              <w:spacing w:after="0"/>
              <w:rPr>
                <w:sz w:val="19"/>
                <w:szCs w:val="19"/>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on Form N-2 (File No. 333-180084), filed on March 14, 2012).</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77"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57,950*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NASDAQ listing fee</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65,000**</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75,500*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Printing (other than certificates)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30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37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30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8"/>
        </w:trPr>
        <w:tc>
          <w:tcPr>
            <w:tcW w:w="3020" w:type="dxa"/>
            <w:vAlign w:val="bottom"/>
          </w:tcPr>
          <w:p>
            <w:pPr>
              <w:spacing w:after="0"/>
              <w:rPr>
                <w:sz w:val="24"/>
                <w:szCs w:val="24"/>
                <w:color w:val="auto"/>
              </w:rPr>
            </w:pPr>
          </w:p>
        </w:tc>
        <w:tc>
          <w:tcPr>
            <w:tcW w:w="3920" w:type="dxa"/>
            <w:vAlign w:val="bottom"/>
            <w:gridSpan w:val="2"/>
          </w:tcPr>
          <w:p>
            <w:pPr>
              <w:jc w:val="right"/>
              <w:ind w:right="2852"/>
              <w:spacing w:after="0"/>
              <w:rPr>
                <w:sz w:val="20"/>
                <w:szCs w:val="20"/>
                <w:color w:val="auto"/>
              </w:rPr>
            </w:pPr>
            <w:r>
              <w:rPr>
                <w:rFonts w:ascii="Arial" w:cs="Arial" w:eastAsia="Arial" w:hAnsi="Arial"/>
                <w:sz w:val="18"/>
                <w:szCs w:val="18"/>
                <w:color w:val="auto"/>
              </w:rPr>
              <w:t>C-3</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212" w:lineRule="exact"/>
        <w:rPr>
          <w:sz w:val="20"/>
          <w:szCs w:val="20"/>
          <w:color w:val="auto"/>
        </w:rPr>
      </w:pPr>
    </w:p>
    <w:p>
      <w:pPr>
        <w:ind w:left="580" w:hanging="572"/>
        <w:spacing w:after="0"/>
        <w:tabs>
          <w:tab w:leader="none" w:pos="58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This amount has been offset against a filing fee associated with unsold securities registered under a previous registration statement.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5"/>
          <w:szCs w:val="15"/>
          <w:color w:val="auto"/>
        </w:rPr>
        <w:t>This amount is estimated.</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    To be provided by amendment.</w:t>
      </w:r>
    </w:p>
    <w:p>
      <w:pPr>
        <w:spacing w:after="0" w:line="1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the registrant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lists sets forth each of the companies considered to be controlled by us as defined by the 1940 Act.</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80" w:type="dxa"/>
            <w:vAlign w:val="bottom"/>
            <w:gridSpan w:val="2"/>
          </w:tcPr>
          <w:p>
            <w:pPr>
              <w:ind w:left="220"/>
              <w:spacing w:after="0"/>
              <w:rPr>
                <w:sz w:val="20"/>
                <w:szCs w:val="20"/>
                <w:color w:val="auto"/>
              </w:rPr>
            </w:pPr>
            <w:r>
              <w:rPr>
                <w:rFonts w:ascii="Arial" w:cs="Arial" w:eastAsia="Arial" w:hAnsi="Arial"/>
                <w:sz w:val="14"/>
                <w:szCs w:val="14"/>
                <w:b w:val="1"/>
                <w:bCs w:val="1"/>
                <w:color w:val="auto"/>
              </w:rPr>
              <w:t>Voting Securities</w:t>
            </w:r>
          </w:p>
        </w:tc>
        <w:tc>
          <w:tcPr>
            <w:tcW w:w="0" w:type="dxa"/>
            <w:vAlign w:val="bottom"/>
          </w:tcPr>
          <w:p>
            <w:pPr>
              <w:spacing w:after="0"/>
              <w:rPr>
                <w:sz w:val="1"/>
                <w:szCs w:val="1"/>
                <w:color w:val="auto"/>
              </w:rPr>
            </w:pPr>
          </w:p>
        </w:tc>
      </w:tr>
      <w:tr>
        <w:trPr>
          <w:trHeight w:val="174"/>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1760" w:type="dxa"/>
            <w:vAlign w:val="bottom"/>
            <w:vMerge w:val="restart"/>
          </w:tcPr>
          <w:p>
            <w:pPr>
              <w:spacing w:after="0"/>
              <w:rPr>
                <w:sz w:val="15"/>
                <w:szCs w:val="15"/>
                <w:color w:val="auto"/>
              </w:rPr>
            </w:pPr>
          </w:p>
        </w:tc>
        <w:tc>
          <w:tcPr>
            <w:tcW w:w="1880" w:type="dxa"/>
            <w:vAlign w:val="bottom"/>
            <w:gridSpan w:val="2"/>
          </w:tcPr>
          <w:p>
            <w:pPr>
              <w:ind w:left="260"/>
              <w:spacing w:after="0"/>
              <w:rPr>
                <w:sz w:val="20"/>
                <w:szCs w:val="20"/>
                <w:color w:val="auto"/>
              </w:rPr>
            </w:pPr>
            <w:r>
              <w:rPr>
                <w:rFonts w:ascii="Arial" w:cs="Arial" w:eastAsia="Arial" w:hAnsi="Arial"/>
                <w:sz w:val="14"/>
                <w:szCs w:val="14"/>
                <w:b w:val="1"/>
                <w:bCs w:val="1"/>
                <w:color w:val="auto"/>
              </w:rPr>
              <w:t>Owned Percentage</w:t>
            </w:r>
          </w:p>
        </w:tc>
        <w:tc>
          <w:tcPr>
            <w:tcW w:w="0" w:type="dxa"/>
            <w:vAlign w:val="bottom"/>
          </w:tcPr>
          <w:p>
            <w:pPr>
              <w:spacing w:after="0"/>
              <w:rPr>
                <w:sz w:val="1"/>
                <w:szCs w:val="1"/>
                <w:color w:val="auto"/>
              </w:rPr>
            </w:pPr>
          </w:p>
        </w:tc>
      </w:tr>
      <w:tr>
        <w:trPr>
          <w:trHeight w:val="135"/>
        </w:trPr>
        <w:tc>
          <w:tcPr>
            <w:tcW w:w="4120" w:type="dxa"/>
            <w:vAlign w:val="bottom"/>
            <w:tcBorders>
              <w:bottom w:val="single" w:sz="8" w:color="auto"/>
            </w:tcBorders>
            <w:vMerge w:val="continue"/>
          </w:tcPr>
          <w:p>
            <w:pPr>
              <w:spacing w:after="0"/>
              <w:rPr>
                <w:sz w:val="11"/>
                <w:szCs w:val="11"/>
                <w:color w:val="auto"/>
              </w:rPr>
            </w:pPr>
          </w:p>
        </w:tc>
        <w:tc>
          <w:tcPr>
            <w:tcW w:w="1760" w:type="dxa"/>
            <w:vAlign w:val="bottom"/>
            <w:tcBorders>
              <w:bottom w:val="single" w:sz="8" w:color="CCEEFF"/>
            </w:tcBorders>
            <w:vMerge w:val="continue"/>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4"/>
              </w:rPr>
              <w:t>PennantPark Floating Rate Funding I, LLC (Delaware)</w:t>
            </w:r>
          </w:p>
        </w:tc>
        <w:tc>
          <w:tcPr>
            <w:tcW w:w="1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PFLT Funding II, LLC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PFLT Investment Holdings, LLC (Delaware)</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GMC Television Broadcasting Holdings, Inc.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w w:val="95"/>
              </w:rPr>
              <w:t>100% (1)</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 Television Broadcasting, LLC (Delaware)</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5"/>
              </w:rPr>
              <w:t>100% (1)</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Solutions Capital G.P., LLC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Solutions Capital I, L.P. (Delaware)</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0326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20" w:lineRule="exact"/>
        <w:rPr>
          <w:sz w:val="20"/>
          <w:szCs w:val="20"/>
          <w:color w:val="auto"/>
        </w:rPr>
      </w:pPr>
    </w:p>
    <w:p>
      <w:pPr>
        <w:ind w:left="5580" w:right="3859" w:hanging="5572"/>
        <w:spacing w:after="0" w:line="525" w:lineRule="auto"/>
        <w:tabs>
          <w:tab w:leader="none" w:pos="34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entity is directly owned by PFLT Funding II, LLC, which is wholly owned by us. C-4</w:t>
      </w:r>
    </w:p>
    <w:p>
      <w:pPr>
        <w:sectPr>
          <w:pgSz w:w="11900" w:h="16838" w:orient="portrait"/>
          <w:cols w:equalWidth="0" w:num="1">
            <w:col w:w="10219"/>
          </w:cols>
          <w:pgMar w:left="240" w:top="460" w:right="1440"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7980" w:type="dxa"/>
            <w:vAlign w:val="bottom"/>
            <w:gridSpan w:val="2"/>
          </w:tcPr>
          <w:p>
            <w:pPr>
              <w:ind w:left="760"/>
              <w:spacing w:after="0"/>
              <w:rPr>
                <w:sz w:val="20"/>
                <w:szCs w:val="20"/>
                <w:color w:val="auto"/>
              </w:rPr>
            </w:pPr>
            <w:r>
              <w:rPr>
                <w:rFonts w:ascii="Arial" w:cs="Arial" w:eastAsia="Arial" w:hAnsi="Arial"/>
                <w:sz w:val="18"/>
                <w:szCs w:val="18"/>
                <w:b w:val="1"/>
                <w:bCs w:val="1"/>
                <w:color w:val="auto"/>
              </w:rPr>
              <w:t>Number of holders of shares</w:t>
            </w:r>
          </w:p>
        </w:tc>
        <w:tc>
          <w:tcPr>
            <w:tcW w:w="1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700" w:type="dxa"/>
            <w:vAlign w:val="bottom"/>
            <w:gridSpan w:val="3"/>
          </w:tcPr>
          <w:p>
            <w:pPr>
              <w:ind w:left="580"/>
              <w:spacing w:after="0"/>
              <w:rPr>
                <w:sz w:val="20"/>
                <w:szCs w:val="20"/>
                <w:color w:val="auto"/>
              </w:rPr>
            </w:pPr>
            <w:r>
              <w:rPr>
                <w:rFonts w:ascii="Arial" w:cs="Arial" w:eastAsia="Arial" w:hAnsi="Arial"/>
                <w:sz w:val="18"/>
                <w:szCs w:val="18"/>
                <w:color w:val="auto"/>
              </w:rPr>
              <w:t>As of September 30, 2016</w:t>
            </w: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20" w:type="dxa"/>
            <w:vAlign w:val="bottom"/>
          </w:tcPr>
          <w:p>
            <w:pPr>
              <w:spacing w:after="0"/>
              <w:rPr>
                <w:sz w:val="24"/>
                <w:szCs w:val="24"/>
                <w:color w:val="auto"/>
              </w:rPr>
            </w:pPr>
          </w:p>
        </w:tc>
        <w:tc>
          <w:tcPr>
            <w:tcW w:w="7980" w:type="dxa"/>
            <w:vAlign w:val="bottom"/>
            <w:gridSpan w:val="2"/>
            <w:vMerge w:val="restart"/>
          </w:tcPr>
          <w:p>
            <w:pPr>
              <w:jc w:val="center"/>
              <w:ind w:right="5380"/>
              <w:spacing w:after="0"/>
              <w:rPr>
                <w:sz w:val="20"/>
                <w:szCs w:val="20"/>
                <w:color w:val="auto"/>
              </w:rPr>
            </w:pPr>
            <w:r>
              <w:rPr>
                <w:rFonts w:ascii="Arial" w:cs="Arial" w:eastAsia="Arial" w:hAnsi="Arial"/>
                <w:sz w:val="14"/>
                <w:szCs w:val="14"/>
                <w:b w:val="1"/>
                <w:bCs w:val="1"/>
                <w:color w:val="auto"/>
                <w:w w:val="87"/>
              </w:rPr>
              <w:t>Title of Class</w:t>
            </w:r>
          </w:p>
        </w:tc>
        <w:tc>
          <w:tcPr>
            <w:tcW w:w="1820" w:type="dxa"/>
            <w:vAlign w:val="bottom"/>
            <w:gridSpan w:val="2"/>
          </w:tcPr>
          <w:p>
            <w:pPr>
              <w:ind w:left="260"/>
              <w:spacing w:after="0"/>
              <w:rPr>
                <w:sz w:val="20"/>
                <w:szCs w:val="20"/>
                <w:color w:val="auto"/>
              </w:rPr>
            </w:pPr>
            <w:r>
              <w:rPr>
                <w:rFonts w:ascii="Arial" w:cs="Arial" w:eastAsia="Arial" w:hAnsi="Arial"/>
                <w:sz w:val="14"/>
                <w:szCs w:val="14"/>
                <w:b w:val="1"/>
                <w:bCs w:val="1"/>
                <w:color w:val="auto"/>
                <w:w w:val="86"/>
              </w:rPr>
              <w:t>Number of Record Holders</w:t>
            </w: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7980" w:type="dxa"/>
            <w:vAlign w:val="bottom"/>
            <w:gridSpan w:val="2"/>
            <w:vMerge w:val="continue"/>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2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jc w:val="center"/>
              <w:ind w:right="619"/>
              <w:spacing w:after="0"/>
              <w:rPr>
                <w:sz w:val="20"/>
                <w:szCs w:val="20"/>
                <w:color w:val="auto"/>
              </w:rPr>
            </w:pPr>
            <w:r>
              <w:rPr>
                <w:rFonts w:ascii="Arial" w:cs="Arial" w:eastAsia="Arial" w:hAnsi="Arial"/>
                <w:sz w:val="18"/>
                <w:szCs w:val="18"/>
                <w:color w:val="auto"/>
                <w:w w:val="88"/>
              </w:rPr>
              <w:t>Common Stock, $0.001 par value</w:t>
            </w:r>
          </w:p>
        </w:tc>
        <w:tc>
          <w:tcPr>
            <w:tcW w:w="4680" w:type="dxa"/>
            <w:vAlign w:val="bottom"/>
          </w:tcPr>
          <w:p>
            <w:pPr>
              <w:spacing w:after="0"/>
              <w:rPr>
                <w:sz w:val="18"/>
                <w:szCs w:val="18"/>
                <w:color w:val="auto"/>
              </w:rPr>
            </w:pPr>
          </w:p>
        </w:tc>
        <w:tc>
          <w:tcPr>
            <w:tcW w:w="1280" w:type="dxa"/>
            <w:vAlign w:val="bottom"/>
          </w:tcPr>
          <w:p>
            <w:pPr>
              <w:jc w:val="right"/>
              <w:ind w:right="482"/>
              <w:spacing w:after="0" w:line="202" w:lineRule="exact"/>
              <w:rPr>
                <w:sz w:val="20"/>
                <w:szCs w:val="20"/>
                <w:color w:val="auto"/>
              </w:rPr>
            </w:pPr>
            <w:r>
              <w:rPr>
                <w:rFonts w:ascii="Arial" w:cs="Arial" w:eastAsia="Arial" w:hAnsi="Arial"/>
                <w:sz w:val="18"/>
                <w:szCs w:val="18"/>
                <w:color w:val="auto"/>
              </w:rPr>
              <w:t>43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520"/>
          </w:cols>
          <w:pgMar w:left="240" w:top="460" w:right="11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00"/>
          </w:cols>
          <w:pgMar w:left="240" w:top="460" w:right="3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77"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Investment Adviser and its officers and directors is set forth in its Form ADV, as filed with the SEC (SEC File No. 801-67622), and is incorporated herein by reference.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360"/>
          </w:cols>
          <w:pgMar w:left="240" w:top="459" w:right="2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32" w:lineRule="exact"/>
        <w:rPr>
          <w:sz w:val="20"/>
          <w:szCs w:val="20"/>
          <w:color w:val="auto"/>
        </w:rPr>
      </w:pPr>
    </w:p>
    <w:p>
      <w:pPr>
        <w:ind w:left="820" w:hanging="241"/>
        <w:spacing w:after="0"/>
        <w:tabs>
          <w:tab w:leader="none" w:pos="8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 PennantPark Floating Rate Capital Ltd., 590 Madison Avenue, 15th Floor, New York, NY 10022;</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w:t>
      </w:r>
      <w:r>
        <w:rPr>
          <w:rFonts w:ascii="Arial" w:cs="Arial" w:eastAsia="Arial" w:hAnsi="Arial"/>
          <w:sz w:val="11"/>
          <w:szCs w:val="11"/>
          <w:color w:val="auto"/>
        </w:rPr>
        <w:t>th</w:t>
      </w:r>
      <w:r>
        <w:rPr>
          <w:rFonts w:ascii="Arial" w:cs="Arial" w:eastAsia="Arial" w:hAnsi="Arial"/>
          <w:sz w:val="18"/>
          <w:szCs w:val="18"/>
          <w:color w:val="auto"/>
        </w:rPr>
        <w:t xml:space="preserve"> Avenue, 3rd floor, Brooklyn, NY 11219;</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Custodian, The Bank of New York Mellon, 225 Liberty Street, New York, NY 10286; and</w:t>
      </w:r>
    </w:p>
    <w:p>
      <w:pPr>
        <w:spacing w:after="0" w:line="171" w:lineRule="exact"/>
        <w:rPr>
          <w:rFonts w:ascii="Arial" w:cs="Arial" w:eastAsia="Arial" w:hAnsi="Arial"/>
          <w:sz w:val="18"/>
          <w:szCs w:val="18"/>
          <w:color w:val="auto"/>
        </w:rPr>
      </w:pPr>
    </w:p>
    <w:p>
      <w:pPr>
        <w:ind w:left="5580" w:right="1540" w:hanging="5001"/>
        <w:spacing w:after="0" w:line="440" w:lineRule="auto"/>
        <w:tabs>
          <w:tab w:leader="none" w:pos="82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Investment Adviser, PennantPark Investment Advisers, LLC, 590 Madison Avenue, 15th Floor, New York, NY 10022. C-8</w:t>
      </w:r>
    </w:p>
    <w:p>
      <w:pPr>
        <w:sectPr>
          <w:pgSz w:w="11900" w:h="16838" w:orient="portrait"/>
          <w:cols w:equalWidth="0" w:num="1">
            <w:col w:w="10960"/>
          </w:cols>
          <w:pgMar w:left="240" w:top="460" w:right="6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219"/>
          </w:cols>
          <w:pgMar w:left="240" w:top="460" w:right="1440"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left="580" w:right="200" w:hanging="1"/>
        <w:spacing w:after="0" w:line="259" w:lineRule="auto"/>
        <w:tabs>
          <w:tab w:leader="none" w:pos="82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suspend the offering of shares until it amends its prospectus if (1) subsequent to the effective date of its registration statement, the net asset value declines more than 10 percent from its net asset value as of the effective date of the registrations statement or (2) the net asset value increases to an amount greater than its net proceeds as stated in the prospectus;</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580" w:hanging="1"/>
        <w:spacing w:after="0" w:line="318" w:lineRule="auto"/>
        <w:tabs>
          <w:tab w:leader="none" w:pos="829" w:val="left"/>
        </w:tabs>
        <w:numPr>
          <w:ilvl w:val="0"/>
          <w:numId w:val="103"/>
        </w:numPr>
        <w:rPr>
          <w:rFonts w:ascii="Arial" w:cs="Arial" w:eastAsia="Arial" w:hAnsi="Arial"/>
          <w:sz w:val="15"/>
          <w:szCs w:val="15"/>
          <w:color w:val="auto"/>
        </w:rPr>
      </w:pPr>
      <w:r>
        <w:rPr>
          <w:rFonts w:ascii="Arial" w:cs="Arial" w:eastAsia="Arial" w:hAnsi="Arial"/>
          <w:sz w:val="15"/>
          <w:szCs w:val="15"/>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900" w:hanging="207"/>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700" w:right="360" w:hanging="7"/>
        <w:spacing w:after="0" w:line="357" w:lineRule="auto"/>
        <w:tabs>
          <w:tab w:leader="none" w:pos="958"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ind w:left="700" w:right="320" w:hanging="7"/>
        <w:spacing w:after="0" w:line="268" w:lineRule="auto"/>
        <w:tabs>
          <w:tab w:leader="none" w:pos="100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left="700" w:right="320" w:hanging="7"/>
        <w:spacing w:after="0" w:line="268" w:lineRule="auto"/>
        <w:tabs>
          <w:tab w:leader="none" w:pos="94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0" w:lineRule="exact"/>
        <w:rPr>
          <w:rFonts w:ascii="Arial" w:cs="Arial" w:eastAsia="Arial" w:hAnsi="Arial"/>
          <w:sz w:val="18"/>
          <w:szCs w:val="18"/>
          <w:color w:val="auto"/>
        </w:rPr>
      </w:pPr>
    </w:p>
    <w:p>
      <w:pPr>
        <w:ind w:left="700" w:right="80" w:hanging="7"/>
        <w:spacing w:after="0" w:line="259" w:lineRule="auto"/>
        <w:tabs>
          <w:tab w:leader="none" w:pos="93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700" w:hanging="7"/>
        <w:spacing w:after="0" w:line="268" w:lineRule="auto"/>
        <w:tabs>
          <w:tab w:leader="none" w:pos="94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40" w:hanging="7"/>
        <w:spacing w:after="0" w:line="253" w:lineRule="auto"/>
        <w:tabs>
          <w:tab w:leader="none" w:pos="93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64" w:lineRule="exact"/>
        <w:rPr>
          <w:rFonts w:ascii="Arial" w:cs="Arial" w:eastAsia="Arial" w:hAnsi="Arial"/>
          <w:sz w:val="18"/>
          <w:szCs w:val="18"/>
          <w:color w:val="auto"/>
        </w:rPr>
      </w:pPr>
    </w:p>
    <w:p>
      <w:pPr>
        <w:ind w:left="700" w:hanging="7"/>
        <w:spacing w:after="0" w:line="255" w:lineRule="auto"/>
        <w:tabs>
          <w:tab w:leader="none" w:pos="91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62" w:lineRule="exact"/>
        <w:rPr>
          <w:sz w:val="20"/>
          <w:szCs w:val="20"/>
          <w:color w:val="auto"/>
        </w:rPr>
      </w:pPr>
    </w:p>
    <w:p>
      <w:pPr>
        <w:ind w:left="700" w:right="280" w:hanging="7"/>
        <w:spacing w:after="0" w:line="268" w:lineRule="auto"/>
        <w:tabs>
          <w:tab w:leader="none" w:pos="91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700" w:right="340" w:hanging="7"/>
        <w:spacing w:after="0" w:line="268" w:lineRule="auto"/>
        <w:tabs>
          <w:tab w:leader="none" w:pos="95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000" w:hanging="307"/>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sz w:val="20"/>
          <w:szCs w:val="20"/>
          <w:color w:val="auto"/>
        </w:rPr>
      </w:pPr>
    </w:p>
    <w:p>
      <w:pPr>
        <w:ind w:left="700" w:right="20" w:hanging="7"/>
        <w:spacing w:after="0" w:line="291" w:lineRule="auto"/>
        <w:tabs>
          <w:tab w:leader="none" w:pos="94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20" w:lineRule="exact"/>
        <w:rPr>
          <w:sz w:val="20"/>
          <w:szCs w:val="20"/>
          <w:color w:val="auto"/>
        </w:rPr>
      </w:pPr>
    </w:p>
    <w:p>
      <w:pPr>
        <w:ind w:left="580" w:right="20"/>
        <w:spacing w:after="0" w:line="306" w:lineRule="auto"/>
        <w:rPr>
          <w:sz w:val="20"/>
          <w:szCs w:val="20"/>
          <w:color w:val="auto"/>
        </w:rPr>
      </w:pPr>
      <w:r>
        <w:rPr>
          <w:rFonts w:ascii="Arial" w:cs="Arial" w:eastAsia="Arial" w:hAnsi="Arial"/>
          <w:sz w:val="16"/>
          <w:szCs w:val="16"/>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26" w:lineRule="exact"/>
        <w:rPr>
          <w:sz w:val="20"/>
          <w:szCs w:val="20"/>
          <w:color w:val="auto"/>
        </w:rPr>
      </w:pPr>
    </w:p>
    <w:p>
      <w:pPr>
        <w:ind w:left="700" w:right="20" w:hanging="7"/>
        <w:spacing w:after="0" w:line="259" w:lineRule="auto"/>
        <w:tabs>
          <w:tab w:leader="none" w:pos="94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580" w:right="220" w:hanging="1"/>
        <w:spacing w:after="0" w:line="259" w:lineRule="auto"/>
        <w:tabs>
          <w:tab w:leader="none" w:pos="82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line="298" w:lineRule="auto"/>
        <w:rPr>
          <w:sz w:val="20"/>
          <w:szCs w:val="20"/>
          <w:color w:val="auto"/>
        </w:rPr>
      </w:pPr>
      <w:r>
        <w:rPr>
          <w:rFonts w:ascii="Arial" w:cs="Arial" w:eastAsia="Arial" w:hAnsi="Arial"/>
          <w:sz w:val="16"/>
          <w:szCs w:val="16"/>
          <w:color w:val="auto"/>
        </w:rPr>
        <w:t>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360"/>
          </w:cols>
          <w:pgMar w:left="240" w:top="459" w:right="2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 behalf by the undersigned, thereunto duly authorized, in the City of New York, and State of New York, on the 15th day of December 2016.</w:t>
      </w:r>
    </w:p>
    <w:p>
      <w:pPr>
        <w:spacing w:after="0" w:line="120"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By:</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Arthur H. Penn</w:t>
            </w:r>
          </w:p>
        </w:tc>
      </w:tr>
      <w:tr>
        <w:trPr>
          <w:trHeight w:val="224"/>
        </w:trPr>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Name: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r>
      <w:tr>
        <w:trPr>
          <w:trHeight w:val="284"/>
        </w:trPr>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 and Chairman of the</w:t>
            </w:r>
          </w:p>
        </w:tc>
      </w:tr>
      <w:tr>
        <w:trPr>
          <w:trHeight w:val="228"/>
        </w:trPr>
        <w:tc>
          <w:tcPr>
            <w:tcW w:w="60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8"/>
              </w:rPr>
              <w:t>Board</w:t>
            </w:r>
          </w:p>
        </w:tc>
      </w:tr>
    </w:tbl>
    <w:p>
      <w:pPr>
        <w:spacing w:after="0" w:line="16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MEN BY THESE PRESENT, each person whose signature appears below hereby constitutes and appoints Aviv Efrat his true and lawful attorney-in-fact and agent, with full power of substitution and resubstitution, for him and in his name, place and stead, in any and all capacities, to sign any and all amendments to this Registration Statement on Form N-2 and any registration statement filed pursuant to Rule 462(b) under the Securities Act, and to file the same, with the Securities and Exchange Commission, granting unto said attorney-in-fact and agent full power and authority to do and perform each and every act and thing requisite and necessary to be done in and about the premises, as fully and to all intents and purposes as he or she might or could do in person, hereby ratifying and confirming all that said attorney-in-fact and agent, or his substitutes, may lawfully do or cause to be done by virtue hereof.</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set forth below on the 15th day of December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740" w:type="dxa"/>
            <w:vAlign w:val="bottom"/>
          </w:tcPr>
          <w:p>
            <w:pPr>
              <w:spacing w:after="0"/>
              <w:rPr>
                <w:sz w:val="20"/>
                <w:szCs w:val="20"/>
                <w:color w:val="auto"/>
              </w:rPr>
            </w:pPr>
          </w:p>
        </w:tc>
        <w:tc>
          <w:tcPr>
            <w:tcW w:w="5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619"/>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Arthur H. Penn</w:t>
            </w: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17"/>
        </w:trPr>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c>
          <w:tcPr>
            <w:tcW w:w="74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0"/>
              </w:rPr>
              <w:t>Chief Executive Officer and Chairman of the Board of Directors</w:t>
            </w:r>
          </w:p>
        </w:tc>
      </w:tr>
      <w:tr>
        <w:trPr>
          <w:trHeight w:val="222"/>
        </w:trPr>
        <w:tc>
          <w:tcPr>
            <w:tcW w:w="4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r>
      <w:tr>
        <w:trPr>
          <w:trHeight w:val="432"/>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Aviv Efrat</w:t>
            </w: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c>
          <w:tcPr>
            <w:tcW w:w="74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0"/>
              </w:rPr>
              <w:t>Chief Financial Officer and Treasurer (Principal Financial and Accounting Officer)</w:t>
            </w:r>
          </w:p>
        </w:tc>
      </w:tr>
      <w:tr>
        <w:trPr>
          <w:trHeight w:val="431"/>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Adam K. Bernstein</w:t>
            </w: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89"/>
              </w:rPr>
              <w:t>Adam K. Bernstein</w:t>
            </w:r>
          </w:p>
        </w:tc>
        <w:tc>
          <w:tcPr>
            <w:tcW w:w="74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31"/>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Jeffrey Flug</w:t>
            </w: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88"/>
              </w:rPr>
              <w:t>Jeffrey Flug</w:t>
            </w:r>
          </w:p>
        </w:tc>
        <w:tc>
          <w:tcPr>
            <w:tcW w:w="74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31"/>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Marshall Brozost</w:t>
            </w: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89"/>
              </w:rPr>
              <w:t>Marshall Brozost</w:t>
            </w:r>
          </w:p>
        </w:tc>
        <w:tc>
          <w:tcPr>
            <w:tcW w:w="74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31"/>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Samuel L. Katz</w:t>
            </w: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90"/>
              </w:rPr>
              <w:t>Samuel L. Katz</w:t>
            </w:r>
          </w:p>
        </w:tc>
        <w:tc>
          <w:tcPr>
            <w:tcW w:w="74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364"/>
        </w:trPr>
        <w:tc>
          <w:tcPr>
            <w:tcW w:w="4840" w:type="dxa"/>
            <w:vAlign w:val="bottom"/>
          </w:tcPr>
          <w:p>
            <w:pPr>
              <w:spacing w:after="0"/>
              <w:rPr>
                <w:sz w:val="24"/>
                <w:szCs w:val="24"/>
                <w:color w:val="auto"/>
              </w:rPr>
            </w:pPr>
          </w:p>
        </w:tc>
        <w:tc>
          <w:tcPr>
            <w:tcW w:w="6580" w:type="dxa"/>
            <w:vAlign w:val="bottom"/>
            <w:gridSpan w:val="2"/>
          </w:tcPr>
          <w:p>
            <w:pPr>
              <w:ind w:left="700"/>
              <w:spacing w:after="0"/>
              <w:rPr>
                <w:sz w:val="20"/>
                <w:szCs w:val="20"/>
                <w:color w:val="auto"/>
              </w:rPr>
            </w:pPr>
            <w:r>
              <w:rPr>
                <w:rFonts w:ascii="Arial" w:cs="Arial" w:eastAsia="Arial" w:hAnsi="Arial"/>
                <w:sz w:val="18"/>
                <w:szCs w:val="18"/>
                <w:color w:val="auto"/>
              </w:rPr>
              <w:t>C-13</w:t>
            </w:r>
          </w:p>
        </w:tc>
      </w:tr>
    </w:tbl>
    <w:p>
      <w:pPr>
        <w:sectPr>
          <w:pgSz w:w="11900" w:h="16838" w:orient="portrait"/>
          <w:cols w:equalWidth="0" w:num="1">
            <w:col w:w="11420"/>
          </w:cols>
          <w:pgMar w:left="240" w:top="460"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6089015" cy="3860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890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15,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8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N-2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registration of the offering by the Company of up to $500,000,000 aggregate initial offering price of the following securities of the Company (collectively, the “Securities”): (a) shares (the “Common Shares”) of common stock, $.001 par value per share (the “Common Stock”); (b) shares (the “Preferred Shares”) of preferred stock, $.001 par value per share (the “Preferred Stock”); (c) warrants (the “Warrants”) to purchase Common Stock, Preferred Stock or Debt Securities (as defined below); (d) subscription rights (the “Subscription Rights”) to purchase Common Stock; and (e) debt securities (the “Debt Securities”), covered by the above-referenced Registration Statement, and all amendments thereto (the “Registration Statement”), filed by the Company with the Securities and Exchange Commission (the “Commission”) under the Securities Act of 1933, as amended (the “1933 Act”), on or about the date hereof.</w:t>
      </w:r>
    </w:p>
    <w:p>
      <w:pPr>
        <w:spacing w:after="0" w:line="11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Registration Statement and the related form of prospectus included therein, in the form transmitted to the Commission for filing pursuant to the 1933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left="640" w:hanging="17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charter of the Company (the “Charter”), certified by the State Department of Assessments and Taxation of Maryland (the “SDAT”);</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Amended and Restated Bylaws of the Company (the “Bylaws”), certified as of the date hereof by an officer of the Company;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420"/>
          </w:cols>
          <w:pgMar w:left="240" w:top="125"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83640" cy="3429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1183640" cy="342900"/>
                    </a:xfrm>
                    <a:prstGeom prst="rect">
                      <a:avLst/>
                    </a:prstGeom>
                    <a:noFill/>
                  </pic:spPr>
                </pic:pic>
              </a:graphicData>
            </a:graphic>
          </wp:anchor>
        </w:drawing>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firstLine="464"/>
        <w:spacing w:after="0" w:line="268" w:lineRule="auto"/>
        <w:tabs>
          <w:tab w:leader="none" w:pos="63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(the “Board of Directors”) of the Company relating to the registration and issuance of the Securities, certified as of the date hereof by an officer of the Company;</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71" w:lineRule="exact"/>
        <w:rPr>
          <w:rFonts w:ascii="Arial" w:cs="Arial" w:eastAsia="Arial" w:hAnsi="Arial"/>
          <w:sz w:val="18"/>
          <w:szCs w:val="18"/>
          <w:color w:val="auto"/>
        </w:rPr>
      </w:pPr>
    </w:p>
    <w:p>
      <w:pPr>
        <w:ind w:right="480" w:firstLine="464"/>
        <w:spacing w:after="0" w:line="268" w:lineRule="auto"/>
        <w:tabs>
          <w:tab w:leader="none" w:pos="63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71" w:lineRule="exact"/>
        <w:rPr>
          <w:sz w:val="20"/>
          <w:szCs w:val="20"/>
          <w:color w:val="auto"/>
        </w:rPr>
      </w:pPr>
    </w:p>
    <w:p>
      <w:pPr>
        <w:ind w:left="640" w:hanging="176"/>
        <w:spacing w:after="0"/>
        <w:tabs>
          <w:tab w:leader="none" w:pos="6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any other person, is legally competent to do so.</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71" w:lineRule="exact"/>
        <w:rPr>
          <w:rFonts w:ascii="Arial" w:cs="Arial" w:eastAsia="Arial" w:hAnsi="Arial"/>
          <w:sz w:val="18"/>
          <w:szCs w:val="18"/>
          <w:color w:val="auto"/>
        </w:rPr>
      </w:pPr>
    </w:p>
    <w:p>
      <w:pPr>
        <w:ind w:right="80" w:firstLine="464"/>
        <w:spacing w:after="0" w:line="370" w:lineRule="auto"/>
        <w:tabs>
          <w:tab w:leader="none" w:pos="632" w:val="left"/>
        </w:tabs>
        <w:numPr>
          <w:ilvl w:val="0"/>
          <w:numId w:val="113"/>
        </w:numPr>
        <w:rPr>
          <w:rFonts w:ascii="Arial" w:cs="Arial" w:eastAsia="Arial" w:hAnsi="Arial"/>
          <w:sz w:val="15"/>
          <w:szCs w:val="15"/>
          <w:color w:val="auto"/>
        </w:rPr>
      </w:pPr>
      <w:r>
        <w:rPr>
          <w:rFonts w:ascii="Arial" w:cs="Arial" w:eastAsia="Arial" w:hAnsi="Arial"/>
          <w:sz w:val="15"/>
          <w:szCs w:val="15"/>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62" w:lineRule="exact"/>
        <w:rPr>
          <w:rFonts w:ascii="Arial" w:cs="Arial" w:eastAsia="Arial" w:hAnsi="Arial"/>
          <w:sz w:val="15"/>
          <w:szCs w:val="15"/>
          <w:color w:val="auto"/>
        </w:rPr>
      </w:pPr>
    </w:p>
    <w:p>
      <w:pPr>
        <w:ind w:right="180" w:firstLine="464"/>
        <w:spacing w:after="0" w:line="254" w:lineRule="auto"/>
        <w:tabs>
          <w:tab w:leader="none" w:pos="63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44" w:lineRule="exact"/>
        <w:rPr>
          <w:rFonts w:ascii="Arial" w:cs="Arial" w:eastAsia="Arial" w:hAnsi="Arial"/>
          <w:sz w:val="18"/>
          <w:szCs w:val="18"/>
          <w:color w:val="auto"/>
        </w:rPr>
      </w:pPr>
    </w:p>
    <w:p>
      <w:pPr>
        <w:ind w:right="80" w:firstLine="464"/>
        <w:spacing w:after="0" w:line="259" w:lineRule="auto"/>
        <w:tabs>
          <w:tab w:leader="none" w:pos="63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issuance of, and certain terms of, the Securities to be issued by the Company from time to time will be authorized and approved by the Board of Directors, or a duly authorized committee thereof, in accordance with the Maryland General Corporation Law, the Charter, the Bylaws and the Resolutions prior to the issuance of such Securities (such approval referred to herein as the “Corporate Proceedings”).</w:t>
      </w:r>
    </w:p>
    <w:p>
      <w:pPr>
        <w:sectPr>
          <w:pgSz w:w="11900" w:h="16838" w:orient="portrait"/>
          <w:cols w:equalWidth="0" w:num="1">
            <w:col w:w="11360"/>
          </w:cols>
          <w:pgMar w:left="240" w:top="982" w:right="29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83640" cy="3429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183640" cy="342900"/>
                    </a:xfrm>
                    <a:prstGeom prst="rect">
                      <a:avLst/>
                    </a:prstGeom>
                    <a:noFill/>
                  </pic:spPr>
                </pic:pic>
              </a:graphicData>
            </a:graphic>
          </wp:anchor>
        </w:drawing>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firstLine="464"/>
        <w:spacing w:after="0" w:line="259" w:lineRule="auto"/>
        <w:tabs>
          <w:tab w:leader="none" w:pos="63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Upon the issuance of any Securities that are Common Shares, including Common Shares that may be issued upon the conversion or exercise of any other Securities convertible into or exercisable into Common Shares, the total number of shares of Common Stock issued and outstanding will not exceed the total number of shares of Common Stock that the Company is then authorized to issue under the Charter.</w:t>
      </w:r>
    </w:p>
    <w:p>
      <w:pPr>
        <w:spacing w:after="0" w:line="140" w:lineRule="exact"/>
        <w:rPr>
          <w:rFonts w:ascii="Arial" w:cs="Arial" w:eastAsia="Arial" w:hAnsi="Arial"/>
          <w:sz w:val="18"/>
          <w:szCs w:val="18"/>
          <w:color w:val="auto"/>
        </w:rPr>
      </w:pPr>
    </w:p>
    <w:p>
      <w:pPr>
        <w:ind w:right="380" w:firstLine="464"/>
        <w:spacing w:after="0" w:line="268" w:lineRule="auto"/>
        <w:tabs>
          <w:tab w:leader="none" w:pos="63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Articles Supplementary classifying and designating the number of shares and the terms of any class or series of Preferred Shares to be issued by the Company will be filed with and accepted for record by the SDAT prior to the issuance of such Preferred Shares.</w:t>
      </w:r>
    </w:p>
    <w:p>
      <w:pPr>
        <w:spacing w:after="0" w:line="131" w:lineRule="exact"/>
        <w:rPr>
          <w:rFonts w:ascii="Arial" w:cs="Arial" w:eastAsia="Arial" w:hAnsi="Arial"/>
          <w:sz w:val="18"/>
          <w:szCs w:val="18"/>
          <w:color w:val="auto"/>
        </w:rPr>
      </w:pPr>
    </w:p>
    <w:p>
      <w:pPr>
        <w:ind w:right="60" w:firstLine="464"/>
        <w:spacing w:after="0" w:line="298" w:lineRule="auto"/>
        <w:tabs>
          <w:tab w:leader="none" w:pos="63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Upon the issuance of any Securities that are Preferred Shares, including Preferred Shares which may be issued upon the conversion or exercise of any other Securities convertible into or exercisable for Preferred Shares, the total number of shares of Preferred Stock issued and outstanding, and the total number of issued and outstanding shares of the applicable class or series of Preferred Stock designated pursuant to the Charter, will not exceed the total number of shares of Preferred Stock or the number of shares of such class or series of Preferred Stock that the Company is then authorized to issue under the Charter.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71" w:lineRule="exact"/>
        <w:rPr>
          <w:sz w:val="20"/>
          <w:szCs w:val="20"/>
          <w:color w:val="auto"/>
        </w:rPr>
      </w:pPr>
    </w:p>
    <w:p>
      <w:pPr>
        <w:ind w:left="640" w:hanging="176"/>
        <w:spacing w:after="0"/>
        <w:tabs>
          <w:tab w:leader="none" w:pos="6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Company is a corporation duly incorporated and existing under and by virtue of the laws of the State of Maryland and is in good standing with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SDAT.</w:t>
      </w:r>
    </w:p>
    <w:p>
      <w:pPr>
        <w:spacing w:after="0" w:line="164" w:lineRule="exact"/>
        <w:rPr>
          <w:rFonts w:ascii="Arial" w:cs="Arial" w:eastAsia="Arial" w:hAnsi="Arial"/>
          <w:sz w:val="16"/>
          <w:szCs w:val="16"/>
          <w:color w:val="auto"/>
        </w:rPr>
      </w:pPr>
    </w:p>
    <w:p>
      <w:pPr>
        <w:jc w:val="both"/>
        <w:ind w:right="340" w:firstLine="464"/>
        <w:spacing w:after="0" w:line="259" w:lineRule="auto"/>
        <w:tabs>
          <w:tab w:leader="none" w:pos="63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Common Shares, the issuance of the Common Shares will be duly authorized and, when and if issued and delivered against payment therefor in accordance with the Registration Statement, the Resolutions and the Corporate Proceedings, the Common Shares will be validly issued, fully paid and nonassessable.</w:t>
      </w:r>
    </w:p>
    <w:p>
      <w:pPr>
        <w:spacing w:after="0" w:line="140" w:lineRule="exact"/>
        <w:rPr>
          <w:rFonts w:ascii="Arial" w:cs="Arial" w:eastAsia="Arial" w:hAnsi="Arial"/>
          <w:sz w:val="18"/>
          <w:szCs w:val="18"/>
          <w:color w:val="auto"/>
        </w:rPr>
      </w:pPr>
    </w:p>
    <w:p>
      <w:pPr>
        <w:jc w:val="both"/>
        <w:ind w:right="340" w:firstLine="464"/>
        <w:spacing w:after="0" w:line="259" w:lineRule="auto"/>
        <w:tabs>
          <w:tab w:leader="none" w:pos="63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Preferred Shares, the issuance of the Preferred Shares will be duly authorized and, when and if issued and delivered against payment therefor in accordance with the Registration Statement, the Resolutions and the Corporate Proceedings, the Preferred Shares will be validly issued, fully paid and nonassessable.</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Warrants, the issuance of the Warrants will be duly authorized.</w:t>
      </w:r>
    </w:p>
    <w:p>
      <w:pPr>
        <w:spacing w:after="0" w:line="171" w:lineRule="exact"/>
        <w:rPr>
          <w:rFonts w:ascii="Arial" w:cs="Arial" w:eastAsia="Arial" w:hAnsi="Arial"/>
          <w:sz w:val="18"/>
          <w:szCs w:val="18"/>
          <w:color w:val="auto"/>
        </w:rPr>
      </w:pPr>
    </w:p>
    <w:p>
      <w:pPr>
        <w:ind w:right="800" w:firstLine="464"/>
        <w:spacing w:after="0" w:line="268" w:lineRule="auto"/>
        <w:tabs>
          <w:tab w:leader="none" w:pos="63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Upon the completion of all the Corporate Proceedings relating to the Subscription Rights, the issuance of the Subscription Rights will be duly authorized.</w:t>
      </w:r>
    </w:p>
    <w:p>
      <w:pPr>
        <w:sectPr>
          <w:pgSz w:w="11900" w:h="16838" w:orient="portrait"/>
          <w:cols w:equalWidth="0" w:num="1">
            <w:col w:w="11400"/>
          </w:cols>
          <w:pgMar w:left="240" w:top="982" w:right="2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83640" cy="3429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1183640" cy="342900"/>
                    </a:xfrm>
                    <a:prstGeom prst="rect">
                      <a:avLst/>
                    </a:prstGeom>
                    <a:noFill/>
                  </pic:spPr>
                </pic:pic>
              </a:graphicData>
            </a:graphic>
          </wp:anchor>
        </w:drawing>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 Upon the completion of all Corporate Proceedings relating to the Debt Securities, the issuance of the Debt Securities will be duly authorized.</w:t>
      </w:r>
    </w:p>
    <w:p>
      <w:pPr>
        <w:spacing w:after="0" w:line="19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foregoing opinion is limited to the laws of the State of Maryland and we do not express any opinion herein concerning any other law. We express no opinion as to compliance with federal or state securities laws, including the securities laws of the State of Maryland, or the 1940 Act.</w:t>
      </w:r>
    </w:p>
    <w:p>
      <w:pPr>
        <w:spacing w:after="0" w:line="85"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Venable LLP</w:t>
      </w:r>
    </w:p>
    <w:p>
      <w:pPr>
        <w:sectPr>
          <w:pgSz w:w="11900" w:h="16838" w:orient="portrait"/>
          <w:cols w:equalWidth="0" w:num="1">
            <w:col w:w="11380"/>
          </w:cols>
          <w:pgMar w:left="240" w:top="982" w:right="27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(l)(2)</w:t>
      </w:r>
    </w:p>
    <w:p>
      <w:pPr>
        <w:spacing w:after="0" w:line="21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1900 K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15060" cy="3860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5060" cy="386080"/>
                    </a:xfrm>
                    <a:prstGeom prst="rect">
                      <a:avLst/>
                    </a:prstGeom>
                    <a:noFill/>
                  </pic:spPr>
                </pic:pic>
              </a:graphicData>
            </a:graphic>
          </wp:anchor>
        </w:drawing>
      </w:r>
    </w:p>
    <w:p>
      <w:pPr>
        <w:ind w:left="7900"/>
        <w:spacing w:after="0"/>
        <w:rPr>
          <w:sz w:val="20"/>
          <w:szCs w:val="20"/>
          <w:color w:val="auto"/>
        </w:rPr>
      </w:pPr>
      <w:r>
        <w:rPr>
          <w:rFonts w:ascii="Arial" w:cs="Arial" w:eastAsia="Arial" w:hAnsi="Arial"/>
          <w:sz w:val="18"/>
          <w:szCs w:val="18"/>
          <w:color w:val="auto"/>
        </w:rPr>
        <w:t>Washington, DC 20006-1110</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+1 202 261 3300 Main</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+1 202 261 3333 Fax</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161290</wp:posOffset>
            </wp:positionV>
            <wp:extent cx="22383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December 15,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N-2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acted as counsel to PennantPark Floating Rate Capital Ltd.,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of a Registration Statement on Form N-2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on the date hereof, with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possible offerings from time to time of up to an aggregate of $500,000,000 of the following securities of the Company: (1) shares of common stock, par value $0.001 per share, of the Company (“</w:t>
      </w:r>
      <w:r>
        <w:rPr>
          <w:rFonts w:ascii="Arial" w:cs="Arial" w:eastAsia="Arial" w:hAnsi="Arial"/>
          <w:sz w:val="16"/>
          <w:szCs w:val="16"/>
          <w:u w:val="single" w:color="auto"/>
          <w:color w:val="auto"/>
        </w:rPr>
        <w:t>Common Stock</w:t>
      </w:r>
      <w:r>
        <w:rPr>
          <w:rFonts w:ascii="Arial" w:cs="Arial" w:eastAsia="Arial" w:hAnsi="Arial"/>
          <w:sz w:val="16"/>
          <w:szCs w:val="16"/>
          <w:color w:val="auto"/>
        </w:rPr>
        <w:t>”), (2) shares of preferred stock, par value $0.001 per share, of the Company (“</w:t>
      </w:r>
      <w:r>
        <w:rPr>
          <w:rFonts w:ascii="Arial" w:cs="Arial" w:eastAsia="Arial" w:hAnsi="Arial"/>
          <w:sz w:val="16"/>
          <w:szCs w:val="16"/>
          <w:u w:val="single" w:color="auto"/>
          <w:color w:val="auto"/>
        </w:rPr>
        <w:t>Preferred Stock</w:t>
      </w:r>
      <w:r>
        <w:rPr>
          <w:rFonts w:ascii="Arial" w:cs="Arial" w:eastAsia="Arial" w:hAnsi="Arial"/>
          <w:sz w:val="16"/>
          <w:szCs w:val="16"/>
          <w:color w:val="auto"/>
        </w:rPr>
        <w:t>”), (3) warrants of the Company (“</w:t>
      </w:r>
      <w:r>
        <w:rPr>
          <w:rFonts w:ascii="Arial" w:cs="Arial" w:eastAsia="Arial" w:hAnsi="Arial"/>
          <w:sz w:val="16"/>
          <w:szCs w:val="16"/>
          <w:u w:val="single" w:color="auto"/>
          <w:color w:val="auto"/>
        </w:rPr>
        <w:t>Warrants</w:t>
      </w:r>
      <w:r>
        <w:rPr>
          <w:rFonts w:ascii="Arial" w:cs="Arial" w:eastAsia="Arial" w:hAnsi="Arial"/>
          <w:sz w:val="16"/>
          <w:szCs w:val="16"/>
          <w:color w:val="auto"/>
        </w:rPr>
        <w:t>”) to purchase Common Stock, Preferred Stock or Debt Securities (as defined below), (4) rights to purchase Common Stock and (5) debt securities (“</w:t>
      </w:r>
      <w:r>
        <w:rPr>
          <w:rFonts w:ascii="Arial" w:cs="Arial" w:eastAsia="Arial" w:hAnsi="Arial"/>
          <w:sz w:val="16"/>
          <w:szCs w:val="16"/>
          <w:u w:val="single" w:color="auto"/>
          <w:color w:val="auto"/>
        </w:rPr>
        <w:t>Debt Securities</w:t>
      </w:r>
      <w:r>
        <w:rPr>
          <w:rFonts w:ascii="Arial" w:cs="Arial" w:eastAsia="Arial" w:hAnsi="Arial"/>
          <w:sz w:val="16"/>
          <w:szCs w:val="16"/>
          <w:color w:val="auto"/>
        </w:rPr>
        <w:t>”) to be issued pursuant to an indenture between the Company and American Stock Transfer &amp; Trust Company, LLC,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The Warrants and Debt Securities are collectively referred to herein as the “</w:t>
      </w:r>
      <w:r>
        <w:rPr>
          <w:rFonts w:ascii="Arial" w:cs="Arial" w:eastAsia="Arial" w:hAnsi="Arial"/>
          <w:sz w:val="16"/>
          <w:szCs w:val="16"/>
          <w:u w:val="single" w:color="auto"/>
          <w:color w:val="auto"/>
        </w:rPr>
        <w:t>Securities</w:t>
      </w:r>
      <w:r>
        <w:rPr>
          <w:rFonts w:ascii="Arial" w:cs="Arial" w:eastAsia="Arial" w:hAnsi="Arial"/>
          <w:sz w:val="16"/>
          <w:szCs w:val="16"/>
          <w:color w:val="auto"/>
        </w:rPr>
        <w:t>.”</w:t>
      </w:r>
    </w:p>
    <w:p>
      <w:pPr>
        <w:spacing w:after="0" w:line="118"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The Registration Statement provides that the Securities may be offered separately or together, in separate series, in amounts, at prices and on terms to be set forth in one or more supplements to the prospectus included in the Registration Statement (each, a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This opinion letter is being furnished to the Company in accordance with the requirements of Item 25 of Form N-2 under the Investment Company Act of 1940, as amended, and we express no opinion herein as to any matter other than as to the legality of the Securities.</w:t>
      </w:r>
    </w:p>
    <w:p>
      <w:pPr>
        <w:spacing w:after="0" w:line="11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p>
      <w:pPr>
        <w:sectPr>
          <w:pgSz w:w="11900" w:h="16838" w:orient="portrait"/>
          <w:cols w:equalWidth="0" w:num="1">
            <w:col w:w="11420"/>
          </w:cols>
          <w:pgMar w:left="240" w:top="125" w:right="239" w:bottom="1440" w:gutter="0" w:footer="0" w:header="0"/>
        </w:sectPr>
      </w:pPr>
    </w:p>
    <w:bookmarkStart w:id="173" w:name="page174"/>
    <w:bookmarkEnd w:id="173"/>
    <w:p>
      <w:pPr>
        <w:ind w:left="7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15060" cy="3860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86080"/>
                    </a:xfrm>
                    <a:prstGeom prst="rect">
                      <a:avLst/>
                    </a:prstGeom>
                    <a:noFill/>
                  </pic:spPr>
                </pic:pic>
              </a:graphicData>
            </a:graphic>
          </wp:anchor>
        </w:drawing>
        <w:t>December 15, 2016</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form of warrant agreement (as may be amended or supplemented from time to time,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form of indenture governing the Debt Securities (as may be amended or supplemented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resolutions of the board of directors of the Company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relating to, among other things, the authorization and approval of the preparation and filing of the Registration Statement.</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to the facts upon which this opinion is based, we have relied upon certificates of public officials and certificates and written statements of agents, officers, directors and representatives of the Company.</w:t>
      </w:r>
    </w:p>
    <w:p>
      <w:pPr>
        <w:spacing w:after="0" w:line="13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our examination, we have assumed the genuineness of all signatures, the authenticity of all documents submitted to us as original documents, the conformity to original documents of all documents submitted to us as copies, the legal capacity of natural persons who are signatories to the documents examined by us and the legal power and authority of all persons signing on behalf of the parties to such documents.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subject to the assumptions, qualifications and limitations set forth in this letter, we are of the opinion that:</w:t>
      </w:r>
    </w:p>
    <w:p>
      <w:pPr>
        <w:spacing w:after="0" w:line="90" w:lineRule="exact"/>
        <w:rPr>
          <w:sz w:val="20"/>
          <w:szCs w:val="20"/>
          <w:color w:val="auto"/>
        </w:rPr>
      </w:pPr>
    </w:p>
    <w:p>
      <w:pPr>
        <w:ind w:left="900" w:right="80" w:hanging="446"/>
        <w:spacing w:after="0" w:line="255"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Warrants, when (a) duly authorized, executed, authenticated, issued and sold in accordance with the Registration Statement and applicable Prospectus Supplement and the provisions of the Warrant Agreement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pacing w:after="0" w:line="61" w:lineRule="exact"/>
        <w:rPr>
          <w:rFonts w:ascii="Arial" w:cs="Arial" w:eastAsia="Arial" w:hAnsi="Arial"/>
          <w:sz w:val="18"/>
          <w:szCs w:val="18"/>
          <w:color w:val="auto"/>
        </w:rPr>
      </w:pPr>
    </w:p>
    <w:p>
      <w:pPr>
        <w:ind w:left="900" w:right="160" w:hanging="446"/>
        <w:spacing w:after="0" w:line="291" w:lineRule="auto"/>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Debt Securities, when (a) duly authorized and executed by the Company and authenticated by the Trustee in accordance with the provisions of the Indenture and (x) issued and sold in accordance with the Registration Statement and applicable Prospectus Supplement or (y) issued upon exchange or conversion of Preferred Stock or upon exercise of Warrants as contemplated by the Registration Statement and applicable Prospectus Supplement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ectPr>
          <w:pgSz w:w="11900" w:h="16838" w:orient="portrait"/>
          <w:cols w:equalWidth="0" w:num="1">
            <w:col w:w="11400"/>
          </w:cols>
          <w:pgMar w:left="240" w:top="442" w:right="259" w:bottom="1440" w:gutter="0" w:footer="0" w:header="0"/>
        </w:sectPr>
      </w:pPr>
    </w:p>
    <w:bookmarkStart w:id="174" w:name="page175"/>
    <w:bookmarkEnd w:id="174"/>
    <w:p>
      <w:pPr>
        <w:ind w:left="7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15060" cy="3860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86080"/>
                    </a:xfrm>
                    <a:prstGeom prst="rect">
                      <a:avLst/>
                    </a:prstGeom>
                    <a:noFill/>
                  </pic:spPr>
                </pic:pic>
              </a:graphicData>
            </a:graphic>
          </wp:anchor>
        </w:drawing>
        <w:t>December 15, 2016</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opinions set forth herein are subject to the following assumptions, qualifications, limitations and exceptions being true and correct at or before the time of the delivery of any Securities offered pursuant to the Registration Statement and appropriate Prospectus Supplement:</w:t>
      </w:r>
    </w:p>
    <w:p>
      <w:pPr>
        <w:spacing w:after="0" w:line="51"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in good standing under the laws of the State of Maryland;</w:t>
      </w:r>
    </w:p>
    <w:p>
      <w:pPr>
        <w:spacing w:after="0" w:line="90" w:lineRule="exact"/>
        <w:rPr>
          <w:rFonts w:ascii="Arial" w:cs="Arial" w:eastAsia="Arial" w:hAnsi="Arial"/>
          <w:sz w:val="18"/>
          <w:szCs w:val="18"/>
          <w:color w:val="auto"/>
        </w:rPr>
      </w:pPr>
    </w:p>
    <w:p>
      <w:pPr>
        <w:ind w:left="900" w:right="460" w:hanging="446"/>
        <w:spacing w:after="0" w:line="259"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Board of Directors, including any appropriate committee appointed thereby, and/or appropriate officers of the Company shall have duly (x) established the terms of the Securities and (y) authorized and taken any other necessary corporate or other action to approve the creation, if applicable, issuance and sale of the Securities and related matters;</w:t>
      </w:r>
    </w:p>
    <w:p>
      <w:pPr>
        <w:spacing w:after="0" w:line="59"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resolutions establishing the definitive terms and authorizing the Company to register, offer, sell and issue the Securities shall remain in effect and unchanged at all times during which the Securities are offered, sold or issued by the Company;</w:t>
      </w:r>
    </w:p>
    <w:p>
      <w:pPr>
        <w:spacing w:after="0" w:line="50"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terms of the issuance and sale of the Securities (x) shall have been duly established in accordance with all applicable law and the Articles of Incorporation and Bylaws of the Company, any Indenture, underwriting agreement and Warrant Agreement and any other relevant agreement relating to the terms and the offer and sale of the Securities (collectively, the “</w:t>
      </w:r>
      <w:r>
        <w:rPr>
          <w:rFonts w:ascii="Arial" w:cs="Arial" w:eastAsia="Arial" w:hAnsi="Arial"/>
          <w:sz w:val="16"/>
          <w:szCs w:val="16"/>
          <w:u w:val="single" w:color="auto"/>
          <w:color w:val="auto"/>
        </w:rPr>
        <w:t>Documents</w:t>
      </w:r>
      <w:r>
        <w:rPr>
          <w:rFonts w:ascii="Arial" w:cs="Arial" w:eastAsia="Arial" w:hAnsi="Arial"/>
          <w:sz w:val="16"/>
          <w:szCs w:val="16"/>
          <w:color w:val="auto"/>
        </w:rPr>
        <w:t>”) and the authorizing resolutions of the Board of Directors, and reflected in appropriate documentation reviewed by us and (y) shall not violate any applicable law or the Documents (subject to the further assumption that such Documents have not been amended from the date hereof in a manner that would affect the validity of any of the opinions rendered herein), or result in a default under or breach of (nor constitute any event which with notice, lapse of time or both would constitute a default under or result in any breach of) any agreement or instrument binding upon the Company and so as to comply with any restriction imposed by any court or governmental body having jurisdiction over the Company;</w:t>
      </w:r>
    </w:p>
    <w:p>
      <w:pPr>
        <w:spacing w:after="0" w:line="37" w:lineRule="exact"/>
        <w:rPr>
          <w:rFonts w:ascii="Arial" w:cs="Arial" w:eastAsia="Arial" w:hAnsi="Arial"/>
          <w:sz w:val="16"/>
          <w:szCs w:val="16"/>
          <w:color w:val="auto"/>
        </w:rPr>
      </w:pPr>
    </w:p>
    <w:p>
      <w:pPr>
        <w:ind w:left="900" w:hanging="446"/>
        <w:spacing w:after="0"/>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interest rate on the Debt Securities shall not be higher than the maximum lawful rate permitted from time to time under applicable law;</w:t>
      </w:r>
    </w:p>
    <w:p>
      <w:pPr>
        <w:sectPr>
          <w:pgSz w:w="11900" w:h="16838" w:orient="portrait"/>
          <w:cols w:equalWidth="0" w:num="1">
            <w:col w:w="11400"/>
          </w:cols>
          <w:pgMar w:left="240" w:top="442" w:right="259" w:bottom="1440" w:gutter="0" w:footer="0" w:header="0"/>
        </w:sectPr>
      </w:pPr>
    </w:p>
    <w:bookmarkStart w:id="175" w:name="page176"/>
    <w:bookmarkEnd w:id="175"/>
    <w:p>
      <w:pPr>
        <w:ind w:left="744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15060" cy="3860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86080"/>
                    </a:xfrm>
                    <a:prstGeom prst="rect">
                      <a:avLst/>
                    </a:prstGeom>
                    <a:noFill/>
                  </pic:spPr>
                </pic:pic>
              </a:graphicData>
            </a:graphic>
          </wp:anchor>
        </w:drawing>
        <w:t>December 15, 2016</w:t>
      </w:r>
    </w:p>
    <w:p>
      <w:pPr>
        <w:spacing w:after="0" w:line="15" w:lineRule="exact"/>
        <w:rPr>
          <w:sz w:val="20"/>
          <w:szCs w:val="20"/>
          <w:color w:val="auto"/>
        </w:rPr>
      </w:pPr>
    </w:p>
    <w:p>
      <w:pPr>
        <w:ind w:left="7446"/>
        <w:spacing w:after="0"/>
        <w:rPr>
          <w:sz w:val="20"/>
          <w:szCs w:val="20"/>
          <w:color w:val="auto"/>
        </w:rPr>
      </w:pPr>
      <w:r>
        <w:rPr>
          <w:rFonts w:ascii="Arial" w:cs="Arial" w:eastAsia="Arial" w:hAnsi="Arial"/>
          <w:sz w:val="18"/>
          <w:szCs w:val="18"/>
          <w:color w:val="auto"/>
        </w:rPr>
        <w:t>Page 4</w:t>
      </w:r>
    </w:p>
    <w:p>
      <w:pPr>
        <w:spacing w:after="0" w:line="165" w:lineRule="exact"/>
        <w:rPr>
          <w:sz w:val="20"/>
          <w:szCs w:val="20"/>
          <w:color w:val="auto"/>
        </w:rPr>
      </w:pPr>
    </w:p>
    <w:p>
      <w:pPr>
        <w:ind w:left="446" w:right="60" w:hanging="446"/>
        <w:spacing w:after="0" w:line="255" w:lineRule="auto"/>
        <w:tabs>
          <w:tab w:leader="none" w:pos="4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Securities (including any Securities issuable upon exercise, conversion or exchange of other Securities) and any certificates representing the relevant Securities (including any Securities issuable upon exercise, conversion or exchange of other Securities) have been duly authenticated, executed, countersigned, registered and delivered upon payment of the agreed-upon legal consideration therefor and have been duly issued and sold in accordance with any relevant agreement and, if applicable, duly authorized, executed and delivered by the Company and any other appropriate party;</w:t>
      </w:r>
    </w:p>
    <w:p>
      <w:pPr>
        <w:spacing w:after="0" w:line="61" w:lineRule="exact"/>
        <w:rPr>
          <w:rFonts w:ascii="Arial" w:cs="Arial" w:eastAsia="Arial" w:hAnsi="Arial"/>
          <w:sz w:val="18"/>
          <w:szCs w:val="18"/>
          <w:color w:val="auto"/>
        </w:rPr>
      </w:pPr>
    </w:p>
    <w:p>
      <w:pPr>
        <w:ind w:left="446" w:right="80" w:hanging="446"/>
        <w:spacing w:after="0" w:line="268" w:lineRule="auto"/>
        <w:tabs>
          <w:tab w:leader="none" w:pos="4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Indenture and Warrant Agreement and any other relevant agreement has been duly authorized, executed and delivered by, and will constitute a valid and binding obligation of, each party thereto (other than the Company);</w:t>
      </w:r>
    </w:p>
    <w:p>
      <w:pPr>
        <w:spacing w:after="0" w:line="50" w:lineRule="exact"/>
        <w:rPr>
          <w:rFonts w:ascii="Arial" w:cs="Arial" w:eastAsia="Arial" w:hAnsi="Arial"/>
          <w:sz w:val="18"/>
          <w:szCs w:val="18"/>
          <w:color w:val="auto"/>
        </w:rPr>
      </w:pPr>
    </w:p>
    <w:p>
      <w:pPr>
        <w:jc w:val="both"/>
        <w:ind w:left="446" w:right="200" w:hanging="446"/>
        <w:spacing w:after="0" w:line="357" w:lineRule="auto"/>
        <w:tabs>
          <w:tab w:leader="none" w:pos="446"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Registration Statement, as amended (including all necessary post-effective amendments), and any additional registration statement filed under Rule 462 under the Securities Act, shall be effective under the Securities Act, and such effectiveness shall not have been terminated or rescinded;</w:t>
      </w:r>
    </w:p>
    <w:p>
      <w:pPr>
        <w:ind w:left="446" w:right="160" w:hanging="446"/>
        <w:spacing w:after="0" w:line="268" w:lineRule="auto"/>
        <w:tabs>
          <w:tab w:leader="none" w:pos="4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appropriate Prospectus Supplement shall have been prepared, delivered and filed in compliance with the Securities Act and the applicable rules and regulations thereunder describing the Securities offered thereby;</w:t>
      </w:r>
    </w:p>
    <w:p>
      <w:pPr>
        <w:spacing w:after="0" w:line="50"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Securities shall be issued and sold in compliance with all U.S. federal and state securities laws and solely in the manner stated in the Registration Statement and the applicable Prospectus Supplement and there shall not have occurred any change in law affecting the validity of the opinions rendered herein;</w:t>
      </w:r>
    </w:p>
    <w:p>
      <w:pPr>
        <w:spacing w:after="0" w:line="59" w:lineRule="exact"/>
        <w:rPr>
          <w:rFonts w:ascii="Arial" w:cs="Arial" w:eastAsia="Arial" w:hAnsi="Arial"/>
          <w:sz w:val="18"/>
          <w:szCs w:val="18"/>
          <w:color w:val="auto"/>
        </w:rPr>
      </w:pPr>
    </w:p>
    <w:p>
      <w:pPr>
        <w:jc w:val="both"/>
        <w:ind w:left="446" w:right="160" w:hanging="446"/>
        <w:spacing w:after="0" w:line="259" w:lineRule="auto"/>
        <w:tabs>
          <w:tab w:leader="none" w:pos="4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Securities will be sold pursuant to a firm commitment underwritten offering, the underwriting agreement with respect to the Securities in the form filed as an exhibit to the Registration Statement or any post-effective amendment thereto, or incorporated by reference therein, has been duly authorized, executed and delivered by the Company and the other parties thereto;</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Indenture shall have been duly qualified under the Trust Indenture Act of 1939, as amended; and</w:t>
      </w:r>
    </w:p>
    <w:p>
      <w:pPr>
        <w:spacing w:after="0" w:line="90" w:lineRule="exact"/>
        <w:rPr>
          <w:rFonts w:ascii="Arial" w:cs="Arial" w:eastAsia="Arial" w:hAnsi="Arial"/>
          <w:sz w:val="18"/>
          <w:szCs w:val="18"/>
          <w:color w:val="auto"/>
        </w:rPr>
      </w:pPr>
    </w:p>
    <w:p>
      <w:pPr>
        <w:ind w:left="446" w:right="180" w:hanging="446"/>
        <w:spacing w:after="0" w:line="268" w:lineRule="auto"/>
        <w:tabs>
          <w:tab w:leader="none" w:pos="4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case of an agreement or instrument pursuant to which any Securities are to be issued, there shall be no terms or provisions contained therein which would affect the validity of any of the opinions rendered herein.</w:t>
      </w:r>
    </w:p>
    <w:p>
      <w:pPr>
        <w:sectPr>
          <w:pgSz w:w="11900" w:h="16838" w:orient="portrait"/>
          <w:cols w:equalWidth="0" w:num="1">
            <w:col w:w="10886"/>
          </w:cols>
          <w:pgMar w:left="694" w:top="442" w:right="319" w:bottom="1440" w:gutter="0" w:footer="0" w:header="0"/>
        </w:sectPr>
      </w:pPr>
    </w:p>
    <w:bookmarkStart w:id="176" w:name="page177"/>
    <w:bookmarkEnd w:id="176"/>
    <w:p>
      <w:pPr>
        <w:ind w:left="7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15060" cy="3860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86080"/>
                    </a:xfrm>
                    <a:prstGeom prst="rect">
                      <a:avLst/>
                    </a:prstGeom>
                    <a:noFill/>
                  </pic:spPr>
                </pic:pic>
              </a:graphicData>
            </a:graphic>
          </wp:anchor>
        </w:drawing>
        <w:t>December 15, 2016</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Page 5</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w:t>
      </w:r>
    </w:p>
    <w:p>
      <w:pPr>
        <w:spacing w:after="0" w:line="1" w:lineRule="exact"/>
        <w:rPr>
          <w:sz w:val="20"/>
          <w:szCs w:val="20"/>
          <w:color w:val="auto"/>
        </w:rPr>
      </w:pPr>
    </w:p>
    <w:p>
      <w:pPr>
        <w:ind w:right="80" w:firstLine="8"/>
        <w:spacing w:after="0" w:line="290" w:lineRule="auto"/>
        <w:tabs>
          <w:tab w:leader="none" w:pos="25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unenforceability under certain circumstances under law or court decisions of provisions providing for the indemnification of, or contribution to, a party with respect to a liability where such indemnification or contribution is contrary to public policy; (iii) provisions of law which may require that a judgment for money damages rendered by a court in the United States be expressed only in U.S. dollars; (iv)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(v) governmental authority to limit, delay or prohibit the making of payments outside the United States or in foreign currency or composite currency.</w:t>
      </w:r>
    </w:p>
    <w:p>
      <w:pPr>
        <w:spacing w:after="0" w:line="11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are members of the bar of the State of New York, and the foregoing opinions are limited to the laws of the State of New York.</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opinion letter has been prepared for your use solely in connection with the Registration Statement. We assume no obligation to advise you of any changes in the foregoing subsequent to the effectiveness of the Registration Statement.</w:t>
      </w:r>
    </w:p>
    <w:p>
      <w:pPr>
        <w:spacing w:after="0" w:line="132"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 to this firm under the caption “Legal Matters” in the prospectus which forms a part of the Registration Statement. In giving such consent, we do not thereby admit that we are in the category of persons whose consent is required under Section 7 of the Securities Act or the rules and regulations of the Commission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Dechert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ectPr>
          <w:pgSz w:w="11900" w:h="16838" w:orient="portrait"/>
          <w:cols w:equalWidth="0" w:num="1">
            <w:col w:w="11340"/>
          </w:cols>
          <w:pgMar w:left="240" w:top="442" w:right="3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consent to use in this Registration Statement on Form N-2 of PennantPark Floating Rate Capital Ltd. and Subsidiaries of our reports dated November 22, 2016, relating to the consolidated financial statements and internal control over financial reporting, appearing in the Prospectus, which is part of this Registration Statement, and of our report dated November 22, 2016, relating to the senior securities table appearing elsewhere in this Registration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“Independent Registered Public Accounting Firm” in such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15, 2016</w:t>
      </w:r>
    </w:p>
    <w:p>
      <w:pPr>
        <w:sectPr>
          <w:pgSz w:w="11900" w:h="16838" w:orient="portrait"/>
          <w:cols w:equalWidth="0" w:num="1">
            <w:col w:w="11420"/>
          </w:cols>
          <w:pgMar w:left="240" w:top="125"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Subsidiaries</w:t>
      </w:r>
    </w:p>
    <w:p>
      <w:pPr>
        <w:spacing w:after="0" w:line="2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audit of the consolidated financial statements and internal control over financial reporting referred to in our reports dated November 22, 2016, (appearing in the accompanying registration statement on Form N-2) also included an audit of the senior securities table of PennantPark Floating Rate Capital Ltd. and Subsidiaries (collectively, the Company) for the year ended September 30, 2016 appearing in this Registration Statement on Form N-2. This table is the responsibility of the Company’s management. Our responsibility is to express an opinion based on our audit of the consolidated financial statements.</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our opinion, the senior securities table for the year ended September 30, 2016, when considered in relation to the basic consolidated financial statements taken as a whole, presents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1)"/>
      <w:numFmt w:val="decimal"/>
      <w:start w:val="1"/>
    </w:lvl>
  </w:abstractNum>
  <w:abstractNum w:abstractNumId="2">
    <w:nsid w:val="3F6AB60F"/>
    <w:multiLevelType w:val="hybridMultilevel"/>
    <w:lvl w:ilvl="0">
      <w:lvlJc w:val="left"/>
      <w:lvlText w:val="(%1)"/>
      <w:numFmt w:val="decimal"/>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1)"/>
      <w:numFmt w:val="decimal"/>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1."/>
      <w:numFmt w:val="decimal"/>
      <w:start w:val="820"/>
    </w:lvl>
  </w:abstractNum>
  <w:abstractNum w:abstractNumId="9">
    <w:nsid w:val="2F305DEF"/>
    <w:multiLevelType w:val="hybridMultilevel"/>
    <w:lvl w:ilvl="0">
      <w:lvlJc w:val="left"/>
      <w:lvlText w:val="%1."/>
      <w:numFmt w:val="decimal"/>
      <w:start w:val="1"/>
    </w:lvl>
  </w:abstractNum>
  <w:abstractNum w:abstractNumId="10">
    <w:nsid w:val="25A70BF7"/>
    <w:multiLevelType w:val="hybridMultilevel"/>
    <w:lvl w:ilvl="0">
      <w:lvlJc w:val="left"/>
      <w:lvlText w:val="%1."/>
      <w:numFmt w:val="decimal"/>
      <w:start w:val="2"/>
    </w:lvl>
  </w:abstractNum>
  <w:abstractNum w:abstractNumId="11">
    <w:nsid w:val="1DBABF00"/>
    <w:multiLevelType w:val="hybridMultilevel"/>
    <w:lvl w:ilvl="0">
      <w:lvlJc w:val="left"/>
      <w:lvlText w:val="%1."/>
      <w:numFmt w:val="decimal"/>
      <w:start w:val="4"/>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1)"/>
      <w:numFmt w:val="decimal"/>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1)"/>
      <w:numFmt w:val="decimal"/>
      <w:start w:val="1"/>
    </w:lvl>
  </w:abstractNum>
  <w:abstractNum w:abstractNumId="21">
    <w:nsid w:val="799D0247"/>
    <w:multiLevelType w:val="hybridMultilevel"/>
    <w:lvl w:ilvl="0">
      <w:lvlJc w:val="left"/>
      <w:lvlText w:val="(%1)"/>
      <w:numFmt w:val="decimal"/>
      <w:start w:val="1"/>
    </w:lvl>
  </w:abstractNum>
  <w:abstractNum w:abstractNumId="22">
    <w:nsid w:val="6B94764"/>
    <w:multiLevelType w:val="hybridMultilevel"/>
    <w:lvl w:ilvl="0">
      <w:lvlJc w:val="left"/>
      <w:lvlText w:val="(%1)"/>
      <w:numFmt w:val="decimal"/>
      <w:start w:val="5"/>
    </w:lvl>
  </w:abstractNum>
  <w:abstractNum w:abstractNumId="23">
    <w:nsid w:val="42C296BD"/>
    <w:multiLevelType w:val="hybridMultilevel"/>
    <w:lvl w:ilvl="0">
      <w:lvlJc w:val="left"/>
      <w:lvlText w:val="%1."/>
      <w:numFmt w:val="decimal"/>
      <w:start w:val="1"/>
    </w:lvl>
  </w:abstractNum>
  <w:abstractNum w:abstractNumId="24">
    <w:nsid w:val="168E121F"/>
    <w:multiLevelType w:val="hybridMultilevel"/>
    <w:lvl w:ilvl="0">
      <w:lvlJc w:val="left"/>
      <w:lvlText w:val="(%1)"/>
      <w:numFmt w:val="decimal"/>
      <w:start w:val="1"/>
    </w:lvl>
  </w:abstractNum>
  <w:abstractNum w:abstractNumId="25">
    <w:nsid w:val="1EBA5D23"/>
    <w:multiLevelType w:val="hybridMultilevel"/>
    <w:lvl w:ilvl="0">
      <w:lvlJc w:val="left"/>
      <w:lvlText w:val="(%1)"/>
      <w:numFmt w:val="decimal"/>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1)"/>
      <w:numFmt w:val="decimal"/>
      <w:start w:val="2"/>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1)"/>
      <w:numFmt w:val="lowerLetter"/>
      <w:start w:val="2"/>
    </w:lvl>
    <w:lvl w:ilvl="1">
      <w:lvlJc w:val="left"/>
      <w:lvlText w:val="•"/>
      <w:numFmt w:val="bullet"/>
      <w:start w:val="1"/>
    </w:lvl>
  </w:abstractNum>
  <w:abstractNum w:abstractNumId="31">
    <w:nsid w:val="613EFDC5"/>
    <w:multiLevelType w:val="hybridMultilevel"/>
    <w:lvl w:ilvl="0">
      <w:lvlJc w:val="left"/>
      <w:lvlText w:val="%1)"/>
      <w:numFmt w:val="lowerLetter"/>
      <w:start w:val="1"/>
    </w:lvl>
  </w:abstractNum>
  <w:abstractNum w:abstractNumId="32">
    <w:nsid w:val="BF72B14"/>
    <w:multiLevelType w:val="hybridMultilevel"/>
    <w:lvl w:ilvl="0">
      <w:lvlJc w:val="left"/>
      <w:lvlText w:val="%1)"/>
      <w:numFmt w:val="lowerLetter"/>
      <w:start w:val="2"/>
    </w:lvl>
  </w:abstractNum>
  <w:abstractNum w:abstractNumId="33">
    <w:nsid w:val="11447B73"/>
    <w:multiLevelType w:val="hybridMultilevel"/>
    <w:lvl w:ilvl="0">
      <w:lvlJc w:val="left"/>
      <w:lvlText w:val="%1)"/>
      <w:numFmt w:val="lowerLetter"/>
      <w:start w:val="3"/>
    </w:lvl>
  </w:abstractNum>
  <w:abstractNum w:abstractNumId="34">
    <w:nsid w:val="42963E5A"/>
    <w:multiLevelType w:val="hybridMultilevel"/>
    <w:lvl w:ilvl="0">
      <w:lvlJc w:val="left"/>
      <w:lvlText w:val="%1)"/>
      <w:numFmt w:val="lowerLetter"/>
      <w:start w:val="4"/>
    </w:lvl>
  </w:abstractNum>
  <w:abstractNum w:abstractNumId="35">
    <w:nsid w:val="A0382C5"/>
    <w:multiLevelType w:val="hybridMultilevel"/>
    <w:lvl w:ilvl="0">
      <w:lvlJc w:val="left"/>
      <w:lvlText w:val="%1)"/>
      <w:numFmt w:val="lowerLetter"/>
      <w:start w:val="5"/>
    </w:lvl>
  </w:abstractNum>
  <w:abstractNum w:abstractNumId="36">
    <w:nsid w:val="8F2B15E"/>
    <w:multiLevelType w:val="hybridMultilevel"/>
    <w:lvl w:ilvl="0">
      <w:lvlJc w:val="left"/>
      <w:lvlText w:val="%1)"/>
      <w:numFmt w:val="lowerLetter"/>
      <w:start w:val="6"/>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1)"/>
      <w:numFmt w:val="decimal"/>
      <w:start w:val="1"/>
    </w:lvl>
  </w:abstractNum>
  <w:abstractNum w:abstractNumId="41">
    <w:nsid w:val="60B6DF70"/>
    <w:multiLevelType w:val="hybridMultilevel"/>
    <w:lvl w:ilvl="0">
      <w:lvlJc w:val="left"/>
      <w:lvlText w:val="(%1)"/>
      <w:numFmt w:val="decimal"/>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1)"/>
      <w:numFmt w:val="decimal"/>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1)"/>
      <w:numFmt w:val="decimal"/>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1)"/>
      <w:numFmt w:val="decimal"/>
      <w:start w:val="1"/>
    </w:lvl>
  </w:abstractNum>
  <w:abstractNum w:abstractNumId="51">
    <w:nsid w:val="94211F2"/>
    <w:multiLevelType w:val="hybridMultilevel"/>
    <w:lvl w:ilvl="0">
      <w:lvlJc w:val="left"/>
      <w:lvlText w:val="(%1)"/>
      <w:numFmt w:val="decimal"/>
      <w:start w:val="1"/>
    </w:lvl>
  </w:abstractNum>
  <w:abstractNum w:abstractNumId="52">
    <w:nsid w:val="885E1B"/>
    <w:multiLevelType w:val="hybridMultilevel"/>
    <w:lvl w:ilvl="0">
      <w:lvlJc w:val="left"/>
      <w:lvlText w:val="(%1)"/>
      <w:numFmt w:val="decimal"/>
      <w:start w:val="1"/>
    </w:lvl>
  </w:abstractNum>
  <w:abstractNum w:abstractNumId="53">
    <w:nsid w:val="76272110"/>
    <w:multiLevelType w:val="hybridMultilevel"/>
    <w:lvl w:ilvl="0">
      <w:lvlJc w:val="left"/>
      <w:lvlText w:val="•"/>
      <w:numFmt w:val="bullet"/>
      <w:start w:val="1"/>
    </w:lvl>
  </w:abstractNum>
  <w:abstractNum w:abstractNumId="54">
    <w:nsid w:val="4C04A8AF"/>
    <w:multiLevelType w:val="hybridMultilevel"/>
    <w:lvl w:ilvl="0">
      <w:lvlJc w:val="left"/>
      <w:lvlText w:val="•"/>
      <w:numFmt w:val="bullet"/>
      <w:start w:val="1"/>
    </w:lvl>
  </w:abstractNum>
  <w:abstractNum w:abstractNumId="55">
    <w:nsid w:val="1716703B"/>
    <w:multiLevelType w:val="hybridMultilevel"/>
    <w:lvl w:ilvl="0">
      <w:lvlJc w:val="left"/>
      <w:lvlText w:val="(%1)"/>
      <w:numFmt w:val="lowerLetter"/>
      <w:start w:val="2"/>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
      <w:numFmt w:val="bullet"/>
      <w:start w:val="1"/>
    </w:lvl>
  </w:abstractNum>
  <w:abstractNum w:abstractNumId="59">
    <w:nsid w:val="68EBC550"/>
    <w:multiLevelType w:val="hybridMultilevel"/>
    <w:lvl w:ilvl="0">
      <w:lvlJc w:val="left"/>
      <w:lvlText w:val="•"/>
      <w:numFmt w:val="bullet"/>
      <w:start w:val="1"/>
    </w:lvl>
  </w:abstractNum>
  <w:abstractNum w:abstractNumId="60">
    <w:nsid w:val="2DF6D648"/>
    <w:multiLevelType w:val="hybridMultilevel"/>
    <w:lvl w:ilvl="0">
      <w:lvlJc w:val="left"/>
      <w:lvlText w:val="•"/>
      <w:numFmt w:val="bullet"/>
      <w:start w:val="1"/>
    </w:lvl>
  </w:abstractNum>
  <w:abstractNum w:abstractNumId="61">
    <w:nsid w:val="46B7D447"/>
    <w:multiLevelType w:val="hybridMultilevel"/>
    <w:lvl w:ilvl="0">
      <w:lvlJc w:val="left"/>
      <w:lvlText w:val="•"/>
      <w:numFmt w:val="bullet"/>
      <w:start w:val="1"/>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
      <w:numFmt w:val="bullet"/>
      <w:start w:val="1"/>
    </w:lvl>
  </w:abstractNum>
  <w:abstractNum w:abstractNumId="65">
    <w:nsid w:val="CC1016F"/>
    <w:multiLevelType w:val="hybridMultilevel"/>
    <w:lvl w:ilvl="0">
      <w:lvlJc w:val="left"/>
      <w:lvlText w:val="•"/>
      <w:numFmt w:val="bullet"/>
      <w:start w:val="1"/>
    </w:lvl>
  </w:abstractNum>
  <w:abstractNum w:abstractNumId="66">
    <w:nsid w:val="43F18422"/>
    <w:multiLevelType w:val="hybridMultilevel"/>
    <w:lvl w:ilvl="0">
      <w:lvlJc w:val="left"/>
      <w:lvlText w:val="•"/>
      <w:numFmt w:val="bullet"/>
      <w:start w:val="1"/>
    </w:lvl>
  </w:abstractNum>
  <w:abstractNum w:abstractNumId="67">
    <w:nsid w:val="60EF0119"/>
    <w:multiLevelType w:val="hybridMultilevel"/>
    <w:lvl w:ilvl="0">
      <w:lvlJc w:val="left"/>
      <w:lvlText w:val="•"/>
      <w:numFmt w:val="bullet"/>
      <w:start w:val="1"/>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
      <w:numFmt w:val="bullet"/>
      <w:start w:val="1"/>
    </w:lvl>
  </w:abstractNum>
  <w:abstractNum w:abstractNumId="70">
    <w:nsid w:val="49DA307D"/>
    <w:multiLevelType w:val="hybridMultilevel"/>
    <w:lvl w:ilvl="0">
      <w:lvlJc w:val="left"/>
      <w:lvlText w:val="•"/>
      <w:numFmt w:val="bullet"/>
      <w:start w:val="1"/>
    </w:lvl>
  </w:abstractNum>
  <w:abstractNum w:abstractNumId="71">
    <w:nsid w:val="7055A5F5"/>
    <w:multiLevelType w:val="hybridMultilevel"/>
    <w:lvl w:ilvl="0">
      <w:lvlJc w:val="left"/>
      <w:lvlText w:val="•"/>
      <w:numFmt w:val="bullet"/>
      <w:start w:val="1"/>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
      <w:numFmt w:val="bullet"/>
      <w:start w:val="1"/>
    </w:lvl>
  </w:abstractNum>
  <w:abstractNum w:abstractNumId="74">
    <w:nsid w:val="488AC1A"/>
    <w:multiLevelType w:val="hybridMultilevel"/>
    <w:lvl w:ilvl="0">
      <w:lvlJc w:val="left"/>
      <w:lvlText w:val="•"/>
      <w:numFmt w:val="bullet"/>
      <w:start w:val="1"/>
    </w:lvl>
  </w:abstractNum>
  <w:abstractNum w:abstractNumId="75">
    <w:nsid w:val="5FB8011C"/>
    <w:multiLevelType w:val="hybridMultilevel"/>
    <w:lvl w:ilvl="0">
      <w:lvlJc w:val="left"/>
      <w:lvlText w:val="•"/>
      <w:numFmt w:val="bullet"/>
      <w:start w:val="1"/>
    </w:lvl>
  </w:abstractNum>
  <w:abstractNum w:abstractNumId="76">
    <w:nsid w:val="6AA78F7F"/>
    <w:multiLevelType w:val="hybridMultilevel"/>
    <w:lvl w:ilvl="0">
      <w:lvlJc w:val="left"/>
      <w:lvlText w:val="•"/>
      <w:numFmt w:val="bullet"/>
      <w:start w:val="1"/>
    </w:lvl>
  </w:abstractNum>
  <w:abstractNum w:abstractNumId="77">
    <w:nsid w:val="7672B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8">
    <w:nsid w:val="6FC75AF8"/>
    <w:multiLevelType w:val="hybridMultilevel"/>
    <w:lvl w:ilvl="0">
      <w:lvlJc w:val="left"/>
      <w:lvlText w:val="(%1)"/>
      <w:numFmt w:val="decimal"/>
      <w:start w:val="2"/>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
      <w:numFmt w:val="bullet"/>
      <w:start w:val="1"/>
    </w:lvl>
  </w:abstractNum>
  <w:abstractNum w:abstractNumId="81">
    <w:nsid w:val="5F3534A4"/>
    <w:multiLevelType w:val="hybridMultilevel"/>
    <w:lvl w:ilvl="0">
      <w:lvlJc w:val="left"/>
      <w:lvlText w:val="•"/>
      <w:numFmt w:val="bullet"/>
      <w:start w:val="1"/>
    </w:lvl>
    <w:lvl w:ilvl="1">
      <w:lvlJc w:val="left"/>
      <w:lvlText w:val="%2)"/>
      <w:numFmt w:val="decimal"/>
      <w:start w:val="1"/>
    </w:lvl>
  </w:abstractNum>
  <w:abstractNum w:abstractNumId="82">
    <w:nsid w:val="73A1821B"/>
    <w:multiLevelType w:val="hybridMultilevel"/>
    <w:lvl w:ilvl="0">
      <w:lvlJc w:val="left"/>
      <w:lvlText w:val="(%1)"/>
      <w:numFmt w:val="decimal"/>
      <w:start w:val="1"/>
    </w:lvl>
  </w:abstractNum>
  <w:abstractNum w:abstractNumId="83">
    <w:nsid w:val="7DE67713"/>
    <w:multiLevelType w:val="hybridMultilevel"/>
    <w:lvl w:ilvl="0">
      <w:lvlJc w:val="left"/>
      <w:lvlText w:val="(%1)"/>
      <w:numFmt w:val="decimal"/>
      <w:start w:val="1"/>
    </w:lvl>
  </w:abstractNum>
  <w:abstractNum w:abstractNumId="84">
    <w:nsid w:val="555C55B5"/>
    <w:multiLevelType w:val="hybridMultilevel"/>
    <w:lvl w:ilvl="0">
      <w:lvlJc w:val="left"/>
      <w:lvlText w:val="•"/>
      <w:numFmt w:val="bullet"/>
      <w:start w:val="1"/>
    </w:lvl>
  </w:abstractNum>
  <w:abstractNum w:abstractNumId="85">
    <w:nsid w:val="3FA62ACA"/>
    <w:multiLevelType w:val="hybridMultilevel"/>
    <w:lvl w:ilvl="0">
      <w:lvlJc w:val="left"/>
      <w:lvlText w:val="(%1)"/>
      <w:numFmt w:val="decimal"/>
      <w:start w:val="1"/>
    </w:lvl>
  </w:abstractNum>
  <w:abstractNum w:abstractNumId="86">
    <w:nsid w:val="14FCE74E"/>
    <w:multiLevelType w:val="hybridMultilevel"/>
    <w:lvl w:ilvl="0">
      <w:lvlJc w:val="left"/>
      <w:lvlText w:val="(%1)"/>
      <w:numFmt w:val="decimal"/>
      <w:start w:val="1"/>
    </w:lvl>
  </w:abstractNum>
  <w:abstractNum w:abstractNumId="87">
    <w:nsid w:val="6A3DD3E8"/>
    <w:multiLevelType w:val="hybridMultilevel"/>
    <w:lvl w:ilvl="0">
      <w:lvlJc w:val="left"/>
      <w:lvlText w:val="(%1)"/>
      <w:numFmt w:val="decimal"/>
      <w:start w:val="1"/>
    </w:lvl>
  </w:abstractNum>
  <w:abstractNum w:abstractNumId="88">
    <w:nsid w:val="71C91298"/>
    <w:multiLevelType w:val="hybridMultilevel"/>
    <w:lvl w:ilvl="0">
      <w:lvlJc w:val="left"/>
      <w:lvlText w:val="%1."/>
      <w:numFmt w:val="decimal"/>
      <w:start w:val="1"/>
    </w:lvl>
  </w:abstractNum>
  <w:abstractNum w:abstractNumId="89">
    <w:nsid w:val="9DAF632"/>
    <w:multiLevelType w:val="hybridMultilevel"/>
    <w:lvl w:ilvl="0">
      <w:lvlJc w:val="left"/>
      <w:lvlText w:val="(%1)"/>
      <w:numFmt w:val="decimal"/>
      <w:start w:val="1"/>
    </w:lvl>
  </w:abstractNum>
  <w:abstractNum w:abstractNumId="90">
    <w:nsid w:val="53299938"/>
    <w:multiLevelType w:val="hybridMultilevel"/>
    <w:lvl w:ilvl="0">
      <w:lvlJc w:val="left"/>
      <w:lvlText w:val="(%1)"/>
      <w:numFmt w:val="decimal"/>
      <w:start w:val="1"/>
    </w:lvl>
  </w:abstractNum>
  <w:abstractNum w:abstractNumId="91">
    <w:nsid w:val="1FBFE8E0"/>
    <w:multiLevelType w:val="hybridMultilevel"/>
    <w:lvl w:ilvl="0">
      <w:lvlJc w:val="left"/>
      <w:lvlText w:val="(%1)"/>
      <w:numFmt w:val="decimal"/>
      <w:start w:val="1"/>
    </w:lvl>
  </w:abstractNum>
  <w:abstractNum w:abstractNumId="92">
    <w:nsid w:val="5092CA79"/>
    <w:multiLevelType w:val="hybridMultilevel"/>
    <w:lvl w:ilvl="0">
      <w:lvlJc w:val="left"/>
      <w:lvlText w:val="1"/>
      <w:numFmt w:val="bullet"/>
      <w:start w:val="1"/>
    </w:lvl>
  </w:abstractNum>
  <w:abstractNum w:abstractNumId="93">
    <w:nsid w:val="1D545C4D"/>
    <w:multiLevelType w:val="hybridMultilevel"/>
    <w:lvl w:ilvl="0">
      <w:lvlJc w:val="left"/>
      <w:lvlText w:val="2"/>
      <w:numFmt w:val="bullet"/>
      <w:start w:val="1"/>
    </w:lvl>
  </w:abstractNum>
  <w:abstractNum w:abstractNumId="94">
    <w:nsid w:val="59ADEA3D"/>
    <w:multiLevelType w:val="hybridMultilevel"/>
    <w:lvl w:ilvl="0">
      <w:lvlJc w:val="left"/>
      <w:lvlText w:val="(%1)"/>
      <w:numFmt w:val="lowerLetter"/>
      <w:start w:val="1"/>
    </w:lvl>
  </w:abstractNum>
  <w:abstractNum w:abstractNumId="95">
    <w:nsid w:val="288F1A34"/>
    <w:multiLevelType w:val="hybridMultilevel"/>
    <w:lvl w:ilvl="0">
      <w:lvlJc w:val="left"/>
      <w:lvlText w:val="(%1)"/>
      <w:numFmt w:val="lowerLetter"/>
      <w:start w:val="5"/>
    </w:lvl>
  </w:abstractNum>
  <w:abstractNum w:abstractNumId="96">
    <w:nsid w:val="2A155DBC"/>
    <w:multiLevelType w:val="hybridMultilevel"/>
    <w:lvl w:ilvl="0">
      <w:lvlJc w:val="left"/>
      <w:lvlText w:val="(%1)"/>
      <w:numFmt w:val="lowerLetter"/>
      <w:start w:val="7"/>
    </w:lvl>
  </w:abstractNum>
  <w:abstractNum w:abstractNumId="97">
    <w:nsid w:val="1D9F6E5F"/>
    <w:multiLevelType w:val="hybridMultilevel"/>
    <w:lvl w:ilvl="0">
      <w:lvlJc w:val="left"/>
      <w:lvlText w:val="(%1)"/>
      <w:numFmt w:val="lowerLetter"/>
      <w:start w:val="10"/>
    </w:lvl>
  </w:abstractNum>
  <w:abstractNum w:abstractNumId="98">
    <w:nsid w:val="97E1B4E"/>
    <w:multiLevelType w:val="hybridMultilevel"/>
    <w:lvl w:ilvl="0">
      <w:lvlJc w:val="left"/>
      <w:lvlText w:val="2"/>
      <w:numFmt w:val="bullet"/>
      <w:start w:val="1"/>
    </w:lvl>
  </w:abstractNum>
  <w:abstractNum w:abstractNumId="99">
    <w:nsid w:val="51088277"/>
    <w:multiLevelType w:val="hybridMultilevel"/>
    <w:lvl w:ilvl="0">
      <w:lvlJc w:val="left"/>
      <w:lvlText w:val="*"/>
      <w:numFmt w:val="bullet"/>
      <w:start w:val="1"/>
    </w:lvl>
  </w:abstractNum>
  <w:abstractNum w:abstractNumId="100">
    <w:nsid w:val="1CA0C5FA"/>
    <w:multiLevelType w:val="hybridMultilevel"/>
    <w:lvl w:ilvl="0">
      <w:lvlJc w:val="left"/>
      <w:lvlText w:val="(%1)"/>
      <w:numFmt w:val="decimal"/>
      <w:start w:val="1"/>
    </w:lvl>
  </w:abstractNum>
  <w:abstractNum w:abstractNumId="101">
    <w:nsid w:val="53584BCB"/>
    <w:multiLevelType w:val="hybridMultilevel"/>
    <w:lvl w:ilvl="0">
      <w:lvlJc w:val="left"/>
      <w:lvlText w:val="(%1)"/>
      <w:numFmt w:val="decimal"/>
      <w:start w:val="1"/>
    </w:lvl>
  </w:abstractNum>
  <w:abstractNum w:abstractNumId="102">
    <w:nsid w:val="415E286C"/>
    <w:multiLevelType w:val="hybridMultilevel"/>
    <w:lvl w:ilvl="0">
      <w:lvlJc w:val="left"/>
      <w:lvlText w:val="(%1)"/>
      <w:numFmt w:val="decimal"/>
      <w:start w:val="1"/>
    </w:lvl>
  </w:abstractNum>
  <w:abstractNum w:abstractNumId="103">
    <w:nsid w:val="7C58FD05"/>
    <w:multiLevelType w:val="hybridMultilevel"/>
    <w:lvl w:ilvl="0">
      <w:lvlJc w:val="left"/>
      <w:lvlText w:val="(%1)"/>
      <w:numFmt w:val="lowerRoman"/>
      <w:start w:val="1"/>
    </w:lvl>
  </w:abstractNum>
  <w:abstractNum w:abstractNumId="104">
    <w:nsid w:val="23D86AAC"/>
    <w:multiLevelType w:val="hybridMultilevel"/>
    <w:lvl w:ilvl="0">
      <w:lvlJc w:val="left"/>
      <w:lvlText w:val="(%1)"/>
      <w:numFmt w:val="lowerLetter"/>
      <w:start w:val="2"/>
    </w:lvl>
  </w:abstractNum>
  <w:abstractNum w:abstractNumId="105">
    <w:nsid w:val="45E6D486"/>
    <w:multiLevelType w:val="hybridMultilevel"/>
    <w:lvl w:ilvl="0">
      <w:lvlJc w:val="left"/>
      <w:lvlText w:val="(%1)"/>
      <w:numFmt w:val="lowerLetter"/>
      <w:start w:val="5"/>
    </w:lvl>
  </w:abstractNum>
  <w:abstractNum w:abstractNumId="106">
    <w:nsid w:val="5C10FE21"/>
    <w:multiLevelType w:val="hybridMultilevel"/>
    <w:lvl w:ilvl="0">
      <w:lvlJc w:val="left"/>
      <w:lvlText w:val="(%1)"/>
      <w:numFmt w:val="lowerRoman"/>
      <w:start w:val="1"/>
    </w:lvl>
  </w:abstractNum>
  <w:abstractNum w:abstractNumId="107">
    <w:nsid w:val="E7FFA2B"/>
    <w:multiLevelType w:val="hybridMultilevel"/>
    <w:lvl w:ilvl="0">
      <w:lvlJc w:val="left"/>
      <w:lvlText w:val="(%1)"/>
      <w:numFmt w:val="lowerLetter"/>
      <w:start w:val="7"/>
    </w:lvl>
  </w:abstractNum>
  <w:abstractNum w:abstractNumId="108">
    <w:nsid w:val="3C5991AA"/>
    <w:multiLevelType w:val="hybridMultilevel"/>
    <w:lvl w:ilvl="0">
      <w:lvlJc w:val="left"/>
      <w:lvlText w:val="%1"/>
      <w:numFmt w:val="decimal"/>
      <w:start w:val="1"/>
    </w:lvl>
    <w:lvl w:ilvl="1">
      <w:lvlJc w:val="left"/>
      <w:lvlText w:val="(%2)"/>
      <w:numFmt w:val="lowerLetter"/>
      <w:start w:val="2"/>
    </w:lvl>
  </w:abstractNum>
  <w:abstractNum w:abstractNumId="109">
    <w:nsid w:val="4BD8591A"/>
    <w:multiLevelType w:val="hybridMultilevel"/>
    <w:lvl w:ilvl="0">
      <w:lvlJc w:val="left"/>
      <w:lvlText w:val="(%1)"/>
      <w:numFmt w:val="decimal"/>
      <w:start w:val="6"/>
    </w:lvl>
    <w:lvl w:ilvl="1">
      <w:lvlJc w:val="left"/>
      <w:lvlText w:val="%2"/>
      <w:numFmt w:val="lowerLetter"/>
      <w:start w:val="1"/>
    </w:lvl>
  </w:abstractNum>
  <w:abstractNum w:abstractNumId="110">
    <w:nsid w:val="78DF6A55"/>
    <w:multiLevelType w:val="hybridMultilevel"/>
    <w:lvl w:ilvl="0">
      <w:lvlJc w:val="left"/>
      <w:lvlText w:val="%1."/>
      <w:numFmt w:val="decimal"/>
      <w:start w:val="2"/>
    </w:lvl>
  </w:abstractNum>
  <w:abstractNum w:abstractNumId="111">
    <w:nsid w:val="39B7AAA2"/>
    <w:multiLevelType w:val="hybridMultilevel"/>
    <w:lvl w:ilvl="0">
      <w:lvlJc w:val="left"/>
      <w:lvlText w:val="%1."/>
      <w:numFmt w:val="decimal"/>
      <w:start w:val="5"/>
    </w:lvl>
  </w:abstractNum>
  <w:abstractNum w:abstractNumId="112">
    <w:nsid w:val="2B0D8DBE"/>
    <w:multiLevelType w:val="hybridMultilevel"/>
    <w:lvl w:ilvl="0">
      <w:lvlJc w:val="left"/>
      <w:lvlText w:val="%1."/>
      <w:numFmt w:val="decimal"/>
      <w:start w:val="1"/>
    </w:lvl>
  </w:abstractNum>
  <w:abstractNum w:abstractNumId="113">
    <w:nsid w:val="6C80EC70"/>
    <w:multiLevelType w:val="hybridMultilevel"/>
    <w:lvl w:ilvl="0">
      <w:lvlJc w:val="left"/>
      <w:lvlText w:val="%1."/>
      <w:numFmt w:val="decimal"/>
      <w:start w:val="6"/>
    </w:lvl>
  </w:abstractNum>
  <w:abstractNum w:abstractNumId="114">
    <w:nsid w:val="379E21B5"/>
    <w:multiLevelType w:val="hybridMultilevel"/>
    <w:lvl w:ilvl="0">
      <w:lvlJc w:val="left"/>
      <w:lvlText w:val="%1."/>
      <w:numFmt w:val="decimal"/>
      <w:start w:val="1"/>
    </w:lvl>
  </w:abstractNum>
  <w:abstractNum w:abstractNumId="115">
    <w:nsid w:val="69E373"/>
    <w:multiLevelType w:val="hybridMultilevel"/>
    <w:lvl w:ilvl="0">
      <w:lvlJc w:val="left"/>
      <w:lvlText w:val="(%1)"/>
      <w:numFmt w:val="lowerRoman"/>
      <w:start w:val="1"/>
    </w:lvl>
  </w:abstractNum>
  <w:abstractNum w:abstractNumId="116">
    <w:nsid w:val="2C27173B"/>
    <w:multiLevelType w:val="hybridMultilevel"/>
    <w:lvl w:ilvl="0">
      <w:lvlJc w:val="left"/>
      <w:lvlText w:val="%1."/>
      <w:numFmt w:val="decimal"/>
      <w:start w:val="1"/>
    </w:lvl>
  </w:abstractNum>
  <w:abstractNum w:abstractNumId="117">
    <w:nsid w:val="4C9B0904"/>
    <w:multiLevelType w:val="hybridMultilevel"/>
    <w:lvl w:ilvl="0">
      <w:lvlJc w:val="left"/>
      <w:lvlText w:val="(%1)"/>
      <w:numFmt w:val="lowerRoman"/>
      <w:start w:val="1"/>
    </w:lvl>
  </w:abstractNum>
  <w:abstractNum w:abstractNumId="118">
    <w:nsid w:val="6AA7B75C"/>
    <w:multiLevelType w:val="hybridMultilevel"/>
    <w:lvl w:ilvl="0">
      <w:lvlJc w:val="left"/>
      <w:lvlText w:val="(%1)"/>
      <w:numFmt w:val="lowerRoman"/>
      <w:start w:val="6"/>
    </w:lvl>
  </w:abstractNum>
  <w:abstractNum w:abstractNumId="119">
    <w:nsid w:val="1DF029D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2019-12-08T20:56:57Z</dcterms:created>
  <dcterms:modified xsi:type="dcterms:W3CDTF">2019-12-08T20:56:57Z</dcterms:modified>
</cp:coreProperties>
</file>