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r>
      <w:tr>
        <w:trPr>
          <w:trHeight w:val="385"/>
        </w:trPr>
        <w:tc>
          <w:tcPr>
            <w:tcW w:w="3920" w:type="dxa"/>
            <w:vAlign w:val="bottom"/>
            <w:gridSpan w:val="2"/>
          </w:tcPr>
          <w:p>
            <w:pPr>
              <w:ind w:left="420"/>
              <w:spacing w:after="0"/>
              <w:rPr>
                <w:sz w:val="20"/>
                <w:szCs w:val="20"/>
                <w:color w:val="auto"/>
              </w:rPr>
            </w:pPr>
            <w:r>
              <w:rPr>
                <w:rFonts w:ascii="Arial" w:cs="Arial" w:eastAsia="Arial" w:hAnsi="Arial"/>
                <w:sz w:val="18"/>
                <w:szCs w:val="18"/>
                <w:b w:val="1"/>
                <w:bCs w:val="1"/>
                <w:color w:val="auto"/>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320" w:type="dxa"/>
        <w:tblCellMar>
          <w:top w:w="0" w:type="dxa"/>
          <w:left w:w="0" w:type="dxa"/>
          <w:bottom w:w="0" w:type="dxa"/>
          <w:right w:w="0" w:type="dxa"/>
        </w:tblCellMar>
      </w:tblP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rPr>
              <w:t>MARYLAND</w:t>
            </w:r>
          </w:p>
        </w:tc>
        <w:tc>
          <w:tcPr>
            <w:tcW w:w="212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6000" w:type="dxa"/>
            <w:vAlign w:val="bottom"/>
          </w:tcPr>
          <w:p>
            <w:pPr>
              <w:jc w:val="center"/>
              <w:ind w:right="291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7"/>
              </w:rPr>
              <w:t>New York, N.Y.</w:t>
            </w:r>
          </w:p>
        </w:tc>
        <w:tc>
          <w:tcPr>
            <w:tcW w:w="212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0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right="293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5"/>
        </w:trPr>
        <w:tc>
          <w:tcPr>
            <w:tcW w:w="600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left="253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ind w:right="6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6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5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ind w:left="12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4520" w:type="dxa"/>
            <w:vAlign w:val="bottom"/>
          </w:tcPr>
          <w:p>
            <w:pPr>
              <w:ind w:left="4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040" w:type="dxa"/>
            <w:vAlign w:val="bottom"/>
          </w:tcPr>
          <w:p>
            <w:pPr>
              <w:ind w:left="12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5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right="3120"/>
        <w:spacing w:after="0" w:line="24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May 10, 2018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5" w:lineRule="auto"/>
        <w:rPr>
          <w:sz w:val="20"/>
          <w:szCs w:val="20"/>
          <w:color w:val="auto"/>
        </w:rPr>
      </w:pPr>
      <w:r>
        <w:rPr>
          <w:rFonts w:ascii="Arial" w:cs="Arial" w:eastAsia="Arial" w:hAnsi="Arial"/>
          <w:sz w:val="14"/>
          <w:szCs w:val="14"/>
          <w:b w:val="1"/>
          <w:bCs w:val="1"/>
          <w:color w:val="auto"/>
        </w:rPr>
        <w:t>FORM 10-Q FOR THE QUARTER ENDED MARCH 31, 2018</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80" w:type="dxa"/>
            <w:vAlign w:val="bottom"/>
          </w:tcPr>
          <w:p>
            <w:pPr>
              <w:spacing w:after="0"/>
              <w:rPr>
                <w:sz w:val="16"/>
                <w:szCs w:val="16"/>
                <w:color w:val="auto"/>
              </w:rPr>
            </w:pPr>
          </w:p>
        </w:tc>
      </w:tr>
      <w:tr>
        <w:trPr>
          <w:trHeight w:val="297"/>
        </w:trPr>
        <w:tc>
          <w:tcPr>
            <w:tcW w:w="916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80" w:type="dxa"/>
            <w:vAlign w:val="bottom"/>
          </w:tcPr>
          <w:p>
            <w:pPr>
              <w:spacing w:after="0"/>
              <w:rPr>
                <w:sz w:val="24"/>
                <w:szCs w:val="24"/>
                <w:color w:val="auto"/>
              </w:rPr>
            </w:pP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2018 (unaudited) and September 30, 2017</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2018 and 2017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six months ended March 31, 2018 and 2017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2018 and 2017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2018 (unaudited) and September 30, 2017</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Report of Independent Registered Public Accounting Firm</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0">
              <w:r>
                <w:rPr>
                  <w:rFonts w:ascii="Arial" w:cs="Arial" w:eastAsia="Arial" w:hAnsi="Arial"/>
                  <w:sz w:val="14"/>
                  <w:szCs w:val="14"/>
                  <w:b w:val="1"/>
                  <w:bCs w:val="1"/>
                  <w:u w:val="single" w:color="auto"/>
                  <w:color w:val="0000EE"/>
                </w:rPr>
                <w:t>Item 3. Quantitative and Qualitative Disclosures About Market Risk</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0">
              <w:r>
                <w:rPr>
                  <w:rFonts w:ascii="Arial" w:cs="Arial" w:eastAsia="Arial" w:hAnsi="Arial"/>
                  <w:sz w:val="14"/>
                  <w:szCs w:val="14"/>
                  <w:b w:val="1"/>
                  <w:bCs w:val="1"/>
                  <w:u w:val="single" w:color="auto"/>
                  <w:color w:val="0000EE"/>
                </w:rPr>
                <w:t>Item 4. Controls and Procedures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97"/>
        </w:trPr>
        <w:tc>
          <w:tcPr>
            <w:tcW w:w="9160" w:type="dxa"/>
            <w:vAlign w:val="bottom"/>
          </w:tcPr>
          <w:p>
            <w:pPr>
              <w:ind w:left="43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PART II. OTHER INFORMATION</w:t>
              </w:r>
            </w:hyperlink>
          </w:p>
        </w:tc>
        <w:tc>
          <w:tcPr>
            <w:tcW w:w="2080" w:type="dxa"/>
            <w:vAlign w:val="bottom"/>
          </w:tcPr>
          <w:p>
            <w:pPr>
              <w:spacing w:after="0"/>
              <w:rPr>
                <w:sz w:val="24"/>
                <w:szCs w:val="24"/>
                <w:color w:val="auto"/>
              </w:rPr>
            </w:pP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1. Legal Proceedings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1A. Risk Factors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2. Unregistered Sales of Equity Securities and Use of Proceeds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3. Defaults Upon Senior Securities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4. Mine Safety Disclosures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5. Other Information</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Item 6. Exhibits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SIGNATURES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4"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Quarterly Report on Form 10-Q, or the Report, in compliance with Rule 13a-13 promulgated by the Securities and Exchange Commission, or the SEC, under the Securities Exchange Act of 1934, as amended, or the Exchange Act.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“Credit Facility” refers to our multi-currency, senior secured revolving credit facility, as amended and restated; “2023 Notes” refers to our 3.83% Series A notes due 2023;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2017</w:t>
            </w: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(cost—$752,786,913 and $665,514,821, respectively)</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756,508,349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666,973,639</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Controlled, affiliated investments (cost—$76,000,000 and $43,000,000, respectively)</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77,278,843</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43,525,143</w:t>
            </w:r>
          </w:p>
        </w:tc>
        <w:tc>
          <w:tcPr>
            <w:tcW w:w="120" w:type="dxa"/>
            <w:vAlign w:val="bottom"/>
            <w:tcBorders>
              <w:bottom w:val="single" w:sz="8" w:color="CCECFF"/>
            </w:tcBorders>
          </w:tcPr>
          <w:p>
            <w:pPr>
              <w:spacing w:after="0"/>
              <w:rPr>
                <w:sz w:val="14"/>
                <w:szCs w:val="14"/>
                <w:color w:val="auto"/>
              </w:rPr>
            </w:pPr>
          </w:p>
        </w:tc>
      </w:tr>
      <w:tr>
        <w:trPr>
          <w:trHeight w:val="156"/>
        </w:trPr>
        <w:tc>
          <w:tcPr>
            <w:tcW w:w="77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of investments (cost—$828,786,913 and $708,514,821, respectively)</w:t>
            </w: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833,787,192</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(cost—$48,414,852 and $18,847,673, respectively)</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48,407,896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18,910,756</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2,726,987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2,520,506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Receivable for investments sold</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1,062,342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14,185,850</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718,042</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1,229,505</w:t>
            </w:r>
          </w:p>
        </w:tc>
        <w:tc>
          <w:tcPr>
            <w:tcW w:w="120" w:type="dxa"/>
            <w:vAlign w:val="bottom"/>
            <w:shd w:val="clear" w:color="auto" w:fill="CCECFF"/>
          </w:tcPr>
          <w:p>
            <w:pPr>
              <w:spacing w:after="0"/>
              <w:rPr>
                <w:sz w:val="14"/>
                <w:szCs w:val="14"/>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886,702,459</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747,345,399</w:t>
            </w:r>
          </w:p>
        </w:tc>
        <w:tc>
          <w:tcPr>
            <w:tcW w:w="120" w:type="dxa"/>
            <w:vAlign w:val="bottom"/>
            <w:tcBorders>
              <w:bottom w:val="single" w:sz="8" w:color="CCECFF"/>
            </w:tcBorders>
          </w:tcPr>
          <w:p>
            <w:pPr>
              <w:spacing w:after="0"/>
              <w:rPr>
                <w:sz w:val="13"/>
                <w:szCs w:val="13"/>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Distributions payable</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3,085,607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9,826,176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21,730,512</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Credit Facility payable (cost—$190,173,311 and $253,783,301, respectively) (See Notes 5 and 10)</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191,522,414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256,858,457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2023 Notes payable (cost—$138,579,858 and zero, respectively) (See Notes 5 and 10)</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131,872,593</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2,610,482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693,787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Base management fee payable (See Note 3)</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1,929,703</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1,784,806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Performance-based incentive fee payable (See Note 3)</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2,947,562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5,061,217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350,212</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224,739</w:t>
            </w:r>
          </w:p>
        </w:tc>
        <w:tc>
          <w:tcPr>
            <w:tcW w:w="120" w:type="dxa"/>
            <w:vAlign w:val="bottom"/>
            <w:shd w:val="clear" w:color="auto" w:fill="CCECFF"/>
          </w:tcPr>
          <w:p>
            <w:pPr>
              <w:spacing w:after="0"/>
              <w:rPr>
                <w:sz w:val="14"/>
                <w:szCs w:val="14"/>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344,742,489</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289,439,125</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38,772,074 and 32,480,074 shares issued and outstanding, respectively</w:t>
            </w:r>
          </w:p>
        </w:tc>
        <w:tc>
          <w:tcPr>
            <w:tcW w:w="20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7"/>
        </w:trPr>
        <w:tc>
          <w:tcPr>
            <w:tcW w:w="77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32,480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539,462,336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451,448,872</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(Distributions in excess of) undistributed net investment income</w:t>
            </w:r>
          </w:p>
        </w:tc>
        <w:tc>
          <w:tcPr>
            <w:tcW w:w="200" w:type="dxa"/>
            <w:vAlign w:val="bottom"/>
            <w:shd w:val="clear" w:color="auto" w:fill="CCECFF"/>
          </w:tcPr>
          <w:p>
            <w:pPr>
              <w:spacing w:after="0"/>
              <w:rPr>
                <w:sz w:val="14"/>
                <w:szCs w:val="14"/>
                <w:color w:val="auto"/>
              </w:rPr>
            </w:pPr>
          </w:p>
        </w:tc>
        <w:tc>
          <w:tcPr>
            <w:tcW w:w="16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(10,850,935)</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3,163,645</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Accumulated net realized gain on investments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2,965,895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4,289,389</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appreciation on investments</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4,985,740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2,047,044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unrealized depreciation (appreciation) on debt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5,358,162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(3,075,156)</w:t>
            </w: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541,959,970</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457,906,274</w:t>
            </w:r>
          </w:p>
        </w:tc>
        <w:tc>
          <w:tcPr>
            <w:tcW w:w="120" w:type="dxa"/>
            <w:vAlign w:val="bottom"/>
            <w:tcBorders>
              <w:top w:val="single" w:sz="8" w:color="CCECFF"/>
            </w:tcBorders>
            <w:shd w:val="clear" w:color="auto" w:fill="CCECFF"/>
          </w:tcPr>
          <w:p>
            <w:pPr>
              <w:spacing w:after="0"/>
              <w:rPr>
                <w:sz w:val="13"/>
                <w:szCs w:val="13"/>
                <w:color w:val="auto"/>
              </w:rPr>
            </w:pPr>
          </w:p>
        </w:tc>
      </w:tr>
      <w:tr>
        <w:trPr>
          <w:trHeight w:val="19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886,702,459</w:t>
            </w:r>
          </w:p>
        </w:tc>
        <w:tc>
          <w:tcPr>
            <w:tcW w:w="2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747,345,399</w:t>
            </w:r>
          </w:p>
        </w:tc>
        <w:tc>
          <w:tcPr>
            <w:tcW w:w="120" w:type="dxa"/>
            <w:vAlign w:val="bottom"/>
            <w:tcBorders>
              <w:bottom w:val="single" w:sz="8" w:color="CCECFF"/>
            </w:tcBorders>
          </w:tcPr>
          <w:p>
            <w:pPr>
              <w:spacing w:after="0"/>
              <w:rPr>
                <w:sz w:val="17"/>
                <w:szCs w:val="17"/>
                <w:color w:val="auto"/>
              </w:rPr>
            </w:pPr>
          </w:p>
        </w:tc>
      </w:tr>
      <w:tr>
        <w:trPr>
          <w:trHeight w:val="143"/>
        </w:trPr>
        <w:tc>
          <w:tcPr>
            <w:tcW w:w="77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13.98</w:t>
            </w:r>
          </w:p>
        </w:tc>
        <w:tc>
          <w:tcPr>
            <w:tcW w:w="2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14.10</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Six Months Ended March 31,</w:t>
            </w:r>
          </w:p>
        </w:tc>
        <w:tc>
          <w:tcPr>
            <w:tcW w:w="0" w:type="dxa"/>
            <w:vAlign w:val="bottom"/>
          </w:tcPr>
          <w:p>
            <w:pPr>
              <w:spacing w:after="0"/>
              <w:rPr>
                <w:sz w:val="1"/>
                <w:szCs w:val="1"/>
                <w:color w:val="auto"/>
              </w:rPr>
            </w:pPr>
          </w:p>
        </w:tc>
      </w:tr>
      <w:tr>
        <w:trPr>
          <w:trHeight w:val="156"/>
        </w:trPr>
        <w:tc>
          <w:tcPr>
            <w:tcW w:w="65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CFF"/>
            </w:tcBorders>
          </w:tcPr>
          <w:p>
            <w:pPr>
              <w:spacing w:after="0"/>
              <w:rPr>
                <w:sz w:val="13"/>
                <w:szCs w:val="13"/>
                <w:color w:val="auto"/>
              </w:rPr>
            </w:pPr>
          </w:p>
        </w:tc>
        <w:tc>
          <w:tcPr>
            <w:tcW w:w="80" w:type="dxa"/>
            <w:vAlign w:val="bottom"/>
            <w:tcBorders>
              <w:top w:val="single" w:sz="8" w:color="auto"/>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14,639,839</w:t>
            </w:r>
          </w:p>
        </w:tc>
        <w:tc>
          <w:tcPr>
            <w:tcW w:w="14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12,917,094</w:t>
            </w:r>
          </w:p>
        </w:tc>
        <w:tc>
          <w:tcPr>
            <w:tcW w:w="140" w:type="dxa"/>
            <w:vAlign w:val="bottom"/>
            <w:shd w:val="clear" w:color="auto" w:fill="CCECFF"/>
          </w:tcPr>
          <w:p>
            <w:pPr>
              <w:spacing w:after="0"/>
              <w:rPr>
                <w:sz w:val="14"/>
                <w:szCs w:val="14"/>
                <w:color w:val="auto"/>
              </w:rPr>
            </w:pPr>
          </w:p>
        </w:tc>
        <w:tc>
          <w:tcPr>
            <w:tcW w:w="2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28,507,259</w:t>
            </w:r>
          </w:p>
        </w:tc>
        <w:tc>
          <w:tcPr>
            <w:tcW w:w="240" w:type="dxa"/>
            <w:vAlign w:val="bottom"/>
            <w:shd w:val="clear" w:color="auto" w:fill="CCECFF"/>
          </w:tcPr>
          <w:p>
            <w:pPr>
              <w:spacing w:after="0"/>
              <w:rPr>
                <w:sz w:val="14"/>
                <w:szCs w:val="14"/>
                <w:color w:val="auto"/>
              </w:rPr>
            </w:pPr>
          </w:p>
        </w:tc>
        <w:tc>
          <w:tcPr>
            <w:tcW w:w="180" w:type="dxa"/>
            <w:vAlign w:val="bottom"/>
            <w:gridSpan w:val="2"/>
            <w:shd w:val="clear" w:color="auto" w:fill="CCECFF"/>
          </w:tcPr>
          <w:p>
            <w:pPr>
              <w:jc w:val="right"/>
              <w:ind w:right="94"/>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24,868,929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262,878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303,804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696,058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983,237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898,103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1,433,863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Dividend</w:t>
            </w: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700,000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16,500,820</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13,220,898</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31,337,180</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25,852,166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1,929,703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1,731,417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3,751,766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3,327,144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375,101</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453,666</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523,111</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1,923,035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3,477,374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1,998,347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6,095,682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3,799,072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561,250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1,122,500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618,750</w:t>
            </w:r>
          </w:p>
        </w:tc>
        <w:tc>
          <w:tcPr>
            <w:tcW w:w="1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357,500</w:t>
            </w:r>
          </w:p>
        </w:tc>
        <w:tc>
          <w:tcPr>
            <w:tcW w:w="1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1,237,501</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6,900,928</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5,102,180</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12,608,060</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10,886,751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10)</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10,869,098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10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200,000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90,000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115,000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7,100,928</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5,192,180</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23,877,158</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11,001,751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9,399,892</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8,028,718</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7,460,022</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7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14,850,415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2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(loss) on investments</w:t>
            </w: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1,463,057</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1,960,610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(1,323,494)</w:t>
            </w: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2,510,011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0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(1,013,160)</w:t>
            </w: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(2,744,991)</w:t>
            </w: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2,184,996</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(198,966)</w:t>
            </w: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435,258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753,700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depreciation (appreciation) (See Notes 5 and 10)</w:t>
            </w: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5,304,713</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38,808</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8,433,318</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(1,029,406)</w:t>
            </w:r>
          </w:p>
        </w:tc>
        <w:tc>
          <w:tcPr>
            <w:tcW w:w="0" w:type="dxa"/>
            <w:vAlign w:val="bottom"/>
          </w:tcPr>
          <w:p>
            <w:pPr>
              <w:spacing w:after="0"/>
              <w:rPr>
                <w:sz w:val="1"/>
                <w:szCs w:val="1"/>
                <w:color w:val="auto"/>
              </w:rPr>
            </w:pPr>
          </w:p>
        </w:tc>
      </w:tr>
      <w:tr>
        <w:trPr>
          <w:trHeight w:val="155"/>
        </w:trPr>
        <w:tc>
          <w:tcPr>
            <w:tcW w:w="65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4,726,811</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(2,706,183)</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11,372,014</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(1,228,372)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6,189,868</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(745,573)</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10,048,520</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7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1,281,639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5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15,589,760</w:t>
            </w:r>
          </w:p>
        </w:tc>
        <w:tc>
          <w:tcPr>
            <w:tcW w:w="14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7,283,145</w:t>
            </w:r>
          </w:p>
        </w:tc>
        <w:tc>
          <w:tcPr>
            <w:tcW w:w="14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17,508,542</w:t>
            </w:r>
          </w:p>
        </w:tc>
        <w:tc>
          <w:tcPr>
            <w:tcW w:w="24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16,132,054</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5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0.40</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0.25</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0.46</w:t>
            </w:r>
          </w:p>
        </w:tc>
        <w:tc>
          <w:tcPr>
            <w:tcW w:w="24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94"/>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0.20</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7,460,022</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14,850,415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gain on investments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(1,323,494)</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2,510,011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2,938,696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(198,966)</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8,433,318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(1,029,406)</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17,508,542</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16,132,054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(21,474,602)</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(16,328,642)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Public offering (See Note 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80,986,450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Offering costs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(1,012,044)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(470,000)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88,019,756</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80,516,450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84,053,696</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80,319,862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457,906,274</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375,906,828</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541,959,970</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456,226,690</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(Distribution in excess of) undistributed net investment income, end of period</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(10,850,935)</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3,081,419</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Shares issued from public offering</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6,292,000</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17,508,542</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16,132,054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(2,938,696)</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198,966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(8,433,318)</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1,029,406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loss (gain)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1,323,494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(2,510,011)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(793,775)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(914,309)</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(315,338,526)</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(271,128,128)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(327,152)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(199,470)</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195,684,288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141,939,924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receivable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(206,481)</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(736,514)</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receivable for investments sold</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13,123,508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(1,421,888)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prepaid expenses and other assets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511,463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134,576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payable for investments purchased</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(11,904,336)</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1,809,030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payable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1,916,695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158,057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base management fee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144,897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272,793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performance-based incentive fee payable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(2,113,655)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(1,252,326)</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accrued other expenses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125,473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(202,977)</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(111,717,579)</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(116,690,817)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Public offering</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80,986,450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Offering costs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(1,012,044)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(470,000)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(20,876,862)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(15,782,392)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2023 Notes issuance (See Notes 5 and 10)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138,579,858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61,485,010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196,502,000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(125,095,000)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(129,500,000)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142,112,762</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131,736,058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30,395,183</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15,045,241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(898,043)</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17,839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18,910,756</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28,910,973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48,407,896</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43,974,053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15,048,085</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3,641,015</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377,618</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53,200,000</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709,685</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ind w:right="10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Companies—139.6% </w:t>
            </w:r>
            <w:r>
              <w:rPr>
                <w:rFonts w:ascii="Arial" w:cs="Arial" w:eastAsia="Arial" w:hAnsi="Arial"/>
                <w:sz w:val="9"/>
                <w:szCs w:val="9"/>
                <w:b w:val="1"/>
                <w:bCs w:val="1"/>
                <w:color w:val="auto"/>
                <w:w w:val="90"/>
              </w:rPr>
              <w:t>(3), (4)</w:t>
            </w: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Debt—130.1%</w:t>
            </w:r>
          </w:p>
        </w:tc>
        <w:tc>
          <w:tcPr>
            <w:tcW w:w="1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15,988,750</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15,817,878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ind w:lef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15,988,750</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Alera Group Intermediate Holdings,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7.16%</w:t>
            </w: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12,545,263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12,470,434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12,545,263</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Alera Group Intermediate Holdings, Inc. (Revolver) </w:t>
            </w:r>
            <w:r>
              <w:rPr>
                <w:rFonts w:ascii="Arial" w:cs="Arial" w:eastAsia="Arial" w:hAnsi="Arial"/>
                <w:sz w:val="9"/>
                <w:szCs w:val="9"/>
                <w:color w:val="auto"/>
              </w:rPr>
              <w:t>(8), (9)</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1,771,962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Alera Group Intermediate Holdings, Inc.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3,884,016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(8)</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08/08/2022</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9.31%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1,694,346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1,694,346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1,702,818</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ind w:right="12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7"/>
              </w:rPr>
              <w:t>Transportation: Consumer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6.94%</w:t>
            </w:r>
          </w:p>
        </w:tc>
        <w:tc>
          <w:tcPr>
            <w:tcW w:w="740" w:type="dxa"/>
            <w:vAlign w:val="bottom"/>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5,902,594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5,835,968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5,814,056</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Scaffold</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4,625,000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4,573,553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4,578,750</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American Teleconferencing Services, Ltd.</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8.29%</w:t>
            </w:r>
          </w:p>
        </w:tc>
        <w:tc>
          <w:tcPr>
            <w:tcW w:w="74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10,396,978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10,252,904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10,350,191</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Anesthesia Consulting &amp; Management, LP</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8.24%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L+625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3,586,667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3,557,811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3,505,967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04/22/2022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8.23%</w:t>
            </w:r>
          </w:p>
        </w:tc>
        <w:tc>
          <w:tcPr>
            <w:tcW w:w="74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4,819,553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4,749,960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4,843,651</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06/14/2021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14,741,911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14,594,677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14,594,492</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BEI Precision Systems &amp; Space Company,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04/28/2023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7.81%</w:t>
            </w:r>
          </w:p>
        </w:tc>
        <w:tc>
          <w:tcPr>
            <w:tcW w:w="740" w:type="dxa"/>
            <w:vAlign w:val="bottom"/>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11,910,000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11,803,218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11,790,900</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15,563,421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15,235,192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15,563,421</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2,311,784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6"/>
              </w:rPr>
              <w:t>11/14/2023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10,972,500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10,869,193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10,985,573</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Camin Cargo Control,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06/30/2021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7"/>
              </w:rPr>
              <w:t>Transportation: Cargo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6.63%</w:t>
            </w:r>
          </w:p>
        </w:tc>
        <w:tc>
          <w:tcPr>
            <w:tcW w:w="740" w:type="dxa"/>
            <w:vAlign w:val="bottom"/>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2,431,250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2,416,865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2,334,000</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7.63%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3,894,033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3,902,552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3,913,504</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CD&amp;R TZ Purchaser,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8.30%</w:t>
            </w: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12,312,500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12,052,563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12,035,469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Chicken Soup for the Soul Publishing,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01/08/2019</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91"/>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7.92%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4,564,286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4,554,375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4,244,786</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Clarus Glassboards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03/16/2023</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90"/>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7.13%</w:t>
            </w:r>
          </w:p>
        </w:tc>
        <w:tc>
          <w:tcPr>
            <w:tcW w:w="740" w:type="dxa"/>
            <w:vAlign w:val="bottom"/>
          </w:tcPr>
          <w:p>
            <w:pPr>
              <w:jc w:val="right"/>
              <w:spacing w:after="0"/>
              <w:rPr>
                <w:sz w:val="20"/>
                <w:szCs w:val="20"/>
                <w:color w:val="auto"/>
              </w:rPr>
            </w:pPr>
            <w:r>
              <w:rPr>
                <w:rFonts w:ascii="Arial" w:cs="Arial" w:eastAsia="Arial" w:hAnsi="Arial"/>
                <w:sz w:val="12"/>
                <w:szCs w:val="12"/>
                <w:color w:val="auto"/>
              </w:rPr>
              <w:t>1M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3,815,000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3,781,490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3,815,000</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03/31/2023</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7.30%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19,365,736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19,322,714</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18,584,580</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Credit Infonet, Inc. </w:t>
            </w:r>
            <w:r>
              <w:rPr>
                <w:rFonts w:ascii="Arial" w:cs="Arial" w:eastAsia="Arial" w:hAnsi="Arial"/>
                <w:sz w:val="9"/>
                <w:szCs w:val="9"/>
                <w:color w:val="auto"/>
              </w:rPr>
              <w:t>(8)</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03/13/2023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8.09%</w:t>
            </w: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28,668,067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28,453,915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28,453,057</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Credit Infonet, Inc. (Revolver) </w:t>
            </w:r>
            <w:r>
              <w:rPr>
                <w:rFonts w:ascii="Arial" w:cs="Arial" w:eastAsia="Arial" w:hAnsi="Arial"/>
                <w:sz w:val="9"/>
                <w:szCs w:val="9"/>
                <w:color w:val="auto"/>
              </w:rPr>
              <w:t>(8), (9)</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03/13/2023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DBI Holding,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7.13%</w:t>
            </w:r>
          </w:p>
        </w:tc>
        <w:tc>
          <w:tcPr>
            <w:tcW w:w="740" w:type="dxa"/>
            <w:vAlign w:val="bottom"/>
          </w:tcPr>
          <w:p>
            <w:pPr>
              <w:jc w:val="right"/>
              <w:spacing w:after="0"/>
              <w:rPr>
                <w:sz w:val="20"/>
                <w:szCs w:val="20"/>
                <w:color w:val="auto"/>
              </w:rPr>
            </w:pPr>
            <w:r>
              <w:rPr>
                <w:rFonts w:ascii="Arial" w:cs="Arial" w:eastAsia="Arial" w:hAnsi="Arial"/>
                <w:sz w:val="12"/>
                <w:szCs w:val="12"/>
                <w:color w:val="auto"/>
              </w:rPr>
              <w:t>1M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14,228,082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14,112,152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14,228,082</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DBI Holding, LLC (Revolver) </w:t>
            </w:r>
            <w:r>
              <w:rPr>
                <w:rFonts w:ascii="Arial" w:cs="Arial" w:eastAsia="Arial" w:hAnsi="Arial"/>
                <w:sz w:val="9"/>
                <w:szCs w:val="9"/>
                <w:color w:val="auto"/>
              </w:rPr>
              <w:t>(8), (9)</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3,246,944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Deva Holdings,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10/31/2023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8.14%</w:t>
            </w:r>
          </w:p>
        </w:tc>
        <w:tc>
          <w:tcPr>
            <w:tcW w:w="74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27,431,250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26,911,319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27,156,938</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(8), (9)</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Digital Room Holdings, Inc. </w:t>
            </w:r>
            <w:r>
              <w:rPr>
                <w:rFonts w:ascii="Arial" w:cs="Arial" w:eastAsia="Arial" w:hAnsi="Arial"/>
                <w:sz w:val="9"/>
                <w:szCs w:val="9"/>
                <w:color w:val="auto"/>
              </w:rPr>
              <w:t>(8)</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12/29/2023</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Media: Advertising, Printing and Publishing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6.88%</w:t>
            </w:r>
          </w:p>
        </w:tc>
        <w:tc>
          <w:tcPr>
            <w:tcW w:w="740" w:type="dxa"/>
            <w:vAlign w:val="bottom"/>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16,458,750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16,297,045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16,335,309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03/29/2022</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14,558,824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14,304,409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14,304,044</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03/29/2022</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2,941,176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1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10,353,130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10,327,979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10,353,130</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East Valley Tourist Development Authority</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Hotel, Gaming and Leisure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10.30%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16,658,500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16,463,812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16,908,378</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Education Networks of America,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9.30%</w:t>
            </w:r>
          </w:p>
        </w:tc>
        <w:tc>
          <w:tcPr>
            <w:tcW w:w="74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12,198,851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12,085,984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12,198,851</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608,696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608,696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608,696</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1,565,217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90"/>
              </w:rPr>
              <w:t>Media: Diversified and Production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9.05%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9,543,702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9,472,029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9,543,702</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GCOM Software LLC </w:t>
            </w:r>
            <w:r>
              <w:rPr>
                <w:rFonts w:ascii="Arial" w:cs="Arial" w:eastAsia="Arial" w:hAnsi="Arial"/>
                <w:sz w:val="9"/>
                <w:szCs w:val="9"/>
                <w:color w:val="auto"/>
              </w:rPr>
              <w:t>(8)</w:t>
            </w:r>
          </w:p>
        </w:tc>
        <w:tc>
          <w:tcPr>
            <w:tcW w:w="1180" w:type="dxa"/>
            <w:vAlign w:val="bottom"/>
          </w:tcPr>
          <w:p>
            <w:pPr>
              <w:jc w:val="center"/>
              <w:ind w:right="12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9.26%</w:t>
            </w:r>
          </w:p>
        </w:tc>
        <w:tc>
          <w:tcPr>
            <w:tcW w:w="740" w:type="dxa"/>
            <w:vAlign w:val="bottom"/>
          </w:tcPr>
          <w:p>
            <w:pPr>
              <w:jc w:val="right"/>
              <w:spacing w:after="0"/>
              <w:rPr>
                <w:sz w:val="20"/>
                <w:szCs w:val="20"/>
                <w:color w:val="auto"/>
              </w:rPr>
            </w:pPr>
            <w:r>
              <w:rPr>
                <w:rFonts w:ascii="Arial" w:cs="Arial" w:eastAsia="Arial" w:hAnsi="Arial"/>
                <w:sz w:val="12"/>
                <w:szCs w:val="12"/>
                <w:color w:val="auto"/>
              </w:rPr>
              <w:t>1M L+750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14,933,333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14,582,371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14,858,666</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(8), (9)</w:t>
            </w:r>
          </w:p>
        </w:tc>
        <w:tc>
          <w:tcPr>
            <w:tcW w:w="118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2,666,667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06/09/2023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10.30%</w:t>
            </w:r>
          </w:p>
        </w:tc>
        <w:tc>
          <w:tcPr>
            <w:tcW w:w="74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10,952,132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10,755,101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10,952,132</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05/01/2019</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6,323,883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6,304,511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6,308,074</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10/12/2021</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740" w:type="dxa"/>
            <w:vAlign w:val="bottom"/>
          </w:tcPr>
          <w:p>
            <w:pPr>
              <w:jc w:val="right"/>
              <w:spacing w:after="0"/>
              <w:rPr>
                <w:sz w:val="20"/>
                <w:szCs w:val="20"/>
                <w:color w:val="auto"/>
              </w:rPr>
            </w:pPr>
            <w:r>
              <w:rPr>
                <w:rFonts w:ascii="Arial" w:cs="Arial" w:eastAsia="Arial" w:hAnsi="Arial"/>
                <w:sz w:val="12"/>
                <w:szCs w:val="12"/>
                <w:color w:val="auto"/>
              </w:rPr>
              <w:t>3M E+800</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6,972,954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7,247,688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8,577,033</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L+700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6,659,995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6,659,995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6,659,995</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3,234,375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(6), (10), (11)</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12/12/2023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3,648,649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3,717,498</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9.06%</w:t>
            </w:r>
          </w:p>
        </w:tc>
        <w:tc>
          <w:tcPr>
            <w:tcW w:w="74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3,356,627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3,315,684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3,356,627</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530,973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Intralinks, Inc.</w:t>
            </w:r>
          </w:p>
        </w:tc>
        <w:tc>
          <w:tcPr>
            <w:tcW w:w="1180" w:type="dxa"/>
            <w:vAlign w:val="bottom"/>
          </w:tcPr>
          <w:p>
            <w:pPr>
              <w:jc w:val="center"/>
              <w:ind w:right="122"/>
              <w:spacing w:after="0"/>
              <w:rPr>
                <w:sz w:val="20"/>
                <w:szCs w:val="20"/>
                <w:color w:val="auto"/>
              </w:rPr>
            </w:pPr>
            <w:r>
              <w:rPr>
                <w:rFonts w:ascii="Arial" w:cs="Arial" w:eastAsia="Arial" w:hAnsi="Arial"/>
                <w:sz w:val="12"/>
                <w:szCs w:val="12"/>
                <w:color w:val="auto"/>
                <w:w w:val="86"/>
              </w:rPr>
              <w:t>11/14/2024</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5.88%</w:t>
            </w:r>
          </w:p>
        </w:tc>
        <w:tc>
          <w:tcPr>
            <w:tcW w:w="740" w:type="dxa"/>
            <w:vAlign w:val="bottom"/>
          </w:tcPr>
          <w:p>
            <w:pPr>
              <w:jc w:val="right"/>
              <w:spacing w:after="0"/>
              <w:rPr>
                <w:sz w:val="20"/>
                <w:szCs w:val="20"/>
                <w:color w:val="auto"/>
              </w:rPr>
            </w:pPr>
            <w:r>
              <w:rPr>
                <w:rFonts w:ascii="Arial" w:cs="Arial" w:eastAsia="Arial" w:hAnsi="Arial"/>
                <w:sz w:val="12"/>
                <w:szCs w:val="12"/>
                <w:color w:val="auto"/>
              </w:rPr>
              <w:t>1M L+400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14,962,500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14,890,296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14,999,906</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Inventus Power, Inc.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4,706,737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4,686,834</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4,353,732</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Jackson Hewitt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07/30/2020</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Consumer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8.77%</w:t>
            </w:r>
          </w:p>
        </w:tc>
        <w:tc>
          <w:tcPr>
            <w:tcW w:w="74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4,653,450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4,605,352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4,618,549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02/19/2021</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10.65%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4,002,471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3,936,606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4,002,471</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KHC Holdings,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8.30%</w:t>
            </w: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12,124,771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11,973,984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12,124,771</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1,209,677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Kingpin Intermediate Holdings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07/03/2024</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5.25%</w:t>
            </w:r>
          </w:p>
        </w:tc>
        <w:tc>
          <w:tcPr>
            <w:tcW w:w="740" w:type="dxa"/>
            <w:vAlign w:val="bottom"/>
          </w:tcPr>
          <w:p>
            <w:pPr>
              <w:jc w:val="right"/>
              <w:spacing w:after="0"/>
              <w:rPr>
                <w:sz w:val="20"/>
                <w:szCs w:val="20"/>
                <w:color w:val="auto"/>
              </w:rPr>
            </w:pPr>
            <w:r>
              <w:rPr>
                <w:rFonts w:ascii="Arial" w:cs="Arial" w:eastAsia="Arial" w:hAnsi="Arial"/>
                <w:sz w:val="12"/>
                <w:szCs w:val="12"/>
                <w:color w:val="auto"/>
              </w:rPr>
              <w:t>3M L+425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1,246,859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1,246,859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1,259,328</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Hotel, Gaming and Leisure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11.80%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10,149,000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10,001,087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10,047,510</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(6), (10), (11)</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09/12/2022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7.72%</w:t>
            </w:r>
          </w:p>
        </w:tc>
        <w:tc>
          <w:tcPr>
            <w:tcW w:w="74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A $</w:t>
            </w:r>
          </w:p>
        </w:tc>
        <w:tc>
          <w:tcPr>
            <w:tcW w:w="580" w:type="dxa"/>
            <w:vAlign w:val="bottom"/>
          </w:tcPr>
          <w:p>
            <w:pPr>
              <w:jc w:val="right"/>
              <w:spacing w:after="0"/>
              <w:rPr>
                <w:sz w:val="20"/>
                <w:szCs w:val="20"/>
                <w:color w:val="auto"/>
              </w:rPr>
            </w:pPr>
            <w:r>
              <w:rPr>
                <w:rFonts w:ascii="Arial" w:cs="Arial" w:eastAsia="Arial" w:hAnsi="Arial"/>
                <w:sz w:val="12"/>
                <w:szCs w:val="12"/>
                <w:color w:val="auto"/>
              </w:rPr>
              <w:t>9,950,000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7,701,123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7,562,702</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18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4,954,937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4,941,343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4,360,345</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Lombart Brothers,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9.06%</w:t>
            </w:r>
          </w:p>
        </w:tc>
        <w:tc>
          <w:tcPr>
            <w:tcW w:w="74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6,213,097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6,145,949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6,213,097</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10.25%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353,982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353,982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353,982</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884,956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08/19/2021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4,238,073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4,208,419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4,195,692</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05/01/2023</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7.69%</w:t>
            </w:r>
          </w:p>
        </w:tc>
        <w:tc>
          <w:tcPr>
            <w:tcW w:w="74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14,228,125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14,103,605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14,133,223</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(8)</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12/08/2023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7.71%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5,486,250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5,407,209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5,433,971</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12/08/2023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2,500,000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(23,823)</w:t>
            </w: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Borders>
              <w:bottom w:val="single" w:sz="8" w:color="CCECFF"/>
            </w:tcBorders>
          </w:tcPr>
          <w:p>
            <w:pPr>
              <w:spacing w:after="0"/>
              <w:rPr>
                <w:sz w:val="12"/>
                <w:szCs w:val="12"/>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Marketplace Events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1"/>
              </w:rPr>
              <w:t>Media: Diversified and Production</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3,360,341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3,324,112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3,360,341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 Diversified and Production</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6.87%</w:t>
            </w:r>
          </w:p>
        </w:tc>
        <w:tc>
          <w:tcPr>
            <w:tcW w:w="74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C$  16,984,030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11,939,134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13,182,257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1"/>
              </w:rPr>
              <w:t>Media: Diversified and Production</w:t>
            </w: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1,703,163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09/28/2021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(3,702)</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Montreign Operating Company,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01/24/2023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Hotel, Gaming and Leisure</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10.13%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26,294,872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26,690,076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26,360,609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Morphe,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02/10/2023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Consumer Goods: Non-Durable</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8.30%</w:t>
            </w: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25,721,979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25,263,169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25,593,369</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New Trident HoldCorp, Inc.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07/31/2019</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8,667,647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8,643,355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7,584,191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Output Services Group, Inc.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03/28/2024</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5.25%</w:t>
            </w:r>
          </w:p>
        </w:tc>
        <w:tc>
          <w:tcPr>
            <w:tcW w:w="740" w:type="dxa"/>
            <w:vAlign w:val="bottom"/>
          </w:tcPr>
          <w:p>
            <w:pPr>
              <w:jc w:val="right"/>
              <w:spacing w:after="0"/>
              <w:rPr>
                <w:sz w:val="20"/>
                <w:szCs w:val="20"/>
                <w:color w:val="auto"/>
              </w:rPr>
            </w:pPr>
            <w:r>
              <w:rPr>
                <w:rFonts w:ascii="Arial" w:cs="Arial" w:eastAsia="Arial" w:hAnsi="Arial"/>
                <w:sz w:val="12"/>
                <w:szCs w:val="12"/>
                <w:color w:val="auto"/>
              </w:rPr>
              <w:t>1M L+425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6,632,479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6,599,316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6,649,060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Output Services Group, Inc.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03/28/2024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1,367,521</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3,419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Ox Two, LLC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02/27/2023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740" w:type="dxa"/>
            <w:vAlign w:val="bottom"/>
          </w:tcPr>
          <w:p>
            <w:pPr>
              <w:jc w:val="right"/>
              <w:spacing w:after="0"/>
              <w:rPr>
                <w:sz w:val="20"/>
                <w:szCs w:val="20"/>
                <w:color w:val="auto"/>
              </w:rPr>
            </w:pPr>
            <w:r>
              <w:rPr>
                <w:rFonts w:ascii="Arial" w:cs="Arial" w:eastAsia="Arial" w:hAnsi="Arial"/>
                <w:sz w:val="12"/>
                <w:szCs w:val="12"/>
                <w:color w:val="auto"/>
              </w:rPr>
              <w:t>P+725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4,902,130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4,900,000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02/27/2023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P+725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111,111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111,111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111,111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(8), (9)</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02/27/2023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444,444</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01/31/2023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Environmental Industries</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7.30%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10,572,393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10,487,053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10,572,393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01/31/2022</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Environmental Industries</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8.75%</w:t>
            </w:r>
          </w:p>
        </w:tc>
        <w:tc>
          <w:tcPr>
            <w:tcW w:w="740" w:type="dxa"/>
            <w:vAlign w:val="bottom"/>
          </w:tcPr>
          <w:p>
            <w:pPr>
              <w:jc w:val="right"/>
              <w:spacing w:after="0"/>
              <w:rPr>
                <w:sz w:val="20"/>
                <w:szCs w:val="20"/>
                <w:color w:val="auto"/>
              </w:rPr>
            </w:pPr>
            <w:r>
              <w:rPr>
                <w:rFonts w:ascii="Arial" w:cs="Arial" w:eastAsia="Arial" w:hAnsi="Arial"/>
                <w:sz w:val="12"/>
                <w:szCs w:val="12"/>
                <w:color w:val="auto"/>
              </w:rPr>
              <w:t>P+400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1,147,541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1,147,541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1,147,541</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01/31/2022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Environmental Industries</w:t>
            </w: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1,311,475</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08/23/2021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6.65%</w:t>
            </w:r>
          </w:p>
        </w:tc>
        <w:tc>
          <w:tcPr>
            <w:tcW w:w="740" w:type="dxa"/>
            <w:vAlign w:val="bottom"/>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9,375,000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9,275,218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8,953,125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Research Now Group, Inc. and Survey Sampling</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12/20/2024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24,937,500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23,725,307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24,703,836</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International LLC</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Salient CRGT Inc.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02/28/2022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7.63%</w:t>
            </w:r>
          </w:p>
        </w:tc>
        <w:tc>
          <w:tcPr>
            <w:tcW w:w="740" w:type="dxa"/>
            <w:vAlign w:val="bottom"/>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18,767,857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18,456,320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18,908,616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7.66%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482,666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183,333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02/22/2019</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Softvision,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05/21/2021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7.38%</w:t>
            </w: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8,622,271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8,562,055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8,622,271</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Sonny's Enterprises, LLC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12/01/2022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6.38%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5,482,264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5,479,814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5,482,264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TeleGuam Holdings,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07/25/2023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6.88%</w:t>
            </w:r>
          </w:p>
        </w:tc>
        <w:tc>
          <w:tcPr>
            <w:tcW w:w="740" w:type="dxa"/>
            <w:vAlign w:val="bottom"/>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7,960,000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7,850,123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7,960,000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Tensar Corporation</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07/09/2021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4,631,234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4,606,929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4,527,031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The Infosoft Group,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12/02/2021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7.25%</w:t>
            </w:r>
          </w:p>
        </w:tc>
        <w:tc>
          <w:tcPr>
            <w:tcW w:w="740" w:type="dxa"/>
            <w:vAlign w:val="bottom"/>
          </w:tcPr>
          <w:p>
            <w:pPr>
              <w:jc w:val="right"/>
              <w:spacing w:after="0"/>
              <w:rPr>
                <w:sz w:val="20"/>
                <w:szCs w:val="20"/>
                <w:color w:val="auto"/>
              </w:rPr>
            </w:pPr>
            <w:r>
              <w:rPr>
                <w:rFonts w:ascii="Arial" w:cs="Arial" w:eastAsia="Arial" w:hAnsi="Arial"/>
                <w:sz w:val="12"/>
                <w:szCs w:val="12"/>
                <w:color w:val="auto"/>
              </w:rPr>
              <w:t>2M 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7,569,912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7,512,072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7,569,912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07/20/2022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Consumer Goods: Non-Durable</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6.85%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7,741,092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7,671,184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7,741,092</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07/20/2022</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Consumer Goods: Non-Durable</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6.38%</w:t>
            </w: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5,514,002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5,470,123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5,514,002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07/20/2022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Consumer Goods: Non-Durable</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6.24%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226,957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226,957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226,957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07/20/2022</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Consumer Goods: Non-Durable</w:t>
            </w:r>
          </w:p>
        </w:tc>
        <w:tc>
          <w:tcPr>
            <w:tcW w:w="9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1,191,527</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13.13%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L+1,125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8,470,850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8,366,409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8,428,495</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04/03/2024</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6.39%</w:t>
            </w: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1,980,000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1,980,000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04/03/2024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3"/>
                <w:szCs w:val="13"/>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10.81%</w:t>
            </w:r>
          </w:p>
        </w:tc>
        <w:tc>
          <w:tcPr>
            <w:tcW w:w="740" w:type="dxa"/>
            <w:vAlign w:val="bottom"/>
          </w:tcPr>
          <w:p>
            <w:pPr>
              <w:jc w:val="right"/>
              <w:spacing w:after="0"/>
              <w:rPr>
                <w:sz w:val="20"/>
                <w:szCs w:val="20"/>
                <w:color w:val="auto"/>
              </w:rPr>
            </w:pPr>
            <w:r>
              <w:rPr>
                <w:rFonts w:ascii="Arial" w:cs="Arial" w:eastAsia="Arial" w:hAnsi="Arial"/>
                <w:sz w:val="12"/>
                <w:szCs w:val="12"/>
                <w:color w:val="auto"/>
              </w:rPr>
              <w:t>3M L+850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43,025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43,025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43,025</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(PIK 1.00%)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01/14/2019</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10.81%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599,702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585,872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611,696</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UniTek Global Services, Inc. (Revolver) </w:t>
            </w:r>
            <w:r>
              <w:rPr>
                <w:rFonts w:ascii="Arial" w:cs="Arial" w:eastAsia="Arial" w:hAnsi="Arial"/>
                <w:sz w:val="9"/>
                <w:szCs w:val="9"/>
                <w:color w:val="auto"/>
              </w:rPr>
              <w:t>(8), (9)</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11.31%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3,042,969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3,042,969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2,890,820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7.32%</w:t>
            </w:r>
          </w:p>
        </w:tc>
        <w:tc>
          <w:tcPr>
            <w:tcW w:w="740" w:type="dxa"/>
            <w:vAlign w:val="bottom"/>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12,479,753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12,394,545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12,510,847</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5,083,667</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12,666</w:t>
            </w: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7.21%</w:t>
            </w: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110,274</w:t>
            </w:r>
          </w:p>
        </w:tc>
        <w:tc>
          <w:tcPr>
            <w:tcW w:w="100" w:type="dxa"/>
            <w:vAlign w:val="bottom"/>
          </w:tcPr>
          <w:p>
            <w:pPr>
              <w:spacing w:after="0"/>
              <w:rPr>
                <w:sz w:val="13"/>
                <w:szCs w:val="13"/>
                <w:color w:val="auto"/>
              </w:rPr>
            </w:pP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Veterinary Specialists of North America,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1,918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03/01/2023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8.31%</w:t>
            </w: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7,125,000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7,094,074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7,182,926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Whitney, Bradley &amp; Brown, Inc. (Revolver)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10/18/2022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Aerospace and Defense</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10.89%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125,000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123,750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Whitney, Bradley &amp; Brown, Inc. (Revolver) </w:t>
            </w:r>
            <w:r>
              <w:rPr>
                <w:rFonts w:ascii="Arial" w:cs="Arial" w:eastAsia="Arial" w:hAnsi="Arial"/>
                <w:sz w:val="9"/>
                <w:szCs w:val="9"/>
                <w:color w:val="auto"/>
              </w:rPr>
              <w:t>(8), (9)</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10/18/2022</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Aerospace and Defense</w:t>
            </w:r>
          </w:p>
        </w:tc>
        <w:tc>
          <w:tcPr>
            <w:tcW w:w="9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208,333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(2,083)</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Winchester Electronics Corporation</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06/30/2022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8.45%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10,217,439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10,163,923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10,217,439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Xebec Global Holdings, LLC </w:t>
            </w:r>
            <w:r>
              <w:rPr>
                <w:rFonts w:ascii="Arial" w:cs="Arial" w:eastAsia="Arial" w:hAnsi="Arial"/>
                <w:sz w:val="9"/>
                <w:szCs w:val="9"/>
                <w:color w:val="auto"/>
              </w:rPr>
              <w:t>(8)</w:t>
            </w:r>
          </w:p>
        </w:tc>
        <w:tc>
          <w:tcPr>
            <w:tcW w:w="740" w:type="dxa"/>
            <w:vAlign w:val="bottom"/>
            <w:tcBorders>
              <w:bottom w:val="single" w:sz="8" w:color="CCECFF"/>
            </w:tcBorders>
            <w:gridSpan w:val="2"/>
          </w:tcPr>
          <w:p>
            <w:pPr>
              <w:jc w:val="center"/>
              <w:ind w:left="42"/>
              <w:spacing w:after="0"/>
              <w:rPr>
                <w:sz w:val="20"/>
                <w:szCs w:val="20"/>
                <w:color w:val="auto"/>
              </w:rPr>
            </w:pPr>
            <w:r>
              <w:rPr>
                <w:rFonts w:ascii="Arial" w:cs="Arial" w:eastAsia="Arial" w:hAnsi="Arial"/>
                <w:sz w:val="12"/>
                <w:szCs w:val="12"/>
                <w:color w:val="auto"/>
                <w:w w:val="86"/>
              </w:rPr>
              <w:t>02/12/2024</w:t>
            </w:r>
          </w:p>
        </w:tc>
        <w:tc>
          <w:tcPr>
            <w:tcW w:w="120" w:type="dxa"/>
            <w:vAlign w:val="bottom"/>
            <w:tcBorders>
              <w:bottom w:val="single" w:sz="8" w:color="CCECFF"/>
            </w:tcBorders>
          </w:tcPr>
          <w:p>
            <w:pPr>
              <w:spacing w:after="0"/>
              <w:rPr>
                <w:sz w:val="12"/>
                <w:szCs w:val="12"/>
                <w:color w:val="auto"/>
              </w:rPr>
            </w:pPr>
          </w:p>
        </w:tc>
        <w:tc>
          <w:tcPr>
            <w:tcW w:w="27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6"/>
              </w:rPr>
              <w:t>Aerospace and Defense</w:t>
            </w:r>
          </w:p>
        </w:tc>
        <w:tc>
          <w:tcPr>
            <w:tcW w:w="98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7.32%</w:t>
            </w:r>
          </w:p>
        </w:tc>
        <w:tc>
          <w:tcPr>
            <w:tcW w:w="7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5,750,000</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5,694,792</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5,692,497</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701,266,721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705,303,470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Second Lien Secured Debt—6.7%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04/25/2025</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10.51%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1,961,567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03/31/2025</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10.56%</w:t>
            </w:r>
          </w:p>
        </w:tc>
        <w:tc>
          <w:tcPr>
            <w:tcW w:w="740" w:type="dxa"/>
            <w:vAlign w:val="bottom"/>
          </w:tcPr>
          <w:p>
            <w:pPr>
              <w:jc w:val="right"/>
              <w:spacing w:after="0"/>
              <w:rPr>
                <w:sz w:val="20"/>
                <w:szCs w:val="20"/>
                <w:color w:val="auto"/>
              </w:rPr>
            </w:pPr>
            <w:r>
              <w:rPr>
                <w:rFonts w:ascii="Arial" w:cs="Arial" w:eastAsia="Arial" w:hAnsi="Arial"/>
                <w:sz w:val="12"/>
                <w:szCs w:val="12"/>
                <w:color w:val="auto"/>
              </w:rPr>
              <w:t>3M L+825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11,341,463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11,125,209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11,341,463</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Wholesale</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12.31%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L+1,000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11,419,604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11,162,500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5.05%)</w:t>
            </w: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MailSouth, Inc.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10/22/2021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 Advertising, Printing and Publishing</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12.19%</w:t>
            </w:r>
          </w:p>
        </w:tc>
        <w:tc>
          <w:tcPr>
            <w:tcW w:w="740" w:type="dxa"/>
            <w:vAlign w:val="bottom"/>
          </w:tcPr>
          <w:p>
            <w:pPr>
              <w:jc w:val="right"/>
              <w:spacing w:after="0"/>
              <w:rPr>
                <w:sz w:val="20"/>
                <w:szCs w:val="20"/>
                <w:color w:val="auto"/>
              </w:rPr>
            </w:pPr>
            <w:r>
              <w:rPr>
                <w:rFonts w:ascii="Arial" w:cs="Arial" w:eastAsia="Arial" w:hAnsi="Arial"/>
                <w:sz w:val="12"/>
                <w:szCs w:val="12"/>
                <w:color w:val="auto"/>
              </w:rPr>
              <w:t>3M 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3,720,904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3,775,000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09/29/2025</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10.38%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2,463,380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2,526,250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04/12/2023</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11.71%</w:t>
            </w:r>
          </w:p>
        </w:tc>
        <w:tc>
          <w:tcPr>
            <w:tcW w:w="740" w:type="dxa"/>
            <w:vAlign w:val="bottom"/>
          </w:tcPr>
          <w:p>
            <w:pPr>
              <w:jc w:val="right"/>
              <w:spacing w:after="0"/>
              <w:rPr>
                <w:sz w:val="20"/>
                <w:szCs w:val="20"/>
                <w:color w:val="auto"/>
              </w:rPr>
            </w:pPr>
            <w:r>
              <w:rPr>
                <w:rFonts w:ascii="Arial" w:cs="Arial" w:eastAsia="Arial" w:hAnsi="Arial"/>
                <w:sz w:val="12"/>
                <w:szCs w:val="12"/>
                <w:color w:val="auto"/>
              </w:rPr>
              <w:t>3M L+1,000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1,666,667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1,636,195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1,650,000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04/12/2023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(3,333)</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08/01/2018</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Energy: Oil and Gas</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2,792,500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2,720,508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977,375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Veritext Corp.</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01/30/2023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11.30%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2,690,625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2,628,430</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2,690,625</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37,675,797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36,119,880</w:t>
            </w:r>
          </w:p>
        </w:tc>
        <w:tc>
          <w:tcPr>
            <w:tcW w:w="100" w:type="dxa"/>
            <w:vAlign w:val="bottom"/>
          </w:tcPr>
          <w:p>
            <w:pPr>
              <w:spacing w:after="0"/>
              <w:rPr>
                <w:sz w:val="12"/>
                <w:szCs w:val="12"/>
                <w:color w:val="auto"/>
              </w:rPr>
            </w:pP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Notes—0.1% </w:t>
            </w:r>
            <w:r>
              <w:rPr>
                <w:rFonts w:ascii="Arial" w:cs="Arial" w:eastAsia="Arial" w:hAnsi="Arial"/>
                <w:sz w:val="9"/>
                <w:szCs w:val="9"/>
                <w:b w:val="1"/>
                <w:bCs w:val="1"/>
                <w:color w:val="auto"/>
              </w:rPr>
              <w:t>(8)</w:t>
            </w:r>
          </w:p>
        </w:tc>
        <w:tc>
          <w:tcPr>
            <w:tcW w:w="120" w:type="dxa"/>
            <w:vAlign w:val="bottom"/>
            <w:tcBorders>
              <w:top w:val="single" w:sz="8" w:color="CCECFF"/>
            </w:tcBorders>
            <w:shd w:val="clear" w:color="auto" w:fill="CCECFF"/>
          </w:tcPr>
          <w:p>
            <w:pPr>
              <w:spacing w:after="0"/>
              <w:rPr>
                <w:sz w:val="12"/>
                <w:szCs w:val="12"/>
                <w:color w:val="auto"/>
              </w:rPr>
            </w:pPr>
          </w:p>
        </w:tc>
        <w:tc>
          <w:tcPr>
            <w:tcW w:w="6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07/15/2019</w:t>
            </w:r>
          </w:p>
        </w:tc>
        <w:tc>
          <w:tcPr>
            <w:tcW w:w="120" w:type="dxa"/>
            <w:vAlign w:val="bottom"/>
          </w:tcPr>
          <w:p>
            <w:pPr>
              <w:spacing w:after="0"/>
              <w:rPr>
                <w:sz w:val="13"/>
                <w:szCs w:val="13"/>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183,773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183,773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187,449</w:t>
            </w:r>
          </w:p>
        </w:tc>
        <w:tc>
          <w:tcPr>
            <w:tcW w:w="100" w:type="dxa"/>
            <w:vAlign w:val="bottom"/>
          </w:tcPr>
          <w:p>
            <w:pPr>
              <w:spacing w:after="0"/>
              <w:rPr>
                <w:sz w:val="13"/>
                <w:szCs w:val="13"/>
                <w:color w:val="auto"/>
              </w:rPr>
            </w:pPr>
          </w:p>
        </w:tc>
      </w:tr>
      <w:tr>
        <w:trPr>
          <w:trHeight w:val="142"/>
        </w:trPr>
        <w:tc>
          <w:tcPr>
            <w:tcW w:w="30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8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(PIK 15.00%)</w:t>
            </w:r>
          </w:p>
        </w:tc>
        <w:tc>
          <w:tcPr>
            <w:tcW w:w="7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183,773</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187,449</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Maturity</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r>
      <w:tr>
        <w:trPr>
          <w:trHeight w:val="142"/>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26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(6), (10)</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tcPr>
          <w:p>
            <w:pPr>
              <w:spacing w:after="0"/>
              <w:rPr>
                <w:sz w:val="12"/>
                <w:szCs w:val="12"/>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10,173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10,173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(6), (10)</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77,827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77,827</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18.00%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519,368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1,614,212</w:t>
            </w:r>
          </w:p>
        </w:tc>
        <w:tc>
          <w:tcPr>
            <w:tcW w:w="120" w:type="dxa"/>
            <w:vAlign w:val="bottom"/>
            <w:shd w:val="clear" w:color="auto" w:fill="CCECFF"/>
          </w:tcPr>
          <w:p>
            <w:pPr>
              <w:spacing w:after="0"/>
              <w:rPr>
                <w:sz w:val="12"/>
                <w:szCs w:val="12"/>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1,207,134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2,221,580</w:t>
            </w:r>
          </w:p>
        </w:tc>
        <w:tc>
          <w:tcPr>
            <w:tcW w:w="12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Equity/Warrants—2.3%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2,058,597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5,144</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(12)</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21,908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2,190,771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3,587,653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 (12)</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CI (Allied) Investment Holdings,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84,000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840,004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881,389</w:t>
            </w:r>
          </w:p>
        </w:tc>
        <w:tc>
          <w:tcPr>
            <w:tcW w:w="12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1,633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1,632,744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1,774,053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247,390</w:t>
            </w:r>
          </w:p>
        </w:tc>
        <w:tc>
          <w:tcPr>
            <w:tcW w:w="12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642,500</w:t>
            </w:r>
          </w:p>
        </w:tc>
        <w:tc>
          <w:tcPr>
            <w:tcW w:w="120" w:type="dxa"/>
            <w:vAlign w:val="bottom"/>
          </w:tcPr>
          <w:p>
            <w:pPr>
              <w:spacing w:after="0"/>
              <w:rPr>
                <w:sz w:val="13"/>
                <w:szCs w:val="13"/>
                <w:color w:val="auto"/>
              </w:rPr>
            </w:pPr>
          </w:p>
        </w:tc>
      </w:tr>
      <w:tr>
        <w:trPr>
          <w:trHeight w:val="141"/>
        </w:trPr>
        <w:tc>
          <w:tcPr>
            <w:tcW w:w="3040" w:type="dxa"/>
            <w:vAlign w:val="bottom"/>
          </w:tcPr>
          <w:p>
            <w:pPr>
              <w:ind w:left="140"/>
              <w:spacing w:after="0"/>
              <w:rPr>
                <w:sz w:val="20"/>
                <w:szCs w:val="20"/>
                <w:color w:val="auto"/>
              </w:rPr>
            </w:pPr>
            <w:r>
              <w:rPr>
                <w:rFonts w:ascii="Arial" w:cs="Arial" w:eastAsia="Arial" w:hAnsi="Arial"/>
                <w:sz w:val="12"/>
                <w:szCs w:val="12"/>
                <w:color w:val="auto"/>
              </w:rPr>
              <w:t>(The Infosoft Group,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(12)</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1,299,155</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(9), (12)</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718,567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Banking, Finance, Insurance and Real Estate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27,995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w:t>
            </w:r>
          </w:p>
        </w:tc>
        <w:tc>
          <w:tcPr>
            <w:tcW w:w="12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878,419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878,419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909,236</w:t>
            </w:r>
          </w:p>
        </w:tc>
        <w:tc>
          <w:tcPr>
            <w:tcW w:w="120" w:type="dxa"/>
            <w:vAlign w:val="bottom"/>
          </w:tcPr>
          <w:p>
            <w:pPr>
              <w:spacing w:after="0"/>
              <w:rPr>
                <w:sz w:val="13"/>
                <w:szCs w:val="13"/>
                <w:color w:val="auto"/>
              </w:rPr>
            </w:pPr>
          </w:p>
        </w:tc>
      </w:tr>
      <w:tr>
        <w:trPr>
          <w:trHeight w:val="141"/>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121,581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213,739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923,545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WBB Equity,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147,143</w:t>
            </w:r>
          </w:p>
        </w:tc>
        <w:tc>
          <w:tcPr>
            <w:tcW w:w="120" w:type="dxa"/>
            <w:vAlign w:val="bottom"/>
          </w:tcPr>
          <w:p>
            <w:pPr>
              <w:spacing w:after="0"/>
              <w:rPr>
                <w:sz w:val="13"/>
                <w:szCs w:val="13"/>
                <w:color w:val="auto"/>
              </w:rPr>
            </w:pPr>
          </w:p>
        </w:tc>
      </w:tr>
      <w:tr>
        <w:trPr>
          <w:trHeight w:val="141"/>
        </w:trPr>
        <w:tc>
          <w:tcPr>
            <w:tcW w:w="3040" w:type="dxa"/>
            <w:vAlign w:val="bottom"/>
            <w:tcBorders>
              <w:bottom w:val="single" w:sz="8" w:color="CCECFF"/>
            </w:tcBorders>
          </w:tcPr>
          <w:p>
            <w:pPr>
              <w:ind w:left="140"/>
              <w:spacing w:after="0"/>
              <w:rPr>
                <w:sz w:val="20"/>
                <w:szCs w:val="20"/>
                <w:color w:val="auto"/>
              </w:rPr>
            </w:pPr>
            <w:r>
              <w:rPr>
                <w:rFonts w:ascii="Arial" w:cs="Arial" w:eastAsia="Arial" w:hAnsi="Arial"/>
                <w:sz w:val="12"/>
                <w:szCs w:val="12"/>
                <w:color w:val="auto"/>
              </w:rPr>
              <w:t xml:space="preserve">(Whitney, Bradley &amp; Brown, Inc.) </w:t>
            </w:r>
            <w:r>
              <w:rPr>
                <w:rFonts w:ascii="Arial" w:cs="Arial" w:eastAsia="Arial" w:hAnsi="Arial"/>
                <w:sz w:val="9"/>
                <w:szCs w:val="9"/>
                <w:color w:val="auto"/>
              </w:rPr>
              <w:t>(12)</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12,453,488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12,675,970</w:t>
            </w:r>
          </w:p>
        </w:tc>
        <w:tc>
          <w:tcPr>
            <w:tcW w:w="120" w:type="dxa"/>
            <w:vAlign w:val="bottom"/>
            <w:shd w:val="clear" w:color="auto" w:fill="CCECFF"/>
          </w:tcPr>
          <w:p>
            <w:pPr>
              <w:spacing w:after="0"/>
              <w:rPr>
                <w:sz w:val="12"/>
                <w:szCs w:val="12"/>
                <w:color w:val="auto"/>
              </w:rPr>
            </w:pPr>
          </w:p>
        </w:tc>
      </w:tr>
      <w:tr>
        <w:trPr>
          <w:trHeight w:val="142"/>
        </w:trPr>
        <w:tc>
          <w:tcPr>
            <w:tcW w:w="392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752,786,913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756,508,349</w:t>
            </w:r>
          </w:p>
        </w:tc>
        <w:tc>
          <w:tcPr>
            <w:tcW w:w="120" w:type="dxa"/>
            <w:vAlign w:val="bottom"/>
            <w:tcBorders>
              <w:bottom w:val="single" w:sz="8" w:color="CCECFF"/>
            </w:tcBorders>
          </w:tcPr>
          <w:p>
            <w:pPr>
              <w:spacing w:after="0"/>
              <w:rPr>
                <w:sz w:val="12"/>
                <w:szCs w:val="12"/>
                <w:color w:val="auto"/>
              </w:rPr>
            </w:pPr>
          </w:p>
        </w:tc>
      </w:tr>
      <w:tr>
        <w:trPr>
          <w:trHeight w:val="142"/>
        </w:trPr>
        <w:tc>
          <w:tcPr>
            <w:tcW w:w="39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6"/>
              </w:rPr>
              <w:t xml:space="preserve">Investments in Controlled, Affiliated Portfolio Companies—14.2% </w:t>
            </w:r>
            <w:r>
              <w:rPr>
                <w:rFonts w:ascii="Arial" w:cs="Arial" w:eastAsia="Arial" w:hAnsi="Arial"/>
                <w:sz w:val="9"/>
                <w:szCs w:val="9"/>
                <w:b w:val="1"/>
                <w:bCs w:val="1"/>
                <w:color w:val="auto"/>
                <w:w w:val="96"/>
              </w:rPr>
              <w:t>(3), (4)</w:t>
            </w: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Debt—9.8%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05/06/2024</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8.81%</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53,200,000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53,200,000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53,200,000</w:t>
            </w:r>
          </w:p>
        </w:tc>
        <w:tc>
          <w:tcPr>
            <w:tcW w:w="120" w:type="dxa"/>
            <w:vAlign w:val="bottom"/>
            <w:shd w:val="clear" w:color="auto" w:fill="CCECFF"/>
          </w:tcPr>
          <w:p>
            <w:pPr>
              <w:spacing w:after="0"/>
              <w:rPr>
                <w:sz w:val="12"/>
                <w:szCs w:val="12"/>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b w:val="1"/>
                <w:bCs w:val="1"/>
                <w:color w:val="auto"/>
              </w:rPr>
              <w:t>Equity Interests—4.4%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22,800,000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24,078,843</w:t>
            </w:r>
          </w:p>
        </w:tc>
        <w:tc>
          <w:tcPr>
            <w:tcW w:w="120" w:type="dxa"/>
            <w:vAlign w:val="bottom"/>
            <w:shd w:val="clear" w:color="auto" w:fill="CCECFF"/>
          </w:tcPr>
          <w:p>
            <w:pPr>
              <w:spacing w:after="0"/>
              <w:rPr>
                <w:sz w:val="12"/>
                <w:szCs w:val="12"/>
                <w:color w:val="auto"/>
              </w:rPr>
            </w:pPr>
          </w:p>
        </w:tc>
      </w:tr>
      <w:tr>
        <w:trPr>
          <w:trHeight w:val="142"/>
        </w:trPr>
        <w:tc>
          <w:tcPr>
            <w:tcW w:w="392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76,000,000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77,278,843</w:t>
            </w:r>
          </w:p>
        </w:tc>
        <w:tc>
          <w:tcPr>
            <w:tcW w:w="12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Investments—153.8%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828,786,913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2"/>
              </w:rPr>
              <w:t>833,787,192</w:t>
            </w:r>
          </w:p>
        </w:tc>
        <w:tc>
          <w:tcPr>
            <w:tcW w:w="120" w:type="dxa"/>
            <w:vAlign w:val="bottom"/>
            <w:shd w:val="clear" w:color="auto" w:fill="CCECFF"/>
          </w:tcPr>
          <w:p>
            <w:pPr>
              <w:spacing w:after="0"/>
              <w:rPr>
                <w:sz w:val="12"/>
                <w:szCs w:val="12"/>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b w:val="1"/>
                <w:bCs w:val="1"/>
                <w:color w:val="auto"/>
              </w:rPr>
              <w:t>Cash and Cash Equivalents—9.0%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44,994,710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44,994,710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3,420,142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3,413,186</w:t>
            </w:r>
          </w:p>
        </w:tc>
        <w:tc>
          <w:tcPr>
            <w:tcW w:w="12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48,414,852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48,407,896</w:t>
            </w:r>
          </w:p>
        </w:tc>
        <w:tc>
          <w:tcPr>
            <w:tcW w:w="120" w:type="dxa"/>
            <w:vAlign w:val="bottom"/>
            <w:shd w:val="clear" w:color="auto" w:fill="CCECFF"/>
          </w:tcPr>
          <w:p>
            <w:pPr>
              <w:spacing w:after="0"/>
              <w:rPr>
                <w:sz w:val="12"/>
                <w:szCs w:val="12"/>
                <w:color w:val="auto"/>
              </w:rPr>
            </w:pPr>
          </w:p>
        </w:tc>
      </w:tr>
      <w:tr>
        <w:trPr>
          <w:trHeight w:val="18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Equivalents—162.8%</w:t>
            </w:r>
          </w:p>
        </w:tc>
        <w:tc>
          <w:tcPr>
            <w:tcW w:w="120" w:type="dxa"/>
            <w:vAlign w:val="bottom"/>
            <w:tcBorders>
              <w:bottom w:val="single" w:sz="8" w:color="CCECFF"/>
            </w:tcBorders>
          </w:tcPr>
          <w:p>
            <w:pPr>
              <w:spacing w:after="0"/>
              <w:rPr>
                <w:sz w:val="15"/>
                <w:szCs w:val="15"/>
                <w:color w:val="auto"/>
              </w:rPr>
            </w:pPr>
          </w:p>
        </w:tc>
        <w:tc>
          <w:tcPr>
            <w:tcW w:w="54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266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877,201,765</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882,195,088</w:t>
            </w:r>
          </w:p>
        </w:tc>
        <w:tc>
          <w:tcPr>
            <w:tcW w:w="120" w:type="dxa"/>
            <w:vAlign w:val="bottom"/>
            <w:tcBorders>
              <w:bottom w:val="single" w:sz="8" w:color="CCECFF"/>
            </w:tcBorders>
          </w:tcPr>
          <w:p>
            <w:pPr>
              <w:spacing w:after="0"/>
              <w:rPr>
                <w:sz w:val="15"/>
                <w:szCs w:val="15"/>
                <w:color w:val="auto"/>
              </w:rPr>
            </w:pPr>
          </w:p>
        </w:tc>
      </w:tr>
      <w:tr>
        <w:trPr>
          <w:trHeight w:val="129"/>
        </w:trPr>
        <w:tc>
          <w:tcPr>
            <w:tcW w:w="304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Assets—(62.8)%</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80"/>
              <w:spacing w:after="0" w:line="129" w:lineRule="exact"/>
              <w:rPr>
                <w:sz w:val="20"/>
                <w:szCs w:val="20"/>
                <w:color w:val="auto"/>
              </w:rPr>
            </w:pPr>
            <w:r>
              <w:rPr>
                <w:rFonts w:ascii="Arial" w:cs="Arial" w:eastAsia="Arial" w:hAnsi="Arial"/>
                <w:sz w:val="12"/>
                <w:szCs w:val="12"/>
                <w:color w:val="auto"/>
                <w:w w:val="90"/>
              </w:rPr>
              <w:t>(340,235,118)</w:t>
            </w: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541,959,970</w:t>
            </w:r>
          </w:p>
        </w:tc>
        <w:tc>
          <w:tcPr>
            <w:tcW w:w="12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3" w:lineRule="exact"/>
        <w:rPr>
          <w:sz w:val="20"/>
          <w:szCs w:val="20"/>
          <w:color w:val="auto"/>
        </w:rPr>
      </w:pPr>
    </w:p>
    <w:p>
      <w:pPr>
        <w:ind w:left="380" w:right="120" w:hanging="372"/>
        <w:spacing w:after="0" w:line="269"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13" w:lineRule="exact"/>
        <w:rPr>
          <w:rFonts w:ascii="Arial" w:cs="Arial" w:eastAsia="Arial" w:hAnsi="Arial"/>
          <w:sz w:val="11"/>
          <w:szCs w:val="11"/>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right="36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2018, qualifying assets represent 86% of our total assets and non-qualifying assets represent 14%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40" w:hanging="320"/>
        <w:spacing w:after="0"/>
        <w:tabs>
          <w:tab w:leader="none" w:pos="340" w:val="left"/>
        </w:tabs>
        <w:numPr>
          <w:ilvl w:val="1"/>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60" w:type="dxa"/>
            <w:vAlign w:val="bottom"/>
          </w:tcPr>
          <w:p>
            <w:pPr>
              <w:jc w:val="center"/>
              <w:ind w:right="20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Companies—145.7% </w:t>
            </w:r>
            <w:r>
              <w:rPr>
                <w:rFonts w:ascii="Arial" w:cs="Arial" w:eastAsia="Arial" w:hAnsi="Arial"/>
                <w:sz w:val="9"/>
                <w:szCs w:val="9"/>
                <w:b w:val="1"/>
                <w:bCs w:val="1"/>
                <w:color w:val="auto"/>
                <w:w w:val="90"/>
              </w:rPr>
              <w:t>(3), (4)</w:t>
            </w:r>
          </w:p>
        </w:tc>
        <w:tc>
          <w:tcPr>
            <w:tcW w:w="240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Debt—133.1%</w:t>
            </w: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16,225,000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16,029,514</w:t>
            </w:r>
          </w:p>
        </w:tc>
        <w:tc>
          <w:tcPr>
            <w:tcW w:w="3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16,225,000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Alera Group Holdings,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9,177,637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9,098,312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9,177,637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1,771,962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Alera Group Holdings, Inc.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2,983,500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10,945,000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10,805,812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10,780,825</w:t>
            </w:r>
          </w:p>
        </w:tc>
        <w:tc>
          <w:tcPr>
            <w:tcW w:w="12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12/31/2021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2"/>
              </w:rPr>
              <w:t>Metals and Mining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128,248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124,746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141,073</w:t>
            </w:r>
          </w:p>
        </w:tc>
        <w:tc>
          <w:tcPr>
            <w:tcW w:w="120" w:type="dxa"/>
            <w:vAlign w:val="bottom"/>
          </w:tcPr>
          <w:p>
            <w:pPr>
              <w:spacing w:after="0"/>
              <w:rPr>
                <w:sz w:val="13"/>
                <w:szCs w:val="13"/>
                <w:color w:val="auto"/>
              </w:rPr>
            </w:pPr>
          </w:p>
        </w:tc>
      </w:tr>
      <w:tr>
        <w:trPr>
          <w:trHeight w:val="141"/>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5.00%)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Scaffold</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4,691,657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4,702,500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American Teleconferencing Services, Ltd.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7.78%</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10,741,453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10,574,347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10,338,648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Anesthesia Consulting &amp; Management, LP</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3,970,000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3,935,087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3,890,600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Anesthesia Consulting &amp; Management, LP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(20,000)</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04/22/2022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4,881,581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4,803,856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4,832,765</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BEI Precision Systems &amp; Space Company,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04/28/2023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11,970,000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11,854,093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11,850,300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2,239,494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2,207,741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2,239,494</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13.58%</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2,326,329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2,291,698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2,326,329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15,630,360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15,263,130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15,630,360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2,311,784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2,443,750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2,427,358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2,346,000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Canyon Valor Companies, Inc. </w:t>
            </w:r>
            <w:r>
              <w:rPr>
                <w:rFonts w:ascii="Arial" w:cs="Arial" w:eastAsia="Arial" w:hAnsi="Arial"/>
                <w:sz w:val="9"/>
                <w:szCs w:val="9"/>
                <w:color w:val="auto"/>
              </w:rPr>
              <w:t>(10)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Media: Broadcasting and Subscription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5.58%</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6,982,500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7,084,560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3,913,750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3,923,223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3,874,613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CD&amp;R TZ Purchaser,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7.33%</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12,375,000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12,094,894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12,359,531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Charming Charlie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12/24/2019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3,961,544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3,935,418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3,367,313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3.00%)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01/08/2019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4,589,286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4,573,873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4,313,929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Clarus Glassboards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03/16/2023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4,845,000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4,799,506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4,820,775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Corfin Industries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10.99%</w:t>
            </w:r>
          </w:p>
        </w:tc>
        <w:tc>
          <w:tcPr>
            <w:tcW w:w="680" w:type="dxa"/>
            <w:vAlign w:val="bottom"/>
          </w:tcPr>
          <w:p>
            <w:pPr>
              <w:jc w:val="right"/>
              <w:spacing w:after="0"/>
              <w:rPr>
                <w:sz w:val="20"/>
                <w:szCs w:val="20"/>
                <w:color w:val="auto"/>
              </w:rPr>
            </w:pPr>
            <w:r>
              <w:rPr>
                <w:rFonts w:ascii="Arial" w:cs="Arial" w:eastAsia="Arial" w:hAnsi="Arial"/>
                <w:sz w:val="12"/>
                <w:szCs w:val="12"/>
                <w:color w:val="auto"/>
              </w:rPr>
              <w:t>L+975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6,024,894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5,941,505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5,994,770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518,033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03/31/2023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19,874,245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19,826,088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19,598,775</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9,817,138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Digital Room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11/21/2022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7.24%</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6,737,500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6,618,201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6,670,125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4,373,643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4,353,783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4,373,643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6.01%</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10,621,111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10,592,972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10,621,111</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9.33%</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16,743,500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16,527,764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16,827,218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7,657,615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7,627,450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7,581,039</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10,265,559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10,180,889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10,265,559</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06/09/2023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12,228,162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12,344,063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08/05/2019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5,862,500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5,846,053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5,386,172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(10)</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7.56%</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5,918,532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5,850,581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5,740,976</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7,032,993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6,999,227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6,962,663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10/12/2021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E+800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12,127,444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12,605,265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14,337,076</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6,693,710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3,234,375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3,373,623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3,328,240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3,373,623</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530,973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Instant Web, LLC, Term Loan A</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7,600,388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7,465,921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7,600,388</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Instant Web, LLC, Term Loan B</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12.30%</w:t>
            </w: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4,475,493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Interior Specialists,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6,525,437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6,486,278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6,525,437</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Inventus Power,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7.74%</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4,726,503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4,701,985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4,442,913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Jackson Hewitt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07/30/2020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4,653,450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4,596,122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4,467,312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02/19/2021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4,002,471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3,936,841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3,889,079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12,140,282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11,975,690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12,140,282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6.16%</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241,935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241,935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241,935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967,742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Lago Resort &amp; Casino,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10.83%</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10,200,000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10,036,631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10,098,000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(6), (10), (11)</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09/12/2022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7,728,822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7,728,822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4,954,937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4,935,975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3,740,977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Lombart Brothers,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6,244,708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6,170,275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6,244,708</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9.75%</w:t>
            </w:r>
          </w:p>
        </w:tc>
        <w:tc>
          <w:tcPr>
            <w:tcW w:w="680" w:type="dxa"/>
            <w:vAlign w:val="bottom"/>
          </w:tcPr>
          <w:p>
            <w:pPr>
              <w:jc w:val="right"/>
              <w:spacing w:after="0"/>
              <w:rPr>
                <w:sz w:val="20"/>
                <w:szCs w:val="20"/>
                <w:color w:val="auto"/>
              </w:rPr>
            </w:pPr>
            <w:r>
              <w:rPr>
                <w:rFonts w:ascii="Arial" w:cs="Arial" w:eastAsia="Arial" w:hAnsi="Arial"/>
                <w:sz w:val="12"/>
                <w:szCs w:val="12"/>
                <w:color w:val="auto"/>
              </w:rPr>
              <w:t>P+550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778,761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778,761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778,761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460,177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08/19/2021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4,238,073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4,204,738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4,195,692</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14,409,375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14,275,705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14,439,347</w:t>
            </w:r>
          </w:p>
        </w:tc>
        <w:tc>
          <w:tcPr>
            <w:tcW w:w="12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Marketplace Events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01/27/2021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3,377,372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3,335,177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3,377,372</w:t>
            </w:r>
          </w:p>
        </w:tc>
        <w:tc>
          <w:tcPr>
            <w:tcW w:w="120" w:type="dxa"/>
            <w:vAlign w:val="bottom"/>
          </w:tcPr>
          <w:p>
            <w:pPr>
              <w:spacing w:after="0"/>
              <w:rPr>
                <w:sz w:val="13"/>
                <w:szCs w:val="13"/>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82"/>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1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6.25</w:t>
            </w:r>
          </w:p>
        </w:tc>
        <w:tc>
          <w:tcPr>
            <w:tcW w:w="300" w:type="dxa"/>
            <w:vAlign w:val="bottom"/>
            <w:shd w:val="clear" w:color="auto" w:fill="CCECFF"/>
          </w:tcPr>
          <w:p>
            <w:pPr>
              <w:jc w:val="right"/>
              <w:ind w:right="142"/>
              <w:spacing w:after="0" w:line="136" w:lineRule="exact"/>
              <w:rPr>
                <w:sz w:val="20"/>
                <w:szCs w:val="20"/>
                <w:color w:val="auto"/>
              </w:rPr>
            </w:pPr>
            <w:r>
              <w:rPr>
                <w:rFonts w:ascii="Arial" w:cs="Arial" w:eastAsia="Arial" w:hAnsi="Arial"/>
                <w:sz w:val="12"/>
                <w:szCs w:val="12"/>
                <w:color w:val="auto"/>
                <w:w w:val="74"/>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220" w:type="dxa"/>
            <w:vAlign w:val="bottom"/>
            <w:shd w:val="clear" w:color="auto" w:fill="CCECFF"/>
          </w:tcPr>
          <w:p>
            <w:pPr>
              <w:ind w:left="140"/>
              <w:spacing w:after="0"/>
              <w:rPr>
                <w:sz w:val="20"/>
                <w:szCs w:val="20"/>
                <w:color w:val="auto"/>
              </w:rPr>
            </w:pPr>
            <w:r>
              <w:rPr>
                <w:rFonts w:ascii="Arial" w:cs="Arial" w:eastAsia="Arial" w:hAnsi="Arial"/>
                <w:sz w:val="11"/>
                <w:szCs w:val="11"/>
                <w:color w:val="auto"/>
                <w:w w:val="74"/>
              </w:rPr>
              <w:t>C</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  17,070,749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11,982,846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13,581,250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7.00%</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1,243,309</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09/30/2024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5.50%</w:t>
            </w:r>
          </w:p>
        </w:tc>
        <w:tc>
          <w:tcPr>
            <w:tcW w:w="680" w:type="dxa"/>
            <w:vAlign w:val="bottom"/>
          </w:tcPr>
          <w:p>
            <w:pPr>
              <w:jc w:val="right"/>
              <w:spacing w:after="0"/>
              <w:rPr>
                <w:sz w:val="20"/>
                <w:szCs w:val="20"/>
                <w:color w:val="auto"/>
              </w:rPr>
            </w:pPr>
            <w:r>
              <w:rPr>
                <w:rFonts w:ascii="Arial" w:cs="Arial" w:eastAsia="Arial" w:hAnsi="Arial"/>
                <w:sz w:val="12"/>
                <w:szCs w:val="12"/>
                <w:color w:val="auto"/>
              </w:rPr>
              <w:t>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7,425,000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7,533,750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09/28/2021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(3,592)</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01/24/2023</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9.49%</w:t>
            </w:r>
          </w:p>
        </w:tc>
        <w:tc>
          <w:tcPr>
            <w:tcW w:w="680" w:type="dxa"/>
            <w:vAlign w:val="bottom"/>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26,294,872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26,729,488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26,513,908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02/10/2023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14,625,000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14,241,842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14,405,625</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7.08%</w:t>
            </w: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8,717,647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8,682,164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7,845,882</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03/03/2022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10.52%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L+918</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2,699,796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19,927,985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19,874,203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19,927,985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10,135,136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10,045,209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10,135,136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573,770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PT Network,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7.82%</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8,450,400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8,383,771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8,450,400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2,291,100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08/23/2021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6.02%</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9,625,000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9,509,035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9,288,125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02/28/2022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19,654,762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19,296,231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19,753,036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Softvision,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05/21/2021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8,747,271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8,678,587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8,747,271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Sundial Group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08/15/2024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5.99%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9,851,797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Survey Sampling International,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12/16/2020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6.27%</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5,394,946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5,366,833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5,287,047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07/25/2023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7,882,265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Tensar Corporation</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07/09/2021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6.08%</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4,631,234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4,603,617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4,295,470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12/02/2021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8,210,074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8,139,730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8,210,074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6.81%</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3,061,372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3,037,176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3,061,372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5,879,466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12.49%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8,856,365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8,730,717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8,812,084</w:t>
            </w: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9.84%</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color w:val="auto"/>
              </w:rPr>
              <w:t>(PIK 1.00%)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9.84%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599,702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577,759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611,696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3,058,594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3,058,594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2,905,664</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6.56%</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11,374,590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11,277,723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11,362,740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2,660,000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(2,771)</w:t>
            </w: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(917)</w:t>
            </w:r>
          </w:p>
        </w:tc>
      </w:tr>
      <w:tr>
        <w:trPr>
          <w:trHeight w:val="141"/>
        </w:trPr>
        <w:tc>
          <w:tcPr>
            <w:tcW w:w="302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7,312,500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7,278,094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7,358,203</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Vistage Worldwide,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5,029,514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4,994,127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5,042,087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Winchester Electronics Corporation</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7,695,662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7,636,513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7,734,140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(8), (9)</w:t>
            </w:r>
          </w:p>
        </w:tc>
        <w:tc>
          <w:tcPr>
            <w:tcW w:w="7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tcBorders>
              <w:bottom w:val="single" w:sz="8" w:color="CCECFF"/>
            </w:tcBorders>
          </w:tcPr>
          <w:p>
            <w:pPr>
              <w:spacing w:after="0"/>
              <w:rPr>
                <w:sz w:val="12"/>
                <w:szCs w:val="12"/>
                <w:color w:val="auto"/>
              </w:rPr>
            </w:pPr>
          </w:p>
        </w:tc>
        <w:tc>
          <w:tcPr>
            <w:tcW w:w="2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tcBorders>
              <w:bottom w:val="single" w:sz="8" w:color="CCECFF"/>
            </w:tcBorders>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708,333</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607,582,054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609,668,554</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Second Lien Secured Debt—8.3%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03/31/2025</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14,700,169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12/31/2020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11.84%</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1,976,823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11,450,000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11,064,344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10,992,000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(PIK 5.18%)</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MailSouth,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10/22/2021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3,714,927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3,812,750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09/29/2025</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2,462,500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08/01/2018</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Energy: Oil and Gas</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2,792,500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2,720,508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1,144,925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Veritext Corp.</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2,690,625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2,623,765</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2,663,719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39,263,036</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37,833,394</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Notes—1.6% </w:t>
            </w:r>
            <w:r>
              <w:rPr>
                <w:rFonts w:ascii="Arial" w:cs="Arial" w:eastAsia="Arial" w:hAnsi="Arial"/>
                <w:sz w:val="9"/>
                <w:szCs w:val="9"/>
                <w:b w:val="1"/>
                <w:bCs w:val="1"/>
                <w:color w:val="auto"/>
              </w:rPr>
              <w:t>(8)</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12/31/2021</w:t>
            </w:r>
          </w:p>
        </w:tc>
        <w:tc>
          <w:tcPr>
            <w:tcW w:w="24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382,989</w:t>
            </w:r>
          </w:p>
        </w:tc>
        <w:tc>
          <w:tcPr>
            <w:tcW w:w="240" w:type="dxa"/>
            <w:vAlign w:val="bottom"/>
          </w:tcPr>
          <w:p>
            <w:pPr>
              <w:spacing w:after="0"/>
              <w:rPr>
                <w:sz w:val="13"/>
                <w:szCs w:val="13"/>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382,989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417,458</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(PIK 17.00%)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Credit Infonet,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10/26/2020</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2,090,982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2,051,232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2,090,982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Sonny's Enterprises,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06/01/2023</w:t>
            </w:r>
          </w:p>
        </w:tc>
        <w:tc>
          <w:tcPr>
            <w:tcW w:w="24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4,662,663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07/15/2019</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170,523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170,523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173,933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15.00%)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7,267,407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7,432,373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Equity—0.5%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472,846</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1,509,417</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1,119,134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1,982,263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Equity/Warrants—2.2%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2,263,885</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6,398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215,182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339,402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By Light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2,601,944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429,091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Faraday Holdings, LLC (Interior Specialists,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58,044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204,710</w:t>
            </w: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631,240</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(The Infosoft Group,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27,995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16,020</w:t>
            </w: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342,767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1,274,388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10,283,190</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10,057,055</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665,514,821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666,973,639</w:t>
            </w:r>
          </w:p>
        </w:tc>
        <w:tc>
          <w:tcPr>
            <w:tcW w:w="100" w:type="dxa"/>
            <w:vAlign w:val="bottom"/>
            <w:tcBorders>
              <w:bottom w:val="single" w:sz="8" w:color="CCECFF"/>
            </w:tcBorders>
          </w:tcPr>
          <w:p>
            <w:pPr>
              <w:spacing w:after="0"/>
              <w:rPr>
                <w:sz w:val="12"/>
                <w:szCs w:val="12"/>
                <w:color w:val="auto"/>
              </w:rPr>
            </w:pPr>
          </w:p>
        </w:tc>
      </w:tr>
      <w:tr>
        <w:trPr>
          <w:trHeight w:val="142"/>
        </w:trPr>
        <w:tc>
          <w:tcPr>
            <w:tcW w:w="39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8"/>
              </w:rPr>
              <w:t xml:space="preserve">Investments in Controlled, Affiliated Portfolio Companies—9.5% </w:t>
            </w:r>
            <w:r>
              <w:rPr>
                <w:rFonts w:ascii="Arial" w:cs="Arial" w:eastAsia="Arial" w:hAnsi="Arial"/>
                <w:sz w:val="9"/>
                <w:szCs w:val="9"/>
                <w:b w:val="1"/>
                <w:bCs w:val="1"/>
                <w:color w:val="auto"/>
                <w:w w:val="98"/>
              </w:rPr>
              <w:t>(3), (4)</w:t>
            </w: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Subordinated Debt/Corporate Notes—6.6%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05/06/2024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6.34%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30,100,000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30,100,000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30,100,000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Equity Interests—2.9% </w:t>
            </w:r>
            <w:r>
              <w:rPr>
                <w:rFonts w:ascii="Arial" w:cs="Arial" w:eastAsia="Arial" w:hAnsi="Arial"/>
                <w:sz w:val="9"/>
                <w:szCs w:val="9"/>
                <w:b w:val="1"/>
                <w:bCs w:val="1"/>
                <w:color w:val="auto"/>
              </w:rPr>
              <w:t>(7), (8)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(10)</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12,900,000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13,425,143</w:t>
            </w:r>
          </w:p>
        </w:tc>
        <w:tc>
          <w:tcPr>
            <w:tcW w:w="100" w:type="dxa"/>
            <w:vAlign w:val="bottom"/>
            <w:shd w:val="clear" w:color="auto" w:fill="CCECFF"/>
          </w:tcPr>
          <w:p>
            <w:pPr>
              <w:spacing w:after="0"/>
              <w:rPr>
                <w:sz w:val="12"/>
                <w:szCs w:val="12"/>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43,525,143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Total Investments—155.2%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708,514,821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710,498,782</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Cash and Cash Equivalents—4.1%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16,818,166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16,818,166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2,029,507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2,092,590</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18,847,673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18,910,756</w:t>
            </w:r>
          </w:p>
        </w:tc>
        <w:tc>
          <w:tcPr>
            <w:tcW w:w="100" w:type="dxa"/>
            <w:vAlign w:val="bottom"/>
            <w:shd w:val="clear" w:color="auto" w:fill="CCECFF"/>
          </w:tcPr>
          <w:p>
            <w:pPr>
              <w:spacing w:after="0"/>
              <w:rPr>
                <w:sz w:val="12"/>
                <w:szCs w:val="12"/>
                <w:color w:val="auto"/>
              </w:rPr>
            </w:pPr>
          </w:p>
        </w:tc>
      </w:tr>
      <w:tr>
        <w:trPr>
          <w:trHeight w:val="18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Equivalents—159.3%</w:t>
            </w:r>
          </w:p>
        </w:tc>
        <w:tc>
          <w:tcPr>
            <w:tcW w:w="120" w:type="dxa"/>
            <w:vAlign w:val="bottom"/>
            <w:tcBorders>
              <w:bottom w:val="single" w:sz="8" w:color="CCECFF"/>
            </w:tcBorders>
          </w:tcPr>
          <w:p>
            <w:pPr>
              <w:spacing w:after="0"/>
              <w:rPr>
                <w:sz w:val="15"/>
                <w:szCs w:val="15"/>
                <w:color w:val="auto"/>
              </w:rPr>
            </w:pPr>
          </w:p>
        </w:tc>
        <w:tc>
          <w:tcPr>
            <w:tcW w:w="54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264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8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727,362,494</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729,409,538</w:t>
            </w:r>
          </w:p>
        </w:tc>
        <w:tc>
          <w:tcPr>
            <w:tcW w:w="100" w:type="dxa"/>
            <w:vAlign w:val="bottom"/>
            <w:tcBorders>
              <w:bottom w:val="single" w:sz="8" w:color="CCECFF"/>
            </w:tcBorders>
          </w:tcPr>
          <w:p>
            <w:pPr>
              <w:spacing w:after="0"/>
              <w:rPr>
                <w:sz w:val="15"/>
                <w:szCs w:val="15"/>
                <w:color w:val="auto"/>
              </w:rPr>
            </w:pPr>
          </w:p>
        </w:tc>
      </w:tr>
      <w:tr>
        <w:trPr>
          <w:trHeight w:val="129"/>
        </w:trPr>
        <w:tc>
          <w:tcPr>
            <w:tcW w:w="300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Assets—(59.3)%</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3"/>
              </w:rPr>
              <w:t>(271,503,264)</w:t>
            </w: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457,906,274</w:t>
            </w:r>
          </w:p>
        </w:tc>
        <w:tc>
          <w:tcPr>
            <w:tcW w:w="10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3" w:lineRule="exact"/>
        <w:rPr>
          <w:sz w:val="20"/>
          <w:szCs w:val="20"/>
          <w:color w:val="auto"/>
        </w:rPr>
      </w:pPr>
    </w:p>
    <w:p>
      <w:pPr>
        <w:ind w:left="380" w:right="1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EURIBOR or “E,”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87% of our total assets and non-qualifying assets represent 13%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40" w:hanging="320"/>
        <w:spacing w:after="0"/>
        <w:tabs>
          <w:tab w:leader="none" w:pos="340" w:val="left"/>
        </w:tabs>
        <w:numPr>
          <w:ilvl w:val="1"/>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 by investing primarily in loans bearing a variable-rate of interest, or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84"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$405 million at LIBOR plus 200 basis points during the revolving period. The Credit Facility is secured by all of the assets held by Funding I. See Note 10.</w:t>
      </w:r>
    </w:p>
    <w:p>
      <w:pPr>
        <w:spacing w:after="0" w:line="107"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May 2017, we and Trinity Universal Insurance Company, or Trinity, a subsidiary of Kemper Corporation (NYSE: KMPR), or Kemper, formed PSSL, an unconsolidated joint venture.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PSSL invests primarily in middle-market and other corporate debt securities consistent with our strategy. PSSL was formed as a Delaware limited liability company. See Note 4.</w:t>
      </w:r>
    </w:p>
    <w:p>
      <w:pPr>
        <w:spacing w:after="0" w:line="124"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In October and November 2017, we completed a follow-on public offering of 6,292,000 shares of common stock at a public offering price of $14.15 per share resulting in net proceeds of approximately $88.0 million. The Investment Adviser paid approximately $2.1 million of the sales load payable to the underwriters. We are not obligated to repay the sales load paid by our Investment Adviser.</w:t>
      </w:r>
    </w:p>
    <w:p>
      <w:pPr>
        <w:spacing w:after="0" w:line="115"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 or FASB,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7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30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22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00" w:right="20" w:hanging="447"/>
        <w:spacing w:after="0" w:line="264" w:lineRule="auto"/>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260" w:hanging="447"/>
        <w:spacing w:after="0" w:line="238"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2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ASC-450-30.</w:t>
      </w:r>
    </w:p>
    <w:p>
      <w:pPr>
        <w:spacing w:after="0" w:line="118" w:lineRule="exact"/>
        <w:rPr>
          <w:sz w:val="20"/>
          <w:szCs w:val="20"/>
          <w:color w:val="auto"/>
        </w:rPr>
      </w:pPr>
    </w:p>
    <w:p>
      <w:pPr>
        <w:ind w:right="26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right="200" w:firstLine="434"/>
        <w:spacing w:after="0" w:line="228" w:lineRule="auto"/>
        <w:rPr>
          <w:sz w:val="20"/>
          <w:szCs w:val="20"/>
          <w:color w:val="auto"/>
        </w:rPr>
      </w:pPr>
      <w:r>
        <w:rPr>
          <w:rFonts w:ascii="Arial" w:cs="Arial" w:eastAsia="Arial" w:hAnsi="Arial"/>
          <w:sz w:val="14"/>
          <w:szCs w:val="14"/>
          <w:color w:val="auto"/>
        </w:rPr>
        <w:t>We have complied with the requirements of Subchapter M of the Code and expect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However, we may elect to retain a portion of our calendar year income, which may result in the imposition of an excise tax, or we may incur taxes through our Taxable Subsidiaries. For the three and six months ended March 31, 2018, we recorded a provision for taxes of $0.2 million and $0.4 million, respectively, pertaining to U.S. federal excise tax. For both the three and six months ended March 31, 2017, we recorded a provision for taxes of $0.1 million pertaining to U.S. federal excise tax.</w:t>
      </w:r>
    </w:p>
    <w:p>
      <w:pPr>
        <w:spacing w:after="0" w:line="117"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March 31, 2018, there were no tax accruals relating to uncertain tax positions and no amounts accrued for interest or penalties.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8"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5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1180" w:hanging="362"/>
        <w:spacing w:after="0"/>
        <w:tabs>
          <w:tab w:leader="none" w:pos="118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40" w:firstLine="438"/>
        <w:spacing w:after="0" w:line="264" w:lineRule="auto"/>
        <w:rPr>
          <w:sz w:val="20"/>
          <w:szCs w:val="20"/>
          <w:color w:val="auto"/>
        </w:rPr>
      </w:pPr>
      <w:r>
        <w:rPr>
          <w:rFonts w:ascii="Arial" w:cs="Arial" w:eastAsia="Arial" w:hAnsi="Arial"/>
          <w:sz w:val="13"/>
          <w:szCs w:val="13"/>
          <w:color w:val="auto"/>
        </w:rPr>
        <w:t>As permitted under Regulation S-X and as explained by ASC paragraph 946-810-45-3,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 our Consolidated Financial Statements. We do not consolidate our non-controlling interest in PSSL. See further description of our investment in PSSL in Note 4.</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23"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9"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2018, the Investment Adviser earned a base management fee of $1.9 million and $3.8 million, respectively, from us. For the three and six months ended March 31, 2017, the Investment Adviser earned a base management fee of $1.7 million and $3.3 million, respectively, from us.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jc w:val="both"/>
        <w:ind w:right="380" w:firstLine="438"/>
        <w:spacing w:after="0" w:line="238" w:lineRule="auto"/>
        <w:rPr>
          <w:sz w:val="20"/>
          <w:szCs w:val="20"/>
          <w:color w:val="auto"/>
        </w:rPr>
      </w:pPr>
      <w:r>
        <w:rPr>
          <w:rFonts w:ascii="Arial" w:cs="Arial" w:eastAsia="Arial" w:hAnsi="Arial"/>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40"/>
        <w:spacing w:after="0" w:line="223" w:lineRule="auto"/>
        <w:rPr>
          <w:sz w:val="20"/>
          <w:szCs w:val="20"/>
          <w:color w:val="auto"/>
        </w:rPr>
      </w:pPr>
      <w:r>
        <w:rPr>
          <w:rFonts w:ascii="Arial" w:cs="Arial" w:eastAsia="Arial" w:hAnsi="Arial"/>
          <w:sz w:val="14"/>
          <w:szCs w:val="14"/>
          <w:color w:val="auto"/>
        </w:rPr>
        <w:t>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w:t>
      </w:r>
    </w:p>
    <w:p>
      <w:pPr>
        <w:spacing w:after="0" w:line="3"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both the three and six months ended March 31, 2018, the Investment Adviser earned $0.2 million in incentive fees on net investment income from us. For the three and six months ended March 31, 2017, the Investment Adviser earned $0.6 million and $1.4 million, respectively, in incentive fees on net investment income from us.</w:t>
      </w:r>
    </w:p>
    <w:p>
      <w:pPr>
        <w:spacing w:after="0" w:line="118" w:lineRule="exact"/>
        <w:rPr>
          <w:sz w:val="20"/>
          <w:szCs w:val="20"/>
          <w:color w:val="auto"/>
        </w:rPr>
      </w:pPr>
    </w:p>
    <w:p>
      <w:pPr>
        <w:ind w:right="160" w:firstLine="438"/>
        <w:spacing w:after="0" w:line="229"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six months ended March 31, 2018, the Investment Adviser accrued an incentive fee on capital gains of zero and reversed a prior accrual of $(0.1) million, respectively, as calculated under the Investment Management Agreement (as described above). For the three and six months ended March 31, 2017, the Investment Adviser did not earn an incentive fee on capital gains, as calculated under the Investment Management Agreement (as described above).</w:t>
      </w:r>
    </w:p>
    <w:p>
      <w:pPr>
        <w:spacing w:after="0" w:line="118" w:lineRule="exact"/>
        <w:rPr>
          <w:sz w:val="20"/>
          <w:szCs w:val="20"/>
          <w:color w:val="auto"/>
        </w:rPr>
      </w:pPr>
    </w:p>
    <w:p>
      <w:pPr>
        <w:ind w:right="80" w:firstLine="438"/>
        <w:spacing w:after="0" w:line="226"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three and six months ended March 31, 2018 was $0.2 million and $0.4 million, respectively. The incentive fee accrued for under GAAP on our unrealized and realized capital gains for the three and six months ended March 31, 2017 was $(0.1) million and $0.5 million, respectively.</w:t>
      </w:r>
    </w:p>
    <w:p>
      <w:pPr>
        <w:spacing w:after="0" w:line="121"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2018.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2018, we reimbursed the Investment Adviser approximately $0.6 million and $0.9 million, respectively, including expenses the Investment Adviser incurred on behalf of the Administrator, for services described above. For the three and six months ended March 31, 2017, we reimbursed the Investment Adviser approximately $0.7 million and $1.0 million, respectively, including expenses the Investment Adviser incurred on behalf of the Administrator, for services described above.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During the three and six months ended March 31, 2018, there were no transactions with any affiliated fund managed by our Investment Adviser. During the three and six months ended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March 31, 2017, the Company purchased $38.1 million and $38.1 million, respectively, from and sold zero and $5.0 million in total investments, respectively, to an affiliated fund managed by our</w:t>
      </w:r>
    </w:p>
    <w:p>
      <w:pPr>
        <w:spacing w:after="0"/>
        <w:rPr>
          <w:sz w:val="20"/>
          <w:szCs w:val="20"/>
          <w:color w:val="auto"/>
        </w:rPr>
      </w:pPr>
      <w:r>
        <w:rPr>
          <w:rFonts w:ascii="Arial" w:cs="Arial" w:eastAsia="Arial" w:hAnsi="Arial"/>
          <w:sz w:val="13"/>
          <w:szCs w:val="13"/>
          <w:color w:val="auto"/>
        </w:rPr>
        <w:t>Investment Adviser in accordance with, and pursuant to procedures adopted under, Rule 17a-7 under the 1940 Act. Realized gains on those sales amounted to less than $0.1 million.</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For the three and six months ended March 31, 2018, we sold $6.2 million and $33.4 million, respectively, in investments to PSSL at fair value and recognized less than $0.1 million of net realized gains for both periods. There were no such transactions for the three and six months ended March 31, 2017.</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Purchases of investments, including PIK interest, for the three and six months ended March 31, 2018 totaled $138.6 million and $315.7 million, respectively. For the same periods in the prior year, purchases of investments, including PIK interest, totaled $146.5 million and $271.3 million, respectively. Sales and repayments of investments for the three and six months ended March 31, 2018 totaled $46.6 million and $195.7 million, respectively. For the same periods in the prior year, sales and repayments of investments totaled $71.5 million and $141.9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gridSpan w:val="2"/>
          </w:tcPr>
          <w:p>
            <w:pPr>
              <w:ind w:left="440"/>
              <w:spacing w:after="0"/>
              <w:rPr>
                <w:sz w:val="20"/>
                <w:szCs w:val="20"/>
                <w:color w:val="auto"/>
              </w:rPr>
            </w:pPr>
            <w:r>
              <w:rPr>
                <w:rFonts w:ascii="Arial" w:cs="Arial" w:eastAsia="Arial" w:hAnsi="Arial"/>
                <w:sz w:val="14"/>
                <w:szCs w:val="14"/>
                <w:color w:val="auto"/>
                <w:w w:val="93"/>
              </w:rPr>
              <w:t>Investments and cash and cash equivalents consisted of the following:</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6"/>
          </w:tcPr>
          <w:p>
            <w:pPr>
              <w:ind w:left="64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6"/>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701,266,721</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705,303,470</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607,582,054</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 xml:space="preserve">First lien in PSSL </w:t>
            </w:r>
            <w:r>
              <w:rPr>
                <w:rFonts w:ascii="Arial" w:cs="Arial" w:eastAsia="Arial" w:hAnsi="Arial"/>
                <w:sz w:val="12"/>
                <w:szCs w:val="12"/>
                <w:color w:val="auto"/>
              </w:rPr>
              <w:t>(1)</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53,200,000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53,200,000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37,675,797</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36,119,880</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39,263,036</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37,833,394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Subordinated debt / corporate notes</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183,773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187,449</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7,267,407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7,432,373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Subordinated debt in PSSL </w:t>
            </w:r>
            <w:r>
              <w:rPr>
                <w:rFonts w:ascii="Arial" w:cs="Arial" w:eastAsia="Arial" w:hAnsi="Arial"/>
                <w:sz w:val="12"/>
                <w:szCs w:val="12"/>
                <w:color w:val="auto"/>
              </w:rPr>
              <w:t>(1)</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30,100,000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13,660,622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14,897,550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11,402,324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12,039,318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interests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22,800,000</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24,078,843</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12,900,000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13,425,143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828,786,913</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833,787,192</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708,514,821</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710,498,782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48,414,852</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0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48,407,896</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18,847,673</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18,910,756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877,201,765</w:t>
            </w:r>
          </w:p>
        </w:tc>
        <w:tc>
          <w:tcPr>
            <w:tcW w:w="280" w:type="dxa"/>
            <w:vAlign w:val="bottom"/>
          </w:tcPr>
          <w:p>
            <w:pPr>
              <w:spacing w:after="0"/>
              <w:rPr>
                <w:sz w:val="13"/>
                <w:szCs w:val="13"/>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882,195,088</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727,362,494</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729,409,538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960" w:hanging="514"/>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4"/>
          <w:szCs w:val="14"/>
          <w:color w:val="auto"/>
        </w:rPr>
        <w:t>During the three months ended March 31, 2018, our subordinated debt in PSSL was restructured to be first lien secured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65"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 xml:space="preserve">March 31, 2018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xml:space="preserve">September 30, 2017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High Tech Industries</w:t>
            </w:r>
          </w:p>
        </w:tc>
        <w:tc>
          <w:tcPr>
            <w:tcW w:w="200" w:type="dxa"/>
            <w:vAlign w:val="bottom"/>
            <w:shd w:val="clear" w:color="auto" w:fill="CCECFF"/>
          </w:tcPr>
          <w:p>
            <w:pPr>
              <w:spacing w:after="0"/>
              <w:rPr>
                <w:sz w:val="13"/>
                <w:szCs w:val="13"/>
                <w:color w:val="auto"/>
              </w:rPr>
            </w:pPr>
          </w:p>
        </w:tc>
        <w:tc>
          <w:tcPr>
            <w:tcW w:w="274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14%</w:t>
            </w:r>
          </w:p>
        </w:tc>
        <w:tc>
          <w:tcPr>
            <w:tcW w:w="25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Consumer Goods: Non-Durable</w:t>
            </w:r>
          </w:p>
        </w:tc>
        <w:tc>
          <w:tcPr>
            <w:tcW w:w="2400" w:type="dxa"/>
            <w:vAlign w:val="bottom"/>
          </w:tcPr>
          <w:p>
            <w:pPr>
              <w:jc w:val="right"/>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Hotel, Gaming and Leisure</w:t>
            </w: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Beverage, Food and Tobacco</w:t>
            </w: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Capital Equipment</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Healthcare and Pharmaceuticals</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Chemicals, Plastics and Rubber</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Wholesale</w:t>
            </w: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Media: Diversified and Production</w:t>
            </w: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Banking, Finance, Insurance and Real Estate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Construction and Building</w:t>
            </w: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CCECFF"/>
          </w:tcPr>
          <w:p>
            <w:pPr>
              <w:spacing w:after="0"/>
              <w:rPr>
                <w:sz w:val="20"/>
                <w:szCs w:val="20"/>
                <w:color w:val="auto"/>
              </w:rPr>
            </w:pPr>
            <w:r>
              <w:rPr>
                <w:rFonts w:ascii="Arial" w:cs="Arial" w:eastAsia="Arial" w:hAnsi="Arial"/>
                <w:sz w:val="14"/>
                <w:szCs w:val="14"/>
                <w:color w:val="auto"/>
                <w:w w:val="94"/>
              </w:rPr>
              <w:t>Retail</w:t>
            </w:r>
          </w:p>
        </w:tc>
        <w:tc>
          <w:tcPr>
            <w:tcW w:w="258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Media: Broadcasting and Subscription</w:t>
            </w:r>
          </w:p>
        </w:tc>
        <w:tc>
          <w:tcPr>
            <w:tcW w:w="240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All Other</w:t>
            </w: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100%</w:t>
            </w:r>
          </w:p>
        </w:tc>
        <w:tc>
          <w:tcPr>
            <w:tcW w:w="2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3020" w:type="dxa"/>
            <w:vAlign w:val="bottom"/>
            <w:gridSpan w:val="2"/>
            <w:vMerge w:val="restart"/>
          </w:tcPr>
          <w:p>
            <w:pPr>
              <w:spacing w:after="0"/>
              <w:rPr>
                <w:sz w:val="13"/>
                <w:szCs w:val="13"/>
                <w:color w:val="auto"/>
              </w:rPr>
            </w:pPr>
          </w:p>
        </w:tc>
        <w:tc>
          <w:tcPr>
            <w:tcW w:w="2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2580" w:type="dxa"/>
            <w:vAlign w:val="bottom"/>
          </w:tcPr>
          <w:p>
            <w:pPr>
              <w:ind w:left="20"/>
              <w:spacing w:after="0"/>
              <w:rPr>
                <w:sz w:val="20"/>
                <w:szCs w:val="20"/>
                <w:color w:val="auto"/>
              </w:rPr>
            </w:pPr>
            <w:r>
              <w:rPr>
                <w:rFonts w:ascii="Arial" w:cs="Arial" w:eastAsia="Arial" w:hAnsi="Arial"/>
                <w:sz w:val="14"/>
                <w:szCs w:val="14"/>
                <w:color w:val="auto"/>
              </w:rPr>
              <w:t>Excludes investments in PSSL.</w:t>
            </w:r>
          </w:p>
        </w:tc>
        <w:tc>
          <w:tcPr>
            <w:tcW w:w="3020" w:type="dxa"/>
            <w:vAlign w:val="bottom"/>
            <w:gridSpan w:val="2"/>
            <w:vMerge w:val="continue"/>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2018, PSSL had total assets of $239.9 million. As of the same date, we and Kemper had remaining commitments to fund first lien secured debt and equity interests in PSSL in an aggregate of $18.1 million. PSSL invests in portfolio companies in the same industries in which we may directly invest. During the three months ended March 31, 2018, the terms of our debt investment in PSSL were modified to eliminate the subordination provision and to grant us a security interest in certain assets of PSSL.</w:t>
      </w:r>
    </w:p>
    <w:p>
      <w:pPr>
        <w:spacing w:after="0" w:line="10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March 31, 2018, we and Kemper owned 87.5% and 12.5%, respectively, of each of the outstanding first lien secured debt and equity interests. As of the same date, our investment in PSSL consisted of equity interests of $22.8 million and first lien secured debt of $53.2 million. As of the same date, we had commitments to fund first lien secured debt to PSSL of $64.3 million, of which $11.1 million was unfunded. As of March 31, 2018, we had commitments to fund equity interests in PSSL of $27.6 million, of which $4.8 million was unfunded.</w:t>
      </w:r>
    </w:p>
    <w:p>
      <w:pPr>
        <w:spacing w:after="0" w:line="117"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Additionally, PSSL has entered into a senior secured revolving credit facility, or the PSSL Credit Facility, with Capital One, N.A. through its wholly-owned subsidiary PennantPark Senior Secured Loan Facility LLC, or PSSL Subsidiary, which as of March 31, 2018 allowed PSSL Subsidiary to borrow up to $210.0 million at any one time outstanding, subject to leverage and borrowing base restrictions.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2017</w:t>
            </w:r>
          </w:p>
        </w:tc>
      </w:tr>
      <w:tr>
        <w:trPr>
          <w:trHeight w:val="156"/>
        </w:trPr>
        <w:tc>
          <w:tcPr>
            <w:tcW w:w="54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7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221,213,574</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99,994,314</w:t>
            </w:r>
          </w:p>
        </w:tc>
        <w:tc>
          <w:tcPr>
            <w:tcW w:w="140" w:type="dxa"/>
            <w:vAlign w:val="bottom"/>
            <w:tcBorders>
              <w:top w:val="single" w:sz="8" w:color="CCECFF"/>
            </w:tcBorders>
            <w:shd w:val="clear" w:color="auto" w:fill="CCECFF"/>
          </w:tcPr>
          <w:p>
            <w:pPr>
              <w:spacing w:after="0"/>
              <w:rPr>
                <w:sz w:val="13"/>
                <w:szCs w:val="13"/>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r>
      <w:tr>
        <w:trPr>
          <w:trHeight w:val="162"/>
        </w:trPr>
        <w:tc>
          <w:tcPr>
            <w:tcW w:w="540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17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CFF"/>
          </w:tcPr>
          <w:p>
            <w:pPr>
              <w:spacing w:after="0"/>
              <w:rPr>
                <w:sz w:val="14"/>
                <w:szCs w:val="14"/>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02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13,135,874</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8,080,000</w:t>
            </w:r>
          </w:p>
        </w:tc>
        <w:tc>
          <w:tcPr>
            <w:tcW w:w="140" w:type="dxa"/>
            <w:vAlign w:val="bottom"/>
          </w:tcPr>
          <w:p>
            <w:pPr>
              <w:spacing w:after="0"/>
              <w:rPr>
                <w:sz w:val="14"/>
                <w:szCs w:val="14"/>
                <w:color w:val="auto"/>
              </w:rPr>
            </w:pPr>
          </w:p>
        </w:tc>
      </w:tr>
      <w:tr>
        <w:trPr>
          <w:trHeight w:val="162"/>
        </w:trPr>
        <w:tc>
          <w:tcPr>
            <w:tcW w:w="540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02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62,437,832</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34,935,330</w:t>
            </w:r>
          </w:p>
        </w:tc>
        <w:tc>
          <w:tcPr>
            <w:tcW w:w="140" w:type="dxa"/>
            <w:vAlign w:val="bottom"/>
            <w:shd w:val="clear" w:color="auto" w:fill="CCECFF"/>
          </w:tcPr>
          <w:p>
            <w:pPr>
              <w:spacing w:after="0"/>
              <w:rPr>
                <w:sz w:val="14"/>
                <w:szCs w:val="14"/>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Below is a listing of PSSL’s individual investments as of March 31, 2018:</w:t>
      </w:r>
    </w:p>
    <w:p>
      <w:pPr>
        <w:spacing w:after="0" w:line="28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Maturity</w:t>
            </w:r>
          </w:p>
        </w:tc>
        <w:tc>
          <w:tcPr>
            <w:tcW w:w="2700" w:type="dxa"/>
            <w:vAlign w:val="bottom"/>
            <w:tcBorders>
              <w:bottom w:val="single" w:sz="8" w:color="auto"/>
            </w:tcBorders>
          </w:tcPr>
          <w:p>
            <w:pPr>
              <w:ind w:left="1160"/>
              <w:spacing w:after="0"/>
              <w:rPr>
                <w:sz w:val="20"/>
                <w:szCs w:val="20"/>
                <w:color w:val="auto"/>
              </w:rPr>
            </w:pPr>
            <w:r>
              <w:rPr>
                <w:rFonts w:ascii="Arial" w:cs="Arial" w:eastAsia="Arial" w:hAnsi="Arial"/>
                <w:sz w:val="12"/>
                <w:szCs w:val="12"/>
                <w:b w:val="1"/>
                <w:bCs w:val="1"/>
                <w:color w:val="auto"/>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Par</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Investments in Non-Controlled, Non-Affiliated Portfolio Companies—803.9%</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Debt—803.9%</w:t>
            </w: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04/04/2022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6.88%</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5,522,843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5,462,516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5,529,747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11/30/2021</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Transportation: Consumer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6.94%</w:t>
            </w:r>
          </w:p>
        </w:tc>
        <w:tc>
          <w:tcPr>
            <w:tcW w:w="780" w:type="dxa"/>
            <w:vAlign w:val="bottom"/>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4,987,406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4,942,249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4,912,594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08/01/2024</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6.29%</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4,927,486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5,018,531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04/22/2022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8.23%</w:t>
            </w:r>
          </w:p>
        </w:tc>
        <w:tc>
          <w:tcPr>
            <w:tcW w:w="780" w:type="dxa"/>
            <w:vAlign w:val="bottom"/>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4,892,947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4,850,313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4,917,412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05/16/2022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9.11%</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10,837,152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10,587,854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10,837,152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Cadence Aerospace,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11/14/2023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8.33%</w:t>
            </w:r>
          </w:p>
        </w:tc>
        <w:tc>
          <w:tcPr>
            <w:tcW w:w="780" w:type="dxa"/>
            <w:vAlign w:val="bottom"/>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6,483,750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6,423,327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6,491,475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11/29/2023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7.63%</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7,462,217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7,416,826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7,499,528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03/31/2023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7.30%</w:t>
            </w:r>
          </w:p>
        </w:tc>
        <w:tc>
          <w:tcPr>
            <w:tcW w:w="780" w:type="dxa"/>
            <w:vAlign w:val="bottom"/>
          </w:tcPr>
          <w:p>
            <w:pPr>
              <w:jc w:val="right"/>
              <w:spacing w:after="0"/>
              <w:rPr>
                <w:sz w:val="20"/>
                <w:szCs w:val="20"/>
                <w:color w:val="auto"/>
              </w:rPr>
            </w:pPr>
            <w:r>
              <w:rPr>
                <w:rFonts w:ascii="Arial" w:cs="Arial" w:eastAsia="Arial" w:hAnsi="Arial"/>
                <w:sz w:val="12"/>
                <w:szCs w:val="12"/>
                <w:color w:val="auto"/>
              </w:rPr>
              <w:t>3M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4,750,395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4,750,395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4,558,778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08/02/2021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7.13%</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12,380,173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DigiCert Holdings,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10/31/2024</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6.52%</w:t>
            </w:r>
          </w:p>
        </w:tc>
        <w:tc>
          <w:tcPr>
            <w:tcW w:w="780" w:type="dxa"/>
            <w:vAlign w:val="bottom"/>
          </w:tcPr>
          <w:p>
            <w:pPr>
              <w:jc w:val="right"/>
              <w:spacing w:after="0"/>
              <w:rPr>
                <w:sz w:val="20"/>
                <w:szCs w:val="20"/>
                <w:color w:val="auto"/>
              </w:rPr>
            </w:pPr>
            <w:r>
              <w:rPr>
                <w:rFonts w:ascii="Arial" w:cs="Arial" w:eastAsia="Arial" w:hAnsi="Arial"/>
                <w:sz w:val="12"/>
                <w:szCs w:val="12"/>
                <w:color w:val="auto"/>
              </w:rPr>
              <w:t>3M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7,962,812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8,085,040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12/29/2023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6.88%</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9,876,442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9,900,188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12/09/2020</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5.91%</w:t>
            </w:r>
          </w:p>
        </w:tc>
        <w:tc>
          <w:tcPr>
            <w:tcW w:w="780" w:type="dxa"/>
            <w:vAlign w:val="bottom"/>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4,733,745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03/29/2022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12,281,563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12,281,250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09/30/2022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6.42%</w:t>
            </w:r>
          </w:p>
        </w:tc>
        <w:tc>
          <w:tcPr>
            <w:tcW w:w="780" w:type="dxa"/>
            <w:vAlign w:val="bottom"/>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4,832,032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10/12/2021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8.00%</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E+800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9,874,214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11,827,478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12,145,708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Impact Sales,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12/30/2021</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8.69%</w:t>
            </w:r>
          </w:p>
        </w:tc>
        <w:tc>
          <w:tcPr>
            <w:tcW w:w="780" w:type="dxa"/>
            <w:vAlign w:val="bottom"/>
          </w:tcPr>
          <w:p>
            <w:pPr>
              <w:jc w:val="right"/>
              <w:spacing w:after="0"/>
              <w:rPr>
                <w:sz w:val="20"/>
                <w:szCs w:val="20"/>
                <w:color w:val="auto"/>
              </w:rPr>
            </w:pPr>
            <w:r>
              <w:rPr>
                <w:rFonts w:ascii="Arial" w:cs="Arial" w:eastAsia="Arial" w:hAnsi="Arial"/>
                <w:sz w:val="12"/>
                <w:szCs w:val="12"/>
                <w:color w:val="auto"/>
              </w:rPr>
              <w:t>2M L+700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4,959,849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4,946,246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4,959,849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12/12/2023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6.56%</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7,297,298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7,434,996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05/01/2023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7.69%</w:t>
            </w:r>
          </w:p>
        </w:tc>
        <w:tc>
          <w:tcPr>
            <w:tcW w:w="7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7,359,375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7,419,949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7,310,288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12/08/2023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7.71%</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6,982,500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6,881,903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6,915,963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01/27/2021</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6.87%</w:t>
            </w:r>
          </w:p>
        </w:tc>
        <w:tc>
          <w:tcPr>
            <w:tcW w:w="780" w:type="dxa"/>
            <w:vAlign w:val="bottom"/>
          </w:tcPr>
          <w:p>
            <w:pPr>
              <w:jc w:val="right"/>
              <w:spacing w:after="0"/>
              <w:rPr>
                <w:sz w:val="20"/>
                <w:szCs w:val="20"/>
                <w:color w:val="auto"/>
              </w:rPr>
            </w:pPr>
            <w:r>
              <w:rPr>
                <w:rFonts w:ascii="Arial" w:cs="Arial" w:eastAsia="Arial" w:hAnsi="Arial"/>
                <w:sz w:val="12"/>
                <w:szCs w:val="12"/>
                <w:color w:val="auto"/>
              </w:rPr>
              <w:t>P+275</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4,614,469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4,656,936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12/27/2023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6.32%</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8,977,500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8,933,457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9,033,609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McAfee,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09/30/2024</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6.38%</w:t>
            </w:r>
          </w:p>
        </w:tc>
        <w:tc>
          <w:tcPr>
            <w:tcW w:w="78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7,462,500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7,392,727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7,533,991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09/28/2022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6.84%</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4,054,859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4,032,413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4,037,865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02/10/2023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8.30%</w:t>
            </w:r>
          </w:p>
        </w:tc>
        <w:tc>
          <w:tcPr>
            <w:tcW w:w="780" w:type="dxa"/>
            <w:vAlign w:val="bottom"/>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13,201,883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13,060,451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13,135,874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Snak Club,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07/19/2021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7.16%</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4,781,245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4,781,245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4,757,339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Sonny's Enterprises,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12/01/2022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6.38%</w:t>
            </w:r>
          </w:p>
        </w:tc>
        <w:tc>
          <w:tcPr>
            <w:tcW w:w="780" w:type="dxa"/>
            <w:vAlign w:val="bottom"/>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9,975,000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9,978,117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12/02/2021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5,099,730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5,099,731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5,099,730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UBEO,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04/03/2024</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6.39%</w:t>
            </w:r>
          </w:p>
        </w:tc>
        <w:tc>
          <w:tcPr>
            <w:tcW w:w="78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03/01/2023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8.31%</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4,810,455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4,788,618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Whitney, Bradley &amp; Brown, Inc.</w:t>
            </w:r>
          </w:p>
        </w:tc>
        <w:tc>
          <w:tcPr>
            <w:tcW w:w="960" w:type="dxa"/>
            <w:vAlign w:val="bottom"/>
            <w:tcBorders>
              <w:bottom w:val="single" w:sz="8" w:color="CCECFF"/>
            </w:tcBorders>
          </w:tcPr>
          <w:p>
            <w:pPr>
              <w:ind w:left="360"/>
              <w:spacing w:after="0"/>
              <w:rPr>
                <w:sz w:val="20"/>
                <w:szCs w:val="20"/>
                <w:color w:val="auto"/>
              </w:rPr>
            </w:pPr>
            <w:r>
              <w:rPr>
                <w:rFonts w:ascii="Arial" w:cs="Arial" w:eastAsia="Arial" w:hAnsi="Arial"/>
                <w:sz w:val="12"/>
                <w:szCs w:val="12"/>
                <w:color w:val="auto"/>
                <w:w w:val="96"/>
              </w:rPr>
              <w:t>10/18/2022</w:t>
            </w:r>
          </w:p>
        </w:tc>
        <w:tc>
          <w:tcPr>
            <w:tcW w:w="2820" w:type="dxa"/>
            <w:vAlign w:val="bottom"/>
            <w:tcBorders>
              <w:bottom w:val="single" w:sz="8" w:color="CCECFF"/>
            </w:tcBorders>
            <w:gridSpan w:val="2"/>
          </w:tcPr>
          <w:p>
            <w:pPr>
              <w:ind w:left="60"/>
              <w:spacing w:after="0"/>
              <w:rPr>
                <w:sz w:val="20"/>
                <w:szCs w:val="20"/>
                <w:color w:val="auto"/>
              </w:rPr>
            </w:pPr>
            <w:r>
              <w:rPr>
                <w:rFonts w:ascii="Arial" w:cs="Arial" w:eastAsia="Arial" w:hAnsi="Arial"/>
                <w:sz w:val="12"/>
                <w:szCs w:val="12"/>
                <w:color w:val="auto"/>
              </w:rPr>
              <w:t>Aerospace and Defense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10.89%</w:t>
            </w:r>
          </w:p>
        </w:tc>
        <w:tc>
          <w:tcPr>
            <w:tcW w:w="7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1M L+900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4,975,000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4,882,758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4,925,250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shd w:val="clear" w:color="auto" w:fill="CCECFF"/>
          </w:tcPr>
          <w:p>
            <w:pPr>
              <w:spacing w:after="0"/>
              <w:rPr>
                <w:sz w:val="12"/>
                <w:szCs w:val="12"/>
                <w:color w:val="auto"/>
              </w:rPr>
            </w:pP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219,761,430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221,213,574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27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219,761,430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221,213,574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Equivalents—58.2%</w:t>
            </w:r>
          </w:p>
        </w:tc>
        <w:tc>
          <w:tcPr>
            <w:tcW w:w="960" w:type="dxa"/>
            <w:vAlign w:val="bottom"/>
            <w:shd w:val="clear" w:color="auto" w:fill="CCECFF"/>
          </w:tcPr>
          <w:p>
            <w:pPr>
              <w:spacing w:after="0"/>
              <w:rPr>
                <w:sz w:val="12"/>
                <w:szCs w:val="12"/>
                <w:color w:val="auto"/>
              </w:rPr>
            </w:pP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15,545,814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15,545,814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960" w:type="dxa"/>
            <w:vAlign w:val="bottom"/>
            <w:shd w:val="clear" w:color="auto" w:fill="CCECFF"/>
          </w:tcPr>
          <w:p>
            <w:pPr>
              <w:spacing w:after="0"/>
              <w:rPr>
                <w:sz w:val="12"/>
                <w:szCs w:val="12"/>
                <w:color w:val="auto"/>
              </w:rPr>
            </w:pP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472,756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469,777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60" w:type="dxa"/>
            <w:vAlign w:val="bottom"/>
            <w:tcBorders>
              <w:bottom w:val="single" w:sz="8" w:color="CCECFF"/>
            </w:tcBorders>
          </w:tcPr>
          <w:p>
            <w:pPr>
              <w:spacing w:after="0"/>
              <w:rPr>
                <w:sz w:val="12"/>
                <w:szCs w:val="12"/>
                <w:color w:val="auto"/>
              </w:rPr>
            </w:pPr>
          </w:p>
        </w:tc>
        <w:tc>
          <w:tcPr>
            <w:tcW w:w="27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16,018,570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16,015,591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Equivalents—862.1%</w:t>
            </w:r>
          </w:p>
        </w:tc>
        <w:tc>
          <w:tcPr>
            <w:tcW w:w="960" w:type="dxa"/>
            <w:vAlign w:val="bottom"/>
            <w:tcBorders>
              <w:bottom w:val="single" w:sz="8" w:color="CCECFF"/>
            </w:tcBorders>
            <w:shd w:val="clear" w:color="auto" w:fill="CCECFF"/>
          </w:tcPr>
          <w:p>
            <w:pPr>
              <w:spacing w:after="0"/>
              <w:rPr>
                <w:sz w:val="12"/>
                <w:szCs w:val="12"/>
                <w:color w:val="auto"/>
              </w:rPr>
            </w:pPr>
          </w:p>
        </w:tc>
        <w:tc>
          <w:tcPr>
            <w:tcW w:w="27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235,780,000</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237,229,165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Assets—(762.1)%</w:t>
            </w: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(209,710,489)</w:t>
            </w:r>
          </w:p>
        </w:tc>
        <w:tc>
          <w:tcPr>
            <w:tcW w:w="0" w:type="dxa"/>
            <w:vAlign w:val="bottom"/>
          </w:tcPr>
          <w:p>
            <w:pPr>
              <w:spacing w:after="0"/>
              <w:rPr>
                <w:sz w:val="1"/>
                <w:szCs w:val="1"/>
                <w:color w:val="auto"/>
              </w:rPr>
            </w:pPr>
          </w:p>
        </w:tc>
      </w:tr>
      <w:tr>
        <w:trPr>
          <w:trHeight w:val="149"/>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960" w:type="dxa"/>
            <w:vAlign w:val="bottom"/>
            <w:tcBorders>
              <w:bottom w:val="single" w:sz="8" w:color="CCECFF"/>
            </w:tcBorders>
            <w:shd w:val="clear" w:color="auto" w:fill="CCECFF"/>
          </w:tcPr>
          <w:p>
            <w:pPr>
              <w:spacing w:after="0"/>
              <w:rPr>
                <w:sz w:val="12"/>
                <w:szCs w:val="12"/>
                <w:color w:val="auto"/>
              </w:rPr>
            </w:pPr>
          </w:p>
        </w:tc>
        <w:tc>
          <w:tcPr>
            <w:tcW w:w="27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27,518,676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68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76" w:lineRule="exact"/>
        <w:rPr>
          <w:sz w:val="20"/>
          <w:szCs w:val="20"/>
          <w:color w:val="auto"/>
        </w:rPr>
      </w:pPr>
    </w:p>
    <w:p>
      <w:pPr>
        <w:ind w:left="380" w:right="2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2017:</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ind w:left="360"/>
              <w:spacing w:after="0"/>
              <w:rPr>
                <w:sz w:val="20"/>
                <w:szCs w:val="20"/>
                <w:color w:val="auto"/>
              </w:rPr>
            </w:pPr>
            <w:r>
              <w:rPr>
                <w:rFonts w:ascii="Arial" w:cs="Arial" w:eastAsia="Arial" w:hAnsi="Arial"/>
                <w:sz w:val="12"/>
                <w:szCs w:val="12"/>
                <w:b w:val="1"/>
                <w:bCs w:val="1"/>
                <w:color w:val="auto"/>
              </w:rPr>
              <w:t>Maturity</w:t>
            </w:r>
          </w:p>
        </w:tc>
        <w:tc>
          <w:tcPr>
            <w:tcW w:w="2760" w:type="dxa"/>
            <w:vAlign w:val="bottom"/>
            <w:gridSpan w:val="2"/>
          </w:tcPr>
          <w:p>
            <w:pPr>
              <w:ind w:left="1100"/>
              <w:spacing w:after="0"/>
              <w:rPr>
                <w:sz w:val="20"/>
                <w:szCs w:val="20"/>
                <w:color w:val="auto"/>
              </w:rPr>
            </w:pPr>
            <w:r>
              <w:rPr>
                <w:rFonts w:ascii="Arial" w:cs="Arial" w:eastAsia="Arial" w:hAnsi="Arial"/>
                <w:sz w:val="12"/>
                <w:szCs w:val="12"/>
                <w:b w:val="1"/>
                <w:bCs w:val="1"/>
                <w:color w:val="auto"/>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89"/>
              </w:rPr>
              <w:t>Investments in Non-Controlled, Non-Affiliated Portfolio Companies—651.7%</w:t>
            </w: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Debt—674.2%</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04/04/2022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5,664,954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5,597,299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5,636,629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Anvil International, LLC</w:t>
            </w:r>
          </w:p>
        </w:tc>
        <w:tc>
          <w:tcPr>
            <w:tcW w:w="1040" w:type="dxa"/>
            <w:vAlign w:val="bottom"/>
          </w:tcPr>
          <w:p>
            <w:pPr>
              <w:ind w:left="360"/>
              <w:spacing w:after="0"/>
              <w:rPr>
                <w:sz w:val="20"/>
                <w:szCs w:val="20"/>
                <w:color w:val="auto"/>
              </w:rPr>
            </w:pPr>
            <w:r>
              <w:rPr>
                <w:rFonts w:ascii="Arial" w:cs="Arial" w:eastAsia="Arial" w:hAnsi="Arial"/>
                <w:sz w:val="12"/>
                <w:szCs w:val="12"/>
                <w:color w:val="auto"/>
              </w:rPr>
              <w:t>08/01/2024</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L+450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04/22/2022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L+650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4,955,919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4,908,646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4,906,360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05/16/2022</w:t>
            </w:r>
          </w:p>
        </w:tc>
        <w:tc>
          <w:tcPr>
            <w:tcW w:w="2760" w:type="dxa"/>
            <w:vAlign w:val="bottom"/>
            <w:gridSpan w:val="2"/>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8.57%</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L+725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5,961,702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5,819,267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5,961,702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0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11/29/2023</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03/31/2023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4,875,132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4,807,559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10/31/2024</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040" w:type="dxa"/>
            <w:vAlign w:val="bottom"/>
          </w:tcPr>
          <w:p>
            <w:pPr>
              <w:ind w:left="360"/>
              <w:spacing w:after="0"/>
              <w:rPr>
                <w:sz w:val="20"/>
                <w:szCs w:val="20"/>
                <w:color w:val="auto"/>
              </w:rPr>
            </w:pPr>
            <w:r>
              <w:rPr>
                <w:rFonts w:ascii="Arial" w:cs="Arial" w:eastAsia="Arial" w:hAnsi="Arial"/>
                <w:sz w:val="12"/>
                <w:szCs w:val="12"/>
                <w:color w:val="auto"/>
              </w:rPr>
              <w:t>12/09/2020</w:t>
            </w:r>
          </w:p>
        </w:tc>
        <w:tc>
          <w:tcPr>
            <w:tcW w:w="2760" w:type="dxa"/>
            <w:vAlign w:val="bottom"/>
            <w:gridSpan w:val="2"/>
          </w:tcPr>
          <w:p>
            <w:pPr>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5.55%</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4,732,725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09/30/2022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6.06%</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4,951,225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040" w:type="dxa"/>
            <w:vAlign w:val="bottom"/>
          </w:tcPr>
          <w:p>
            <w:pPr>
              <w:ind w:left="360"/>
              <w:spacing w:after="0"/>
              <w:rPr>
                <w:sz w:val="20"/>
                <w:szCs w:val="20"/>
                <w:color w:val="auto"/>
              </w:rPr>
            </w:pPr>
            <w:r>
              <w:rPr>
                <w:rFonts w:ascii="Arial" w:cs="Arial" w:eastAsia="Arial" w:hAnsi="Arial"/>
                <w:sz w:val="12"/>
                <w:szCs w:val="12"/>
                <w:color w:val="auto"/>
              </w:rPr>
              <w:t>10/12/2021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E+800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4,937,107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5,742,092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5,836,653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12/30/2021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8.30%</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L+700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4,984,962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4,970,404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4,984,963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05/01/2023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7,453,125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7,521,186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7,468,628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09/28/2022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4,075,442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4,050,930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4,058,871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040" w:type="dxa"/>
            <w:vAlign w:val="bottom"/>
          </w:tcPr>
          <w:p>
            <w:pPr>
              <w:ind w:left="360"/>
              <w:spacing w:after="0"/>
              <w:rPr>
                <w:sz w:val="20"/>
                <w:szCs w:val="20"/>
                <w:color w:val="auto"/>
              </w:rPr>
            </w:pPr>
            <w:r>
              <w:rPr>
                <w:rFonts w:ascii="Arial" w:cs="Arial" w:eastAsia="Arial" w:hAnsi="Arial"/>
                <w:sz w:val="12"/>
                <w:szCs w:val="12"/>
                <w:color w:val="auto"/>
              </w:rPr>
              <w:t>02/10/2023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7.33%</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4,810,511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03/03/2022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10.52%</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L+918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5,885,356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040" w:type="dxa"/>
            <w:vAlign w:val="bottom"/>
          </w:tcPr>
          <w:p>
            <w:pPr>
              <w:ind w:left="360"/>
              <w:spacing w:after="0"/>
              <w:rPr>
                <w:sz w:val="20"/>
                <w:szCs w:val="20"/>
                <w:color w:val="auto"/>
              </w:rPr>
            </w:pPr>
            <w:r>
              <w:rPr>
                <w:rFonts w:ascii="Arial" w:cs="Arial" w:eastAsia="Arial" w:hAnsi="Arial"/>
                <w:sz w:val="12"/>
                <w:szCs w:val="12"/>
                <w:color w:val="auto"/>
              </w:rPr>
              <w:t>07/19/2021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4,843,745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12/02/2021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L+525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5,530,997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VIP Cinema Holdings, Inc.</w:t>
            </w:r>
          </w:p>
        </w:tc>
        <w:tc>
          <w:tcPr>
            <w:tcW w:w="1040" w:type="dxa"/>
            <w:vAlign w:val="bottom"/>
            <w:tcBorders>
              <w:bottom w:val="single" w:sz="8" w:color="CCECFF"/>
            </w:tcBorders>
          </w:tcPr>
          <w:p>
            <w:pPr>
              <w:ind w:left="360"/>
              <w:spacing w:after="0"/>
              <w:rPr>
                <w:sz w:val="20"/>
                <w:szCs w:val="20"/>
                <w:color w:val="auto"/>
              </w:rPr>
            </w:pPr>
            <w:r>
              <w:rPr>
                <w:rFonts w:ascii="Arial" w:cs="Arial" w:eastAsia="Arial" w:hAnsi="Arial"/>
                <w:sz w:val="12"/>
                <w:szCs w:val="12"/>
                <w:color w:val="auto"/>
              </w:rPr>
              <w:t>03/01/2023</w:t>
            </w:r>
          </w:p>
        </w:tc>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7.34%</w:t>
            </w:r>
          </w:p>
        </w:tc>
        <w:tc>
          <w:tcPr>
            <w:tcW w:w="1000" w:type="dxa"/>
            <w:vAlign w:val="bottom"/>
            <w:tcBorders>
              <w:bottom w:val="single" w:sz="8" w:color="CCECFF"/>
            </w:tcBorders>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4,942,263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4,905,469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Equivalents—15.5%</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144,739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Equivalents—667.2%</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101,916,072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102,365,577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49"/>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15,343,021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688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76" w:lineRule="exact"/>
        <w:rPr>
          <w:sz w:val="20"/>
          <w:szCs w:val="20"/>
          <w:color w:val="auto"/>
        </w:rPr>
      </w:pPr>
    </w:p>
    <w:p>
      <w:pPr>
        <w:ind w:left="380" w:right="280" w:hanging="372"/>
        <w:spacing w:after="0" w:line="252" w:lineRule="auto"/>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7420" w:type="dxa"/>
            <w:vAlign w:val="bottom"/>
            <w:gridSpan w:val="2"/>
          </w:tcPr>
          <w:p>
            <w:pPr>
              <w:ind w:left="240"/>
              <w:spacing w:after="0"/>
              <w:rPr>
                <w:sz w:val="20"/>
                <w:szCs w:val="20"/>
                <w:color w:val="auto"/>
              </w:rPr>
            </w:pPr>
            <w:r>
              <w:rPr>
                <w:rFonts w:ascii="Arial" w:cs="Arial" w:eastAsia="Arial" w:hAnsi="Arial"/>
                <w:sz w:val="14"/>
                <w:szCs w:val="14"/>
                <w:color w:val="auto"/>
              </w:rPr>
              <w:t>Below is the financial information for PSSL: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5"/>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60" w:type="dxa"/>
            <w:vAlign w:val="bottom"/>
          </w:tcPr>
          <w:p>
            <w:pPr>
              <w:jc w:val="center"/>
              <w:ind w:left="46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660" w:type="dxa"/>
            <w:vAlign w:val="bottom"/>
          </w:tcPr>
          <w:p>
            <w:pPr>
              <w:jc w:val="center"/>
              <w:ind w:left="448"/>
              <w:spacing w:after="0"/>
              <w:rPr>
                <w:sz w:val="20"/>
                <w:szCs w:val="20"/>
                <w:color w:val="auto"/>
              </w:rPr>
            </w:pPr>
            <w:r>
              <w:rPr>
                <w:rFonts w:ascii="Arial" w:cs="Arial" w:eastAsia="Arial" w:hAnsi="Arial"/>
                <w:sz w:val="14"/>
                <w:szCs w:val="14"/>
                <w:b w:val="1"/>
                <w:bCs w:val="1"/>
                <w:color w:val="auto"/>
                <w:w w:val="90"/>
              </w:rPr>
              <w:t>Statements of Assets and Liabilities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48"/>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September 30, 2017</w:t>
            </w:r>
          </w:p>
        </w:tc>
      </w:tr>
      <w:tr>
        <w:trPr>
          <w:trHeight w:val="171"/>
        </w:trPr>
        <w:tc>
          <w:tcPr>
            <w:tcW w:w="200" w:type="dxa"/>
            <w:vAlign w:val="bottom"/>
            <w:tcBorders>
              <w:bottom w:val="single" w:sz="8" w:color="CCECFF"/>
            </w:tcBorders>
          </w:tcPr>
          <w:p>
            <w:pPr>
              <w:spacing w:after="0"/>
              <w:rPr>
                <w:sz w:val="14"/>
                <w:szCs w:val="14"/>
                <w:color w:val="auto"/>
              </w:rPr>
            </w:pPr>
          </w:p>
        </w:tc>
        <w:tc>
          <w:tcPr>
            <w:tcW w:w="2760" w:type="dxa"/>
            <w:vAlign w:val="bottom"/>
            <w:tcBorders>
              <w:bottom w:val="single" w:sz="8" w:color="CCECFF"/>
            </w:tcBorders>
          </w:tcPr>
          <w:p>
            <w:pPr>
              <w:spacing w:after="0"/>
              <w:rPr>
                <w:sz w:val="14"/>
                <w:szCs w:val="14"/>
                <w:color w:val="auto"/>
              </w:rPr>
            </w:pPr>
          </w:p>
        </w:tc>
        <w:tc>
          <w:tcPr>
            <w:tcW w:w="466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r>
      <w:tr>
        <w:trPr>
          <w:trHeight w:val="156"/>
        </w:trPr>
        <w:tc>
          <w:tcPr>
            <w:tcW w:w="76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4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 (cost—$219,761,430 and $99,544,903, respectively)</w:t>
            </w:r>
          </w:p>
        </w:tc>
        <w:tc>
          <w:tcPr>
            <w:tcW w:w="26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221,213,574</w:t>
            </w:r>
          </w:p>
        </w:tc>
        <w:tc>
          <w:tcPr>
            <w:tcW w:w="4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99,994,314</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Cash and cash equivalents (cost—$16,018,750 and $2,371,169, respectively)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16,015,591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2,371,263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850,178</w:t>
            </w: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332,980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1,779,945</w:t>
            </w:r>
          </w:p>
        </w:tc>
        <w:tc>
          <w:tcPr>
            <w:tcW w:w="24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1,131,029</w:t>
            </w: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r>
      <w:tr>
        <w:trPr>
          <w:trHeight w:val="156"/>
        </w:trPr>
        <w:tc>
          <w:tcPr>
            <w:tcW w:w="200" w:type="dxa"/>
            <w:vAlign w:val="bottom"/>
            <w:shd w:val="clear" w:color="auto" w:fill="CCECFF"/>
          </w:tcPr>
          <w:p>
            <w:pPr>
              <w:spacing w:after="0"/>
              <w:rPr>
                <w:sz w:val="13"/>
                <w:szCs w:val="13"/>
                <w:color w:val="auto"/>
              </w:rPr>
            </w:pPr>
          </w:p>
        </w:tc>
        <w:tc>
          <w:tcPr>
            <w:tcW w:w="74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239,859,288</w:t>
            </w:r>
          </w:p>
        </w:tc>
        <w:tc>
          <w:tcPr>
            <w:tcW w:w="2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103,829,586</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5"/>
        </w:trPr>
        <w:tc>
          <w:tcPr>
            <w:tcW w:w="7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6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12,375,000</w:t>
            </w: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27,095,850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PSSL Credit Facility payable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138,580,413</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26,783,885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Notes payable</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60,800,000</w:t>
            </w: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34,400,000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Interest payable on PSSL Credit Facility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465,810</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97,531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notes</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29,751</w:t>
            </w: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12,107</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10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89,638</w:t>
            </w:r>
          </w:p>
        </w:tc>
        <w:tc>
          <w:tcPr>
            <w:tcW w:w="24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97,192</w:t>
            </w: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r>
      <w:tr>
        <w:trPr>
          <w:trHeight w:val="156"/>
        </w:trPr>
        <w:tc>
          <w:tcPr>
            <w:tcW w:w="200" w:type="dxa"/>
            <w:vAlign w:val="bottom"/>
            <w:shd w:val="clear" w:color="auto" w:fill="CCECFF"/>
          </w:tcPr>
          <w:p>
            <w:pPr>
              <w:spacing w:after="0"/>
              <w:rPr>
                <w:sz w:val="13"/>
                <w:szCs w:val="13"/>
                <w:color w:val="auto"/>
              </w:rPr>
            </w:pPr>
          </w:p>
        </w:tc>
        <w:tc>
          <w:tcPr>
            <w:tcW w:w="74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212,340,612</w:t>
            </w:r>
          </w:p>
        </w:tc>
        <w:tc>
          <w:tcPr>
            <w:tcW w:w="2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88,486,565</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762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4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r>
      <w:tr>
        <w:trPr>
          <w:trHeight w:val="155"/>
        </w:trPr>
        <w:tc>
          <w:tcPr>
            <w:tcW w:w="200" w:type="dxa"/>
            <w:vAlign w:val="bottom"/>
            <w:shd w:val="clear" w:color="auto" w:fill="CCECFF"/>
          </w:tcPr>
          <w:p>
            <w:pPr>
              <w:spacing w:after="0"/>
              <w:rPr>
                <w:sz w:val="13"/>
                <w:szCs w:val="13"/>
                <w:color w:val="auto"/>
              </w:rPr>
            </w:pPr>
          </w:p>
        </w:tc>
        <w:tc>
          <w:tcPr>
            <w:tcW w:w="74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Members' equity</w:t>
            </w:r>
          </w:p>
        </w:tc>
        <w:tc>
          <w:tcPr>
            <w:tcW w:w="10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27,518,676</w:t>
            </w:r>
          </w:p>
        </w:tc>
        <w:tc>
          <w:tcPr>
            <w:tcW w:w="2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15,343,021</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00" w:type="dxa"/>
            <w:vAlign w:val="bottom"/>
          </w:tcPr>
          <w:p>
            <w:pPr>
              <w:spacing w:after="0"/>
              <w:rPr>
                <w:sz w:val="13"/>
                <w:szCs w:val="13"/>
                <w:color w:val="auto"/>
              </w:rPr>
            </w:pPr>
          </w:p>
        </w:tc>
        <w:tc>
          <w:tcPr>
            <w:tcW w:w="7420" w:type="dxa"/>
            <w:vAlign w:val="bottom"/>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239,859,288</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103,829,586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38"/>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7420" w:type="dxa"/>
            <w:vAlign w:val="bottom"/>
            <w:gridSpan w:val="2"/>
          </w:tcPr>
          <w:p>
            <w:pPr>
              <w:ind w:left="180"/>
              <w:spacing w:after="0"/>
              <w:rPr>
                <w:sz w:val="20"/>
                <w:szCs w:val="20"/>
                <w:color w:val="auto"/>
              </w:rPr>
            </w:pPr>
            <w:r>
              <w:rPr>
                <w:rFonts w:ascii="Arial" w:cs="Arial" w:eastAsia="Arial" w:hAnsi="Arial"/>
                <w:sz w:val="14"/>
                <w:szCs w:val="14"/>
                <w:color w:val="auto"/>
              </w:rPr>
              <w:t>PSSL had no unfunded commitments as of March 31, 2018 and September 30, 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6"/>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60" w:type="dxa"/>
            <w:vAlign w:val="bottom"/>
          </w:tcPr>
          <w:p>
            <w:pPr>
              <w:jc w:val="center"/>
              <w:ind w:left="46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660" w:type="dxa"/>
            <w:vAlign w:val="bottom"/>
          </w:tcPr>
          <w:p>
            <w:pPr>
              <w:jc w:val="center"/>
              <w:ind w:left="468"/>
              <w:spacing w:after="0"/>
              <w:rPr>
                <w:sz w:val="20"/>
                <w:szCs w:val="20"/>
                <w:color w:val="auto"/>
              </w:rPr>
            </w:pPr>
            <w:r>
              <w:rPr>
                <w:rFonts w:ascii="Arial" w:cs="Arial" w:eastAsia="Arial" w:hAnsi="Arial"/>
                <w:sz w:val="14"/>
                <w:szCs w:val="14"/>
                <w:b w:val="1"/>
                <w:bCs w:val="1"/>
                <w:color w:val="auto"/>
                <w:w w:val="91"/>
              </w:rPr>
              <w:t>Statements of Operations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660" w:type="dxa"/>
            <w:vAlign w:val="bottom"/>
          </w:tcPr>
          <w:p>
            <w:pPr>
              <w:jc w:val="center"/>
              <w:ind w:left="488"/>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1"/>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24"/>
                <w:szCs w:val="24"/>
                <w:color w:val="auto"/>
              </w:rPr>
            </w:pPr>
          </w:p>
        </w:tc>
        <w:tc>
          <w:tcPr>
            <w:tcW w:w="17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3"/>
              </w:rPr>
              <w:t>Six Months Ended March</w:t>
            </w:r>
          </w:p>
        </w:tc>
      </w:tr>
      <w:tr>
        <w:trPr>
          <w:trHeight w:val="171"/>
        </w:trPr>
        <w:tc>
          <w:tcPr>
            <w:tcW w:w="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Arial" w:cs="Arial" w:eastAsia="Arial" w:hAnsi="Arial"/>
                <w:sz w:val="14"/>
                <w:szCs w:val="14"/>
                <w:b w:val="1"/>
                <w:bCs w:val="1"/>
                <w:color w:val="auto"/>
              </w:rPr>
              <w:t>31, 2018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2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From non-controlled, non-affiliated 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4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3,123,487</w:t>
            </w:r>
          </w:p>
        </w:tc>
        <w:tc>
          <w:tcPr>
            <w:tcW w:w="60" w:type="dxa"/>
            <w:vAlign w:val="bottom"/>
            <w:shd w:val="clear" w:color="auto" w:fill="CCECFF"/>
          </w:tcPr>
          <w:p>
            <w:pPr>
              <w:spacing w:after="0"/>
              <w:rPr>
                <w:sz w:val="14"/>
                <w:szCs w:val="14"/>
                <w:color w:val="auto"/>
              </w:rPr>
            </w:pPr>
          </w:p>
        </w:tc>
        <w:tc>
          <w:tcPr>
            <w:tcW w:w="400" w:type="dxa"/>
            <w:vAlign w:val="bottom"/>
            <w:gridSpan w:val="3"/>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5,097,142</w:t>
            </w:r>
          </w:p>
        </w:tc>
        <w:tc>
          <w:tcPr>
            <w:tcW w:w="100" w:type="dxa"/>
            <w:vAlign w:val="bottom"/>
            <w:shd w:val="clear" w:color="auto" w:fill="CCECFF"/>
          </w:tcPr>
          <w:p>
            <w:pPr>
              <w:spacing w:after="0"/>
              <w:rPr>
                <w:sz w:val="14"/>
                <w:szCs w:val="14"/>
                <w:color w:val="auto"/>
              </w:rPr>
            </w:pPr>
          </w:p>
        </w:tc>
      </w:tr>
      <w:tr>
        <w:trPr>
          <w:trHeight w:val="162"/>
        </w:trPr>
        <w:tc>
          <w:tcPr>
            <w:tcW w:w="200" w:type="dxa"/>
            <w:vAlign w:val="bottom"/>
            <w:tcBorders>
              <w:bottom w:val="single" w:sz="8" w:color="CCECFF"/>
            </w:tcBorders>
          </w:tcPr>
          <w:p>
            <w:pPr>
              <w:spacing w:after="0"/>
              <w:rPr>
                <w:sz w:val="14"/>
                <w:szCs w:val="14"/>
                <w:color w:val="auto"/>
              </w:rPr>
            </w:pPr>
          </w:p>
        </w:tc>
        <w:tc>
          <w:tcPr>
            <w:tcW w:w="7420" w:type="dxa"/>
            <w:vAlign w:val="bottom"/>
            <w:tcBorders>
              <w:bottom w:val="single" w:sz="8" w:color="CCECFF"/>
            </w:tcBorders>
            <w:gridSpan w:val="2"/>
          </w:tcPr>
          <w:p>
            <w:pPr>
              <w:ind w:left="6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12,219</w:t>
            </w:r>
          </w:p>
        </w:tc>
        <w:tc>
          <w:tcPr>
            <w:tcW w:w="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12,219</w:t>
            </w:r>
          </w:p>
        </w:tc>
        <w:tc>
          <w:tcPr>
            <w:tcW w:w="100" w:type="dxa"/>
            <w:vAlign w:val="bottom"/>
            <w:tcBorders>
              <w:bottom w:val="single" w:sz="8" w:color="CCECFF"/>
            </w:tcBorders>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42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00" w:type="dxa"/>
            <w:vAlign w:val="bottom"/>
            <w:tcBorders>
              <w:bottom w:val="single" w:sz="8" w:color="auto"/>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3,135,706</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5,109,361</w:t>
            </w:r>
          </w:p>
        </w:tc>
        <w:tc>
          <w:tcPr>
            <w:tcW w:w="100" w:type="dxa"/>
            <w:vAlign w:val="bottom"/>
            <w:shd w:val="clear" w:color="auto" w:fill="CCECFF"/>
          </w:tcPr>
          <w:p>
            <w:pPr>
              <w:spacing w:after="0"/>
              <w:rPr>
                <w:sz w:val="13"/>
                <w:szCs w:val="13"/>
                <w:color w:val="auto"/>
              </w:rPr>
            </w:pPr>
          </w:p>
        </w:tc>
      </w:tr>
      <w:tr>
        <w:trPr>
          <w:trHeight w:val="155"/>
        </w:trPr>
        <w:tc>
          <w:tcPr>
            <w:tcW w:w="7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00" w:type="dxa"/>
            <w:vAlign w:val="bottom"/>
            <w:shd w:val="clear" w:color="auto" w:fill="CCECFF"/>
          </w:tcPr>
          <w:p>
            <w:pPr>
              <w:spacing w:after="0"/>
              <w:rPr>
                <w:sz w:val="14"/>
                <w:szCs w:val="14"/>
                <w:color w:val="auto"/>
              </w:rPr>
            </w:pPr>
          </w:p>
        </w:tc>
        <w:tc>
          <w:tcPr>
            <w:tcW w:w="74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 and expenses on PSSL Credit Facility</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1,306,299</w:t>
            </w:r>
          </w:p>
        </w:tc>
        <w:tc>
          <w:tcPr>
            <w:tcW w:w="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1,957,836</w:t>
            </w:r>
          </w:p>
        </w:tc>
        <w:tc>
          <w:tcPr>
            <w:tcW w:w="100" w:type="dxa"/>
            <w:vAlign w:val="bottom"/>
            <w:shd w:val="clear" w:color="auto" w:fill="CCECFF"/>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420" w:type="dxa"/>
            <w:vAlign w:val="bottom"/>
            <w:gridSpan w:val="2"/>
          </w:tcPr>
          <w:p>
            <w:pPr>
              <w:ind w:left="60"/>
              <w:spacing w:after="0"/>
              <w:rPr>
                <w:sz w:val="20"/>
                <w:szCs w:val="20"/>
                <w:color w:val="auto"/>
              </w:rPr>
            </w:pPr>
            <w:r>
              <w:rPr>
                <w:rFonts w:ascii="Arial" w:cs="Arial" w:eastAsia="Arial" w:hAnsi="Arial"/>
                <w:sz w:val="14"/>
                <w:szCs w:val="14"/>
                <w:color w:val="auto"/>
              </w:rPr>
              <w:t>Interest expense on notes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1,026,403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1,638,700</w:t>
            </w:r>
          </w:p>
        </w:tc>
        <w:tc>
          <w:tcPr>
            <w:tcW w:w="10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4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Administrative services expenses</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75,000</w:t>
            </w:r>
          </w:p>
        </w:tc>
        <w:tc>
          <w:tcPr>
            <w:tcW w:w="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CFF"/>
          </w:tcPr>
          <w:p>
            <w:pPr>
              <w:spacing w:after="0"/>
              <w:rPr>
                <w:sz w:val="14"/>
                <w:szCs w:val="14"/>
                <w:color w:val="auto"/>
              </w:rPr>
            </w:pPr>
          </w:p>
        </w:tc>
      </w:tr>
      <w:tr>
        <w:trPr>
          <w:trHeight w:val="162"/>
        </w:trPr>
        <w:tc>
          <w:tcPr>
            <w:tcW w:w="200" w:type="dxa"/>
            <w:vAlign w:val="bottom"/>
            <w:tcBorders>
              <w:bottom w:val="single" w:sz="8" w:color="CCECFF"/>
            </w:tcBorders>
          </w:tcPr>
          <w:p>
            <w:pPr>
              <w:spacing w:after="0"/>
              <w:rPr>
                <w:sz w:val="14"/>
                <w:szCs w:val="14"/>
                <w:color w:val="auto"/>
              </w:rPr>
            </w:pPr>
          </w:p>
        </w:tc>
        <w:tc>
          <w:tcPr>
            <w:tcW w:w="7420" w:type="dxa"/>
            <w:vAlign w:val="bottom"/>
            <w:tcBorders>
              <w:bottom w:val="single" w:sz="8" w:color="CCECFF"/>
            </w:tcBorders>
            <w:gridSpan w:val="2"/>
          </w:tcPr>
          <w:p>
            <w:pPr>
              <w:ind w:left="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465,436</w:t>
            </w:r>
          </w:p>
        </w:tc>
        <w:tc>
          <w:tcPr>
            <w:tcW w:w="100" w:type="dxa"/>
            <w:vAlign w:val="bottom"/>
            <w:tcBorders>
              <w:bottom w:val="single" w:sz="8" w:color="CCECFF"/>
            </w:tcBorders>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42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2,521,352</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4,211,972</w:t>
            </w:r>
          </w:p>
        </w:tc>
        <w:tc>
          <w:tcPr>
            <w:tcW w:w="100" w:type="dxa"/>
            <w:vAlign w:val="bottom"/>
            <w:shd w:val="clear" w:color="auto" w:fill="CCECFF"/>
          </w:tcPr>
          <w:p>
            <w:pPr>
              <w:spacing w:after="0"/>
              <w:rPr>
                <w:sz w:val="13"/>
                <w:szCs w:val="13"/>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42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614,354</w:t>
            </w:r>
          </w:p>
        </w:tc>
        <w:tc>
          <w:tcPr>
            <w:tcW w:w="6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897,389</w:t>
            </w:r>
          </w:p>
        </w:tc>
        <w:tc>
          <w:tcPr>
            <w:tcW w:w="100" w:type="dxa"/>
            <w:vAlign w:val="bottom"/>
            <w:tcBorders>
              <w:bottom w:val="single" w:sz="8" w:color="CCECFF"/>
            </w:tcBorders>
          </w:tcPr>
          <w:p>
            <w:pPr>
              <w:spacing w:after="0"/>
              <w:rPr>
                <w:sz w:val="13"/>
                <w:szCs w:val="13"/>
                <w:color w:val="auto"/>
              </w:rPr>
            </w:pPr>
          </w:p>
        </w:tc>
      </w:tr>
      <w:tr>
        <w:trPr>
          <w:trHeight w:val="155"/>
        </w:trPr>
        <w:tc>
          <w:tcPr>
            <w:tcW w:w="76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 and credit facility foreign currency translations</w:t>
            </w: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Net realized gain on 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65,122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15,946</w:t>
            </w:r>
          </w:p>
        </w:tc>
        <w:tc>
          <w:tcPr>
            <w:tcW w:w="100" w:type="dxa"/>
            <w:vAlign w:val="bottom"/>
          </w:tcPr>
          <w:p>
            <w:pPr>
              <w:spacing w:after="0"/>
              <w:rPr>
                <w:sz w:val="14"/>
                <w:szCs w:val="14"/>
                <w:color w:val="auto"/>
              </w:rPr>
            </w:pPr>
          </w:p>
        </w:tc>
      </w:tr>
      <w:tr>
        <w:trPr>
          <w:trHeight w:val="162"/>
        </w:trPr>
        <w:tc>
          <w:tcPr>
            <w:tcW w:w="76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change in unrealized appreciation on:</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420" w:type="dxa"/>
            <w:vAlign w:val="bottom"/>
            <w:gridSpan w:val="2"/>
          </w:tcPr>
          <w:p>
            <w:pPr>
              <w:ind w:left="60"/>
              <w:spacing w:after="0"/>
              <w:rPr>
                <w:sz w:val="20"/>
                <w:szCs w:val="20"/>
                <w:color w:val="auto"/>
              </w:rPr>
            </w:pPr>
            <w:r>
              <w:rPr>
                <w:rFonts w:ascii="Arial" w:cs="Arial" w:eastAsia="Arial" w:hAnsi="Arial"/>
                <w:sz w:val="14"/>
                <w:szCs w:val="14"/>
                <w:color w:val="auto"/>
              </w:rPr>
              <w:t>Non-controlled, non-affiliated 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545,340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999,702</w:t>
            </w:r>
          </w:p>
        </w:tc>
        <w:tc>
          <w:tcPr>
            <w:tcW w:w="10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4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Credit facility foreign currency translations</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72,620</w:t>
            </w:r>
          </w:p>
        </w:tc>
        <w:tc>
          <w:tcPr>
            <w:tcW w:w="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(251,668)</w:t>
            </w:r>
          </w:p>
        </w:tc>
      </w:tr>
      <w:tr>
        <w:trPr>
          <w:trHeight w:val="155"/>
        </w:trPr>
        <w:tc>
          <w:tcPr>
            <w:tcW w:w="200" w:type="dxa"/>
            <w:vAlign w:val="bottom"/>
            <w:tcBorders>
              <w:bottom w:val="single" w:sz="8" w:color="CCECFF"/>
            </w:tcBorders>
          </w:tcPr>
          <w:p>
            <w:pPr>
              <w:spacing w:after="0"/>
              <w:rPr>
                <w:sz w:val="13"/>
                <w:szCs w:val="13"/>
                <w:color w:val="auto"/>
              </w:rPr>
            </w:pPr>
          </w:p>
        </w:tc>
        <w:tc>
          <w:tcPr>
            <w:tcW w:w="742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Net change in unrealized appreciation on investments and credit facility foreign currency translations</w:t>
            </w: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617,960</w:t>
            </w:r>
          </w:p>
        </w:tc>
        <w:tc>
          <w:tcPr>
            <w:tcW w:w="6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748,034</w:t>
            </w:r>
          </w:p>
        </w:tc>
        <w:tc>
          <w:tcPr>
            <w:tcW w:w="100" w:type="dxa"/>
            <w:vAlign w:val="bottom"/>
            <w:tcBorders>
              <w:bottom w:val="single" w:sz="8" w:color="CCECFF"/>
            </w:tcBorders>
          </w:tcPr>
          <w:p>
            <w:pPr>
              <w:spacing w:after="0"/>
              <w:rPr>
                <w:sz w:val="13"/>
                <w:szCs w:val="13"/>
                <w:color w:val="auto"/>
              </w:rPr>
            </w:pPr>
          </w:p>
        </w:tc>
      </w:tr>
      <w:tr>
        <w:trPr>
          <w:trHeight w:val="155"/>
        </w:trPr>
        <w:tc>
          <w:tcPr>
            <w:tcW w:w="76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credit facility foreign currency translations</w:t>
            </w:r>
          </w:p>
        </w:tc>
        <w:tc>
          <w:tcPr>
            <w:tcW w:w="100" w:type="dxa"/>
            <w:vAlign w:val="bottom"/>
            <w:tcBorders>
              <w:bottom w:val="single" w:sz="8" w:color="auto"/>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683,082</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763,980</w:t>
            </w:r>
          </w:p>
        </w:tc>
        <w:tc>
          <w:tcPr>
            <w:tcW w:w="100" w:type="dxa"/>
            <w:vAlign w:val="bottom"/>
            <w:shd w:val="clear" w:color="auto" w:fill="CCECFF"/>
          </w:tcPr>
          <w:p>
            <w:pPr>
              <w:spacing w:after="0"/>
              <w:rPr>
                <w:sz w:val="13"/>
                <w:szCs w:val="13"/>
                <w:color w:val="auto"/>
              </w:rPr>
            </w:pPr>
          </w:p>
        </w:tc>
      </w:tr>
      <w:tr>
        <w:trPr>
          <w:trHeight w:val="156"/>
        </w:trPr>
        <w:tc>
          <w:tcPr>
            <w:tcW w:w="7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1,297,436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1,661,369</w:t>
            </w:r>
          </w:p>
        </w:tc>
        <w:tc>
          <w:tcPr>
            <w:tcW w:w="10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w:t>
      </w:r>
    </w:p>
    <w:p>
      <w:pPr>
        <w:spacing w:after="0" w:line="200" w:lineRule="exact"/>
        <w:rPr>
          <w:rFonts w:ascii="Arial" w:cs="Arial" w:eastAsia="Arial" w:hAnsi="Arial"/>
          <w:sz w:val="12"/>
          <w:szCs w:val="12"/>
          <w:color w:val="auto"/>
        </w:rPr>
      </w:pPr>
    </w:p>
    <w:p>
      <w:pPr>
        <w:spacing w:after="0" w:line="381" w:lineRule="exact"/>
        <w:rPr>
          <w:rFonts w:ascii="Arial" w:cs="Arial" w:eastAsia="Arial" w:hAnsi="Arial"/>
          <w:sz w:val="12"/>
          <w:szCs w:val="12"/>
          <w:color w:val="auto"/>
        </w:rPr>
      </w:pPr>
    </w:p>
    <w:p>
      <w:pPr>
        <w:ind w:left="5560"/>
        <w:spacing w:after="0"/>
        <w:rPr>
          <w:rFonts w:ascii="Arial" w:cs="Arial" w:eastAsia="Arial" w:hAnsi="Arial"/>
          <w:sz w:val="12"/>
          <w:szCs w:val="12"/>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1868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Fair value, as defined under ASC Topic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2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40" w:firstLine="425"/>
        <w:spacing w:after="0" w:line="238"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six months ended March 31, 2018 and 2017, our ability to observe valuation inputs resulted in no reclassifications.</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FASB Accounting Standards Update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13"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8"/>
          </w:tcPr>
          <w:p>
            <w:pPr>
              <w:ind w:left="440"/>
              <w:spacing w:after="0"/>
              <w:rPr>
                <w:sz w:val="20"/>
                <w:szCs w:val="20"/>
                <w:color w:val="auto"/>
              </w:rPr>
            </w:pPr>
            <w:r>
              <w:rPr>
                <w:rFonts w:ascii="Arial" w:cs="Arial" w:eastAsia="Arial" w:hAnsi="Arial"/>
                <w:sz w:val="14"/>
                <w:szCs w:val="14"/>
                <w:color w:val="auto"/>
                <w:w w:val="95"/>
              </w:rPr>
              <w:t>Our Level 3 valuation techniques, unobservable inputs and ranges were categorized as follows for ASC 820 purposes: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275,553,819</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540" w:type="dxa"/>
            <w:vAlign w:val="bottom"/>
            <w:tcBorders>
              <w:top w:val="single" w:sz="8" w:color="auto"/>
            </w:tcBorders>
            <w:shd w:val="clear" w:color="auto" w:fill="CCECFF"/>
          </w:tcPr>
          <w:p>
            <w:pPr>
              <w:spacing w:after="0"/>
              <w:rPr>
                <w:sz w:val="13"/>
                <w:szCs w:val="13"/>
                <w:color w:val="auto"/>
              </w:rPr>
            </w:pPr>
          </w:p>
        </w:tc>
        <w:tc>
          <w:tcPr>
            <w:tcW w:w="1260" w:type="dxa"/>
            <w:vAlign w:val="bottom"/>
            <w:tcBorders>
              <w:top w:val="single" w:sz="8" w:color="auto"/>
            </w:tcBorders>
            <w:shd w:val="clear" w:color="auto" w:fill="CCECFF"/>
          </w:tcPr>
          <w:p>
            <w:pPr>
              <w:jc w:val="center"/>
              <w:ind w:right="58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2,526,250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540" w:type="dxa"/>
            <w:vAlign w:val="bottom"/>
          </w:tcPr>
          <w:p>
            <w:pPr>
              <w:spacing w:after="0"/>
              <w:rPr>
                <w:sz w:val="14"/>
                <w:szCs w:val="14"/>
                <w:color w:val="auto"/>
              </w:rPr>
            </w:pPr>
          </w:p>
        </w:tc>
        <w:tc>
          <w:tcPr>
            <w:tcW w:w="1260" w:type="dxa"/>
            <w:vAlign w:val="bottom"/>
          </w:tcPr>
          <w:p>
            <w:pPr>
              <w:jc w:val="center"/>
              <w:ind w:right="58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482,949,651</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w:t>
            </w:r>
          </w:p>
        </w:tc>
        <w:tc>
          <w:tcPr>
            <w:tcW w:w="1260" w:type="dxa"/>
            <w:vAlign w:val="bottom"/>
            <w:shd w:val="clear" w:color="auto" w:fill="CCECFF"/>
          </w:tcPr>
          <w:p>
            <w:pPr>
              <w:ind w:left="20"/>
              <w:spacing w:after="0"/>
              <w:rPr>
                <w:sz w:val="20"/>
                <w:szCs w:val="20"/>
                <w:color w:val="auto"/>
              </w:rPr>
            </w:pPr>
            <w:r>
              <w:rPr>
                <w:rFonts w:ascii="Arial" w:cs="Arial" w:eastAsia="Arial" w:hAnsi="Arial"/>
                <w:sz w:val="14"/>
                <w:szCs w:val="14"/>
                <w:color w:val="auto"/>
              </w:rPr>
              <w:t>– 20.7% (9.6%)</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33,593,630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40" w:type="dxa"/>
            <w:vAlign w:val="bottom"/>
          </w:tcPr>
          <w:p>
            <w:pPr>
              <w:jc w:val="right"/>
              <w:spacing w:after="0"/>
              <w:rPr>
                <w:sz w:val="20"/>
                <w:szCs w:val="20"/>
                <w:color w:val="auto"/>
              </w:rPr>
            </w:pPr>
            <w:r>
              <w:rPr>
                <w:rFonts w:ascii="Arial" w:cs="Arial" w:eastAsia="Arial" w:hAnsi="Arial"/>
                <w:sz w:val="14"/>
                <w:szCs w:val="14"/>
                <w:color w:val="auto"/>
              </w:rPr>
              <w:t>10.5%</w:t>
            </w:r>
          </w:p>
        </w:tc>
        <w:tc>
          <w:tcPr>
            <w:tcW w:w="1260" w:type="dxa"/>
            <w:vAlign w:val="bottom"/>
          </w:tcPr>
          <w:p>
            <w:pPr>
              <w:ind w:left="20"/>
              <w:spacing w:after="0"/>
              <w:rPr>
                <w:sz w:val="20"/>
                <w:szCs w:val="20"/>
                <w:color w:val="auto"/>
              </w:rPr>
            </w:pPr>
            <w:r>
              <w:rPr>
                <w:rFonts w:ascii="Arial" w:cs="Arial" w:eastAsia="Arial" w:hAnsi="Arial"/>
                <w:sz w:val="14"/>
                <w:szCs w:val="14"/>
                <w:color w:val="auto"/>
              </w:rPr>
              <w:t>– 15.9% (13.1%)</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187,449</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w:t>
            </w:r>
          </w:p>
        </w:tc>
        <w:tc>
          <w:tcPr>
            <w:tcW w:w="126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17.0% (17.0%)</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14,897,385</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28"/>
              <w:spacing w:after="0"/>
              <w:rPr>
                <w:sz w:val="20"/>
                <w:szCs w:val="20"/>
                <w:color w:val="auto"/>
              </w:rPr>
            </w:pPr>
            <w:r>
              <w:rPr>
                <w:rFonts w:ascii="Arial" w:cs="Arial" w:eastAsia="Arial" w:hAnsi="Arial"/>
                <w:sz w:val="14"/>
                <w:szCs w:val="14"/>
                <w:color w:val="auto"/>
                <w:w w:val="94"/>
              </w:rPr>
              <w:t>6.5x – 11.4x (8.4x)</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809,708,184</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540" w:type="dxa"/>
            <w:vAlign w:val="bottom"/>
            <w:tcBorders>
              <w:bottom w:val="single" w:sz="8" w:color="CCECFF"/>
            </w:tcBorders>
            <w:shd w:val="clear" w:color="auto" w:fill="CCECFF"/>
          </w:tcPr>
          <w:p>
            <w:pPr>
              <w:spacing w:after="0"/>
              <w:rPr>
                <w:sz w:val="13"/>
                <w:szCs w:val="13"/>
                <w:color w:val="auto"/>
              </w:rPr>
            </w:pPr>
          </w:p>
        </w:tc>
        <w:tc>
          <w:tcPr>
            <w:tcW w:w="126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40" w:type="dxa"/>
            <w:vAlign w:val="bottom"/>
          </w:tcPr>
          <w:p>
            <w:pPr>
              <w:spacing w:after="0" w:line="20" w:lineRule="exact"/>
              <w:rPr>
                <w:sz w:val="1"/>
                <w:szCs w:val="1"/>
                <w:color w:val="auto"/>
              </w:rPr>
            </w:pPr>
          </w:p>
        </w:tc>
        <w:tc>
          <w:tcPr>
            <w:tcW w:w="1260" w:type="dxa"/>
            <w:vAlign w:val="bottom"/>
            <w:vMerge w:val="restart"/>
          </w:tcPr>
          <w:p>
            <w:pPr>
              <w:jc w:val="right"/>
              <w:ind w:right="7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line="20" w:lineRule="exact"/>
              <w:rPr>
                <w:sz w:val="1"/>
                <w:szCs w:val="1"/>
                <w:color w:val="auto"/>
              </w:rPr>
            </w:pPr>
          </w:p>
        </w:tc>
      </w:tr>
      <w:tr>
        <w:trPr>
          <w:trHeight w:val="143"/>
        </w:trPr>
        <w:tc>
          <w:tcPr>
            <w:tcW w:w="35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191,522,414</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2017</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6"/>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260,595,796</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2,500,000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349,072,758</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5.8% – 20.6% (8.6%)</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35,333,394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9.6% – 14.0% (11.7%)</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4"/>
              </w:rPr>
              <w:t>9.8% – 16.7% (10.4%)</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12,023,298</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5"/>
              </w:rPr>
              <w:t>6.5x–9.0x (7.8x)</w:t>
            </w:r>
          </w:p>
        </w:tc>
        <w:tc>
          <w:tcPr>
            <w:tcW w:w="0" w:type="dxa"/>
            <w:vAlign w:val="bottom"/>
          </w:tcPr>
          <w:p>
            <w:pPr>
              <w:spacing w:after="0"/>
              <w:rPr>
                <w:sz w:val="1"/>
                <w:szCs w:val="1"/>
                <w:color w:val="auto"/>
              </w:rPr>
            </w:pPr>
          </w:p>
        </w:tc>
      </w:tr>
      <w:tr>
        <w:trPr>
          <w:trHeight w:val="155"/>
        </w:trPr>
        <w:tc>
          <w:tcPr>
            <w:tcW w:w="358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700" w:type="dxa"/>
            <w:vAlign w:val="bottom"/>
            <w:vMerge w:val="restart"/>
          </w:tcPr>
          <w:p>
            <w:pPr>
              <w:jc w:val="right"/>
              <w:ind w:right="5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and the 2023 Notes were categorized as follows in the fair value hierarchy for ASC 820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149"/>
              <w:spacing w:after="0"/>
              <w:rPr>
                <w:sz w:val="20"/>
                <w:szCs w:val="20"/>
                <w:color w:val="auto"/>
              </w:rPr>
            </w:pPr>
            <w:r>
              <w:rPr>
                <w:rFonts w:ascii="Arial" w:cs="Arial" w:eastAsia="Arial" w:hAnsi="Arial"/>
                <w:sz w:val="14"/>
                <w:szCs w:val="14"/>
                <w:b w:val="1"/>
                <w:bCs w:val="1"/>
                <w:color w:val="auto"/>
              </w:rPr>
              <w:t>Fair Value at March 31, 2018</w:t>
            </w: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5"/>
        </w:trPr>
        <w:tc>
          <w:tcPr>
            <w:tcW w:w="380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758,503,470</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758,503,470</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36,119,880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6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36,119,880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187,449</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6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187,449</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38,976,393</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14,897,385</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24,078,843</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4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833,787,192</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809,708,184</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24,078,843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48,407,896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48,407,896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882,195,088</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48,408,061</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809,708,184</w:t>
            </w:r>
          </w:p>
        </w:tc>
        <w:tc>
          <w:tcPr>
            <w:tcW w:w="24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24,078,843</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191,522,414</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ind w:left="860"/>
              <w:spacing w:after="0" w:line="143"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191,522,414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2023 Notes</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131,872,593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131,872,593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6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80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debt</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323,395,007</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131,872,593</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191,522,414</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96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420" w:hanging="372"/>
        <w:spacing w:after="0" w:line="253"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certain investments that are measured using the net asset value per share (or its equivalent) as a practical expedient for fair value, have not been classified in the fair value hierarchy.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4"/>
                <w:szCs w:val="14"/>
                <w:b w:val="1"/>
                <w:bCs w:val="1"/>
                <w:color w:val="auto"/>
              </w:rPr>
              <w:t>Fair Value at September 30, 2017</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5"/>
        </w:trPr>
        <w:tc>
          <w:tcPr>
            <w:tcW w:w="380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6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6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25,464,461</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12,023,298</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00" w:type="dxa"/>
            <w:vAlign w:val="bottom"/>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4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16,020</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13,425,143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729,409,538</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18,926,776</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4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60"/>
              <w:spacing w:after="0" w:line="143"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96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00" w:hanging="372"/>
        <w:spacing w:after="0" w:line="253"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30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4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080"/>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80" w:type="dxa"/>
            <w:vAlign w:val="bottom"/>
            <w:gridSpan w:val="13"/>
          </w:tcPr>
          <w:p>
            <w:pPr>
              <w:ind w:left="440"/>
              <w:spacing w:after="0"/>
              <w:rPr>
                <w:sz w:val="20"/>
                <w:szCs w:val="20"/>
                <w:color w:val="auto"/>
              </w:rPr>
            </w:pPr>
            <w:r>
              <w:rPr>
                <w:rFonts w:ascii="Arial" w:cs="Arial" w:eastAsia="Arial" w:hAnsi="Arial"/>
                <w:sz w:val="14"/>
                <w:szCs w:val="14"/>
                <w:color w:val="auto"/>
                <w:w w:val="95"/>
              </w:rPr>
              <w:t>The tables below show a reconciliation of the beginning and ending balances for fair valued investments measured using significant unobservable inputs (Level 3):</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Six Months Ended March 31, 2018</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8"/>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and equity</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100,814,208</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710,482,762</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(losses)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4"/>
                <w:szCs w:val="14"/>
                <w:color w:val="auto"/>
              </w:rPr>
              <w:t>(1,788,577)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1,285,506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(503,071)</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1,950,250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1,081,922</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3,032,172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328,005,097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41,654,355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369,659,452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4"/>
            <w:shd w:val="clear" w:color="auto" w:fill="CCECFF"/>
          </w:tcPr>
          <w:p>
            <w:pPr>
              <w:jc w:val="right"/>
              <w:ind w:right="100"/>
              <w:spacing w:after="0"/>
              <w:rPr>
                <w:sz w:val="20"/>
                <w:szCs w:val="20"/>
                <w:color w:val="auto"/>
              </w:rPr>
            </w:pPr>
            <w:r>
              <w:rPr>
                <w:rFonts w:ascii="Arial" w:cs="Arial" w:eastAsia="Arial" w:hAnsi="Arial"/>
                <w:sz w:val="14"/>
                <w:szCs w:val="14"/>
                <w:color w:val="auto"/>
              </w:rPr>
              <w:t>(179,331,854)</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3"/>
            <w:shd w:val="clear" w:color="auto" w:fill="CCECFF"/>
          </w:tcPr>
          <w:p>
            <w:pPr>
              <w:jc w:val="right"/>
              <w:ind w:right="128"/>
              <w:spacing w:after="0"/>
              <w:rPr>
                <w:sz w:val="20"/>
                <w:szCs w:val="20"/>
                <w:color w:val="auto"/>
              </w:rPr>
            </w:pPr>
            <w:r>
              <w:rPr>
                <w:rFonts w:ascii="Arial" w:cs="Arial" w:eastAsia="Arial" w:hAnsi="Arial"/>
                <w:sz w:val="14"/>
                <w:szCs w:val="14"/>
                <w:color w:val="auto"/>
              </w:rPr>
              <w:t>(69,552,434)</w:t>
            </w:r>
          </w:p>
        </w:tc>
        <w:tc>
          <w:tcPr>
            <w:tcW w:w="28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(248,884,288)</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758,503,470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75,283,557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833,787,027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5"/>
              </w:rPr>
              <w:t>Net change in unrealized appreciation reported within the net change in unrealized appreciation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color w:val="auto"/>
                <w:w w:val="95"/>
              </w:rPr>
              <w:t>on investments in our Consolidated Statements of Operations attributable to our Level 3 assets still held at the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reporting date.</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1,574,094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1,539,966</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3,114,060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Six Months Ended March 31, 2017</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8"/>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and equity</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47,412,741</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951,500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266,219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1,217,719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2,866,849</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3"/>
            <w:shd w:val="clear" w:color="auto" w:fill="CCECFF"/>
          </w:tcPr>
          <w:p>
            <w:pPr>
              <w:jc w:val="right"/>
              <w:ind w:right="128"/>
              <w:spacing w:after="0"/>
              <w:rPr>
                <w:sz w:val="20"/>
                <w:szCs w:val="20"/>
                <w:color w:val="auto"/>
              </w:rPr>
            </w:pPr>
            <w:r>
              <w:rPr>
                <w:rFonts w:ascii="Arial" w:cs="Arial" w:eastAsia="Arial" w:hAnsi="Arial"/>
                <w:sz w:val="14"/>
                <w:szCs w:val="14"/>
                <w:color w:val="auto"/>
              </w:rPr>
              <w:t>(1,722,503)</w:t>
            </w:r>
          </w:p>
        </w:tc>
        <w:tc>
          <w:tcPr>
            <w:tcW w:w="2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1,144,346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259,894,855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12,347,053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272,241,908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4"/>
            <w:shd w:val="clear" w:color="auto" w:fill="CCECFF"/>
          </w:tcPr>
          <w:p>
            <w:pPr>
              <w:jc w:val="right"/>
              <w:ind w:right="100"/>
              <w:spacing w:after="0"/>
              <w:rPr>
                <w:sz w:val="20"/>
                <w:szCs w:val="20"/>
                <w:color w:val="auto"/>
              </w:rPr>
            </w:pPr>
            <w:r>
              <w:rPr>
                <w:rFonts w:ascii="Arial" w:cs="Arial" w:eastAsia="Arial" w:hAnsi="Arial"/>
                <w:sz w:val="14"/>
                <w:szCs w:val="14"/>
                <w:color w:val="auto"/>
              </w:rPr>
              <w:t>(129,865,230)</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3"/>
            <w:shd w:val="clear" w:color="auto" w:fill="CCECFF"/>
          </w:tcPr>
          <w:p>
            <w:pPr>
              <w:jc w:val="right"/>
              <w:ind w:right="128"/>
              <w:spacing w:after="0"/>
              <w:rPr>
                <w:sz w:val="20"/>
                <w:szCs w:val="20"/>
                <w:color w:val="auto"/>
              </w:rPr>
            </w:pPr>
            <w:r>
              <w:rPr>
                <w:rFonts w:ascii="Arial" w:cs="Arial" w:eastAsia="Arial" w:hAnsi="Arial"/>
                <w:sz w:val="14"/>
                <w:szCs w:val="14"/>
                <w:color w:val="auto"/>
              </w:rPr>
              <w:t>(10,652,807)</w:t>
            </w:r>
          </w:p>
        </w:tc>
        <w:tc>
          <w:tcPr>
            <w:tcW w:w="28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(140,518,037)</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682,258,069</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47,650,703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729,908,772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4"/>
              </w:rPr>
              <w:t>Net change in unrealized appreciation reported within the net change in unrealized appreciation on investments</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w w:val="96"/>
              </w:rPr>
              <w:t>in our Consolidated Statements of Operations attributable to our Level 3 assets still held at the reporting date.</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2,343,073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3"/>
          </w:tcPr>
          <w:p>
            <w:pPr>
              <w:jc w:val="right"/>
              <w:ind w:right="128"/>
              <w:spacing w:after="0"/>
              <w:rPr>
                <w:sz w:val="20"/>
                <w:szCs w:val="20"/>
                <w:color w:val="auto"/>
              </w:rPr>
            </w:pPr>
            <w:r>
              <w:rPr>
                <w:rFonts w:ascii="Arial" w:cs="Arial" w:eastAsia="Arial" w:hAnsi="Arial"/>
                <w:sz w:val="14"/>
                <w:szCs w:val="14"/>
                <w:color w:val="auto"/>
              </w:rPr>
              <w:t>(1,475,547)</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867,526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800" w:type="dxa"/>
            <w:vAlign w:val="bottom"/>
            <w:gridSpan w:val="12"/>
          </w:tcPr>
          <w:p>
            <w:pPr>
              <w:ind w:left="440"/>
              <w:spacing w:after="0"/>
              <w:rPr>
                <w:sz w:val="20"/>
                <w:szCs w:val="20"/>
                <w:color w:val="auto"/>
              </w:rPr>
            </w:pPr>
            <w:r>
              <w:rPr>
                <w:rFonts w:ascii="Arial" w:cs="Arial" w:eastAsia="Arial" w:hAnsi="Arial"/>
                <w:sz w:val="14"/>
                <w:szCs w:val="14"/>
                <w:color w:val="auto"/>
                <w:w w:val="95"/>
              </w:rPr>
              <w:t>The table below shows a reconciliation of the beginning and ending balances for fair valued liabilities measured using significant unobservable inputs (Level 3):</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65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$253,783,301 and $232,907,500, respectively)</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256,858,457</w:t>
            </w:r>
          </w:p>
        </w:tc>
        <w:tc>
          <w:tcPr>
            <w:tcW w:w="28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232,389,498</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(1,726,053)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1,029,406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61,485,010</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196,502,000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Repayments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(125,095,000)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4"/>
                <w:szCs w:val="14"/>
                <w:color w:val="auto"/>
              </w:rPr>
              <w:t>(129,500,000)</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Pr>
          <w:p>
            <w:pPr>
              <w:spacing w:after="0" w:line="155" w:lineRule="exact"/>
              <w:rPr>
                <w:sz w:val="20"/>
                <w:szCs w:val="20"/>
                <w:color w:val="auto"/>
              </w:rPr>
            </w:pPr>
            <w:r>
              <w:rPr>
                <w:rFonts w:ascii="Arial" w:cs="Arial" w:eastAsia="Arial" w:hAnsi="Arial"/>
                <w:sz w:val="14"/>
                <w:szCs w:val="14"/>
                <w:color w:val="auto"/>
              </w:rPr>
              <w:t>Ending Balance (cost – $190,173,311 and $299,909,500, respectively)</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191,522,414</w:t>
            </w: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300,420,904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As of March 31, 2018,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Australian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rPr>
              <w:t>A</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14,900,000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11,485,010</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11,439,445</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April 3, 2018</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(45,565)</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Canadian Dollar</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C$</w:t>
            </w:r>
          </w:p>
        </w:tc>
        <w:tc>
          <w:tcPr>
            <w:tcW w:w="1320" w:type="dxa"/>
            <w:vAlign w:val="bottom"/>
          </w:tcPr>
          <w:p>
            <w:pPr>
              <w:jc w:val="right"/>
              <w:spacing w:after="0"/>
              <w:rPr>
                <w:sz w:val="20"/>
                <w:szCs w:val="20"/>
                <w:color w:val="auto"/>
              </w:rPr>
            </w:pPr>
            <w:r>
              <w:rPr>
                <w:rFonts w:ascii="Arial" w:cs="Arial" w:eastAsia="Arial" w:hAnsi="Arial"/>
                <w:sz w:val="14"/>
                <w:szCs w:val="14"/>
                <w:color w:val="auto"/>
              </w:rPr>
              <w:t>17,500,000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12,407,500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13,582,730</w:t>
            </w:r>
          </w:p>
        </w:tc>
        <w:tc>
          <w:tcPr>
            <w:tcW w:w="28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April 3, 2018</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1,175,230</w:t>
            </w:r>
          </w:p>
        </w:tc>
        <w:tc>
          <w:tcPr>
            <w:tcW w:w="100" w:type="dxa"/>
            <w:vAlign w:val="bottom"/>
          </w:tcPr>
          <w:p>
            <w:pPr>
              <w:spacing w:after="0"/>
              <w:rPr>
                <w:sz w:val="14"/>
                <w:szCs w:val="14"/>
                <w:color w:val="auto"/>
              </w:rPr>
            </w:pPr>
          </w:p>
        </w:tc>
      </w:tr>
      <w:tr>
        <w:trPr>
          <w:trHeight w:val="162"/>
        </w:trPr>
        <w:tc>
          <w:tcPr>
            <w:tcW w:w="2620" w:type="dxa"/>
            <w:vAlign w:val="bottom"/>
            <w:shd w:val="clear" w:color="auto" w:fill="CCECFF"/>
          </w:tcPr>
          <w:p>
            <w:pPr>
              <w:spacing w:after="0"/>
              <w:rPr>
                <w:sz w:val="20"/>
                <w:szCs w:val="20"/>
                <w:color w:val="auto"/>
              </w:rPr>
            </w:pPr>
            <w:r>
              <w:rPr>
                <w:rFonts w:ascii="Arial" w:cs="Arial" w:eastAsia="Arial" w:hAnsi="Arial"/>
                <w:sz w:val="14"/>
                <w:szCs w:val="14"/>
                <w:color w:val="auto"/>
              </w:rPr>
              <w:t>Euro</w:t>
            </w:r>
          </w:p>
        </w:tc>
        <w:tc>
          <w:tcPr>
            <w:tcW w:w="3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7,200,000</w:t>
            </w:r>
          </w:p>
        </w:tc>
        <w:tc>
          <w:tcPr>
            <w:tcW w:w="28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7,480,800</w:t>
            </w:r>
          </w:p>
        </w:tc>
        <w:tc>
          <w:tcPr>
            <w:tcW w:w="28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8,856,310</w:t>
            </w:r>
          </w:p>
        </w:tc>
        <w:tc>
          <w:tcPr>
            <w:tcW w:w="28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6"/>
              </w:rPr>
              <w:t>April 3, 2018</w:t>
            </w:r>
          </w:p>
        </w:tc>
        <w:tc>
          <w:tcPr>
            <w:tcW w:w="46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1,375,510</w:t>
            </w:r>
          </w:p>
        </w:tc>
        <w:tc>
          <w:tcPr>
            <w:tcW w:w="100" w:type="dxa"/>
            <w:vAlign w:val="bottom"/>
            <w:shd w:val="clear" w:color="auto" w:fill="CCECFF"/>
          </w:tcPr>
          <w:p>
            <w:pPr>
              <w:spacing w:after="0"/>
              <w:rPr>
                <w:sz w:val="14"/>
                <w:szCs w:val="14"/>
                <w:color w:val="auto"/>
              </w:rPr>
            </w:pPr>
          </w:p>
        </w:tc>
      </w:tr>
      <w:tr>
        <w:trPr>
          <w:trHeight w:val="156"/>
        </w:trPr>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31,373,310</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33,878,485</w:t>
            </w: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2,505,175</w:t>
            </w:r>
          </w:p>
        </w:tc>
        <w:tc>
          <w:tcPr>
            <w:tcW w:w="10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As of September 30, 2017,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13,992,720</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October 2, 2017</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1,585,219</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6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80" w:type="dxa"/>
            <w:vAlign w:val="bottom"/>
            <w:tcBorders>
              <w:bottom w:val="single" w:sz="8" w:color="CCECFF"/>
            </w:tcBorders>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12,200,000</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12,675,800</w:t>
            </w:r>
          </w:p>
        </w:tc>
        <w:tc>
          <w:tcPr>
            <w:tcW w:w="28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14,422,852</w:t>
            </w:r>
          </w:p>
        </w:tc>
        <w:tc>
          <w:tcPr>
            <w:tcW w:w="280" w:type="dxa"/>
            <w:vAlign w:val="bottom"/>
            <w:tcBorders>
              <w:bottom w:val="single" w:sz="8" w:color="CCECFF"/>
            </w:tcBorders>
          </w:tcPr>
          <w:p>
            <w:pPr>
              <w:spacing w:after="0"/>
              <w:rPr>
                <w:sz w:val="14"/>
                <w:szCs w:val="14"/>
                <w:color w:val="auto"/>
              </w:rPr>
            </w:pPr>
          </w:p>
        </w:tc>
        <w:tc>
          <w:tcPr>
            <w:tcW w:w="170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1"/>
              </w:rPr>
              <w:t>October 2, 2017</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1,747,052</w:t>
            </w:r>
          </w:p>
        </w:tc>
        <w:tc>
          <w:tcPr>
            <w:tcW w:w="10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6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3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25,083,301</w:t>
            </w:r>
          </w:p>
        </w:tc>
        <w:tc>
          <w:tcPr>
            <w:tcW w:w="2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28,415,572</w:t>
            </w:r>
          </w:p>
        </w:tc>
        <w:tc>
          <w:tcPr>
            <w:tcW w:w="280" w:type="dxa"/>
            <w:vAlign w:val="bottom"/>
            <w:tcBorders>
              <w:bottom w:val="single" w:sz="8" w:color="CCECFF"/>
            </w:tcBorders>
            <w:shd w:val="clear" w:color="auto" w:fill="CCECFF"/>
          </w:tcPr>
          <w:p>
            <w:pPr>
              <w:spacing w:after="0"/>
              <w:rPr>
                <w:sz w:val="13"/>
                <w:szCs w:val="13"/>
                <w:color w:val="auto"/>
              </w:rPr>
            </w:pPr>
          </w:p>
        </w:tc>
        <w:tc>
          <w:tcPr>
            <w:tcW w:w="15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3,332,271</w:t>
            </w:r>
          </w:p>
        </w:tc>
        <w:tc>
          <w:tcPr>
            <w:tcW w:w="10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7"/>
        </w:trPr>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zero and $10.9 million relating to amendment costs on the Credit Facility and debt issuance costs on the 2023 Notes during the three and six months ended March 31, 2018. There were no expenses relating to amendment or debt issuance costs on our debt for the three and six months ended March 31, 2017.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three and six months ended March 31, 2018, our Credit Facility and the 2023 Notes had a net change in unrealized depreciation of $5.3 million and $8.4 million, respectively. For the three and six months ended March 31, 2017, our Credit Facility had a net change in unrealized depreciation (appreciation) of less than $0.1 million and ($1.0) million, respectively. As of March 31, 2018 and September 30, 2017, the net unrealized depreciation (appreciation) on our Credit Facility and the 2023 Notes totaled $5.4 million and $(3.1)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Fair Value at</w:t>
            </w:r>
          </w:p>
        </w:tc>
        <w:tc>
          <w:tcPr>
            <w:tcW w:w="2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Purchases of /</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Sale of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Dividend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Net Change</w:t>
            </w:r>
          </w:p>
        </w:tc>
        <w:tc>
          <w:tcPr>
            <w:tcW w:w="100" w:type="dxa"/>
            <w:vAlign w:val="bottom"/>
          </w:tcPr>
          <w:p>
            <w:pPr>
              <w:spacing w:after="0"/>
              <w:rPr>
                <w:sz w:val="14"/>
                <w:szCs w:val="14"/>
                <w:color w:val="auto"/>
              </w:rPr>
            </w:pPr>
          </w:p>
        </w:tc>
        <w:tc>
          <w:tcPr>
            <w:tcW w:w="11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8"/>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Advances to</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Affiliates</w:t>
            </w:r>
          </w:p>
        </w:tc>
        <w:tc>
          <w:tcPr>
            <w:tcW w:w="2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from Affiliates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1"/>
              </w:rPr>
              <w:t>Appreciation</w:t>
            </w:r>
          </w:p>
        </w:tc>
        <w:tc>
          <w:tcPr>
            <w:tcW w:w="1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March 31, 2018</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Gains (Losses)</w:t>
            </w:r>
          </w:p>
        </w:tc>
        <w:tc>
          <w:tcPr>
            <w:tcW w:w="0" w:type="dxa"/>
            <w:vAlign w:val="bottom"/>
          </w:tcPr>
          <w:p>
            <w:pPr>
              <w:spacing w:after="0"/>
              <w:rPr>
                <w:sz w:val="1"/>
                <w:szCs w:val="1"/>
                <w:color w:val="auto"/>
              </w:rPr>
            </w:pPr>
          </w:p>
        </w:tc>
      </w:tr>
      <w:tr>
        <w:trPr>
          <w:trHeight w:val="155"/>
        </w:trPr>
        <w:tc>
          <w:tcPr>
            <w:tcW w:w="19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00" w:type="dxa"/>
            <w:vAlign w:val="bottom"/>
          </w:tcPr>
          <w:p>
            <w:pPr>
              <w:spacing w:after="0" w:line="157" w:lineRule="exact"/>
              <w:rPr>
                <w:sz w:val="20"/>
                <w:szCs w:val="20"/>
                <w:color w:val="auto"/>
              </w:rPr>
            </w:pPr>
            <w:r>
              <w:rPr>
                <w:rFonts w:ascii="Arial" w:cs="Arial" w:eastAsia="Arial" w:hAnsi="Arial"/>
                <w:sz w:val="14"/>
                <w:szCs w:val="14"/>
                <w:color w:val="auto"/>
              </w:rPr>
              <w:t>PennantPark Senior Secured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Arial" w:cs="Arial" w:eastAsia="Arial" w:hAnsi="Arial"/>
                <w:sz w:val="14"/>
                <w:szCs w:val="14"/>
                <w:color w:val="auto"/>
              </w:rPr>
              <w:t>Loan Fund I LLC *</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43,525,143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33,000,000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1,433,863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700,000</w:t>
            </w:r>
          </w:p>
        </w:tc>
        <w:tc>
          <w:tcPr>
            <w:tcW w:w="420" w:type="dxa"/>
            <w:vAlign w:val="bottom"/>
            <w:gridSpan w:val="3"/>
          </w:tcPr>
          <w:p>
            <w:pPr>
              <w:jc w:val="right"/>
              <w:ind w:right="75"/>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753,700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77,278,843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9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Total Controlled Affiliates</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43,525,143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33,000,000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ind w:left="74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1,433,863</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700,000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7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753,700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77,278,843</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CFF"/>
          </w:tcPr>
          <w:p>
            <w:pPr>
              <w:ind w:left="7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20" w:hanging="372"/>
        <w:spacing w:after="0" w:line="233"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equity interests and first lien secured debt, and all portfolio and other material decision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54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r>
      <w:tr>
        <w:trPr>
          <w:trHeight w:val="155"/>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20" w:type="dxa"/>
            <w:vAlign w:val="bottom"/>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15,589,760</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7,283,145</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17,508,542</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16,132,054</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29,413,407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37,823,481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28,056,997</w:t>
            </w:r>
          </w:p>
        </w:tc>
        <w:tc>
          <w:tcPr>
            <w:tcW w:w="10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0.40</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0.25</w:t>
            </w:r>
          </w:p>
        </w:tc>
        <w:tc>
          <w:tcPr>
            <w:tcW w:w="5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0.46</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2018 and September 30, 2017, cash and cash equivalents consisted of money market funds in the amounts of $48.4 million and $18.9 million at fair value,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420" w:type="dxa"/>
            <w:vAlign w:val="bottom"/>
          </w:tcPr>
          <w:p>
            <w:pPr>
              <w:ind w:left="500"/>
              <w:spacing w:after="0"/>
              <w:rPr>
                <w:sz w:val="20"/>
                <w:szCs w:val="20"/>
                <w:color w:val="auto"/>
              </w:rPr>
            </w:pPr>
            <w:r>
              <w:rPr>
                <w:rFonts w:ascii="Arial" w:cs="Arial" w:eastAsia="Arial" w:hAnsi="Arial"/>
                <w:sz w:val="14"/>
                <w:szCs w:val="14"/>
                <w:color w:val="auto"/>
              </w:rPr>
              <w:t>Below are the financial highlights:</w:t>
            </w: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CCECFF"/>
            </w:tcBorders>
          </w:tcPr>
          <w:p>
            <w:pPr>
              <w:spacing w:after="0"/>
              <w:rPr>
                <w:sz w:val="13"/>
                <w:szCs w:val="13"/>
                <w:color w:val="auto"/>
              </w:rPr>
            </w:pPr>
          </w:p>
        </w:tc>
        <w:tc>
          <w:tcPr>
            <w:tcW w:w="22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256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14.10</w:t>
            </w:r>
          </w:p>
        </w:tc>
        <w:tc>
          <w:tcPr>
            <w:tcW w:w="28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0.20</w:t>
            </w:r>
          </w:p>
        </w:tc>
        <w:tc>
          <w:tcPr>
            <w:tcW w:w="2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0.53</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 xml:space="preserve">Net change in realized and unrealized gain </w:t>
            </w:r>
            <w:r>
              <w:rPr>
                <w:rFonts w:ascii="Arial" w:cs="Arial" w:eastAsia="Arial" w:hAnsi="Arial"/>
                <w:sz w:val="12"/>
                <w:szCs w:val="12"/>
                <w:color w:val="auto"/>
              </w:rPr>
              <w:t>(1)</w:t>
            </w:r>
          </w:p>
        </w:tc>
        <w:tc>
          <w:tcPr>
            <w:tcW w:w="222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28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0.46</w:t>
            </w:r>
          </w:p>
        </w:tc>
        <w:tc>
          <w:tcPr>
            <w:tcW w:w="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0.57</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(Dilutive) effect of common stock issuance</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54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2220" w:type="dxa"/>
            <w:vAlign w:val="bottom"/>
            <w:tcBorders>
              <w:bottom w:val="single" w:sz="8" w:color="CCEC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13.98</w:t>
            </w:r>
          </w:p>
        </w:tc>
        <w:tc>
          <w:tcPr>
            <w:tcW w:w="28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14.05</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222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13.09</w:t>
            </w:r>
          </w:p>
        </w:tc>
        <w:tc>
          <w:tcPr>
            <w:tcW w:w="2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13.94</w:t>
            </w:r>
          </w:p>
        </w:tc>
        <w:tc>
          <w:tcPr>
            <w:tcW w:w="1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(5.70)%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62"/>
        </w:trPr>
        <w:tc>
          <w:tcPr>
            <w:tcW w:w="54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222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38,772,074</w:t>
            </w:r>
          </w:p>
        </w:tc>
        <w:tc>
          <w:tcPr>
            <w:tcW w:w="28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32,480,074</w:t>
            </w:r>
          </w:p>
        </w:tc>
        <w:tc>
          <w:tcPr>
            <w:tcW w:w="1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Ratios** / Supplemental Data:</w:t>
            </w: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222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vMerge w:val="continue"/>
            <w:shd w:val="clear" w:color="auto" w:fill="CCECFF"/>
          </w:tcPr>
          <w:p>
            <w:pPr>
              <w:spacing w:after="0"/>
              <w:rPr>
                <w:sz w:val="13"/>
                <w:szCs w:val="13"/>
                <w:color w:val="auto"/>
              </w:rPr>
            </w:pP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480" w:type="dxa"/>
            <w:vAlign w:val="bottom"/>
            <w:gridSpan w:val="2"/>
            <w:shd w:val="clear" w:color="auto" w:fill="CCECFF"/>
          </w:tcPr>
          <w:p>
            <w:pPr>
              <w:jc w:val="right"/>
              <w:ind w:right="160"/>
              <w:spacing w:after="0" w:line="155" w:lineRule="exact"/>
              <w:rPr>
                <w:sz w:val="20"/>
                <w:szCs w:val="20"/>
                <w:color w:val="auto"/>
              </w:rPr>
            </w:pPr>
            <w:r>
              <w:rPr>
                <w:rFonts w:ascii="Arial" w:cs="Arial" w:eastAsia="Arial" w:hAnsi="Arial"/>
                <w:sz w:val="14"/>
                <w:szCs w:val="14"/>
                <w:color w:val="auto"/>
              </w:rPr>
              <w:t>6.97%</w:t>
            </w: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256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541,959,970</w:t>
            </w:r>
          </w:p>
        </w:tc>
        <w:tc>
          <w:tcPr>
            <w:tcW w:w="28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456,226,690</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22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311,499,862</w:t>
            </w:r>
          </w:p>
        </w:tc>
        <w:tc>
          <w:tcPr>
            <w:tcW w:w="2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260,949,248</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8.24</w:t>
            </w:r>
          </w:p>
        </w:tc>
        <w:tc>
          <w:tcPr>
            <w:tcW w:w="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9.30</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256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2,676</w:t>
            </w:r>
          </w:p>
        </w:tc>
        <w:tc>
          <w:tcPr>
            <w:tcW w:w="28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52.08%</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240" w:firstLine="8"/>
        <w:spacing w:after="0" w:line="248" w:lineRule="auto"/>
        <w:tabs>
          <w:tab w:leader="none" w:pos="364"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right="440" w:hanging="352"/>
        <w:spacing w:after="0" w:line="221" w:lineRule="auto"/>
        <w:tabs>
          <w:tab w:leader="none" w:pos="3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 which was terminated on November 22, 2017.</w:t>
      </w:r>
    </w:p>
    <w:p>
      <w:pPr>
        <w:ind w:left="360" w:hanging="352"/>
        <w:spacing w:after="0" w:line="221" w:lineRule="auto"/>
        <w:tabs>
          <w:tab w:leader="none" w:pos="3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60" w:hanging="352"/>
        <w:spacing w:after="0" w:line="221" w:lineRule="auto"/>
        <w:tabs>
          <w:tab w:leader="none" w:pos="3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Credit Facility amendment and debt issuance costs, if any, are not annualized.</w:t>
      </w:r>
    </w:p>
    <w:p>
      <w:pPr>
        <w:ind w:left="380" w:right="80" w:hanging="372"/>
        <w:spacing w:after="0" w:line="271" w:lineRule="auto"/>
        <w:tabs>
          <w:tab w:leader="none" w:pos="380" w:val="left"/>
        </w:tabs>
        <w:numPr>
          <w:ilvl w:val="0"/>
          <w:numId w:val="15"/>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240" w:firstLine="438"/>
        <w:spacing w:after="0" w:line="238" w:lineRule="auto"/>
        <w:rPr>
          <w:sz w:val="20"/>
          <w:szCs w:val="20"/>
          <w:color w:val="auto"/>
        </w:rPr>
      </w:pPr>
      <w:r>
        <w:rPr>
          <w:rFonts w:ascii="Arial" w:cs="Arial" w:eastAsia="Arial" w:hAnsi="Arial"/>
          <w:sz w:val="14"/>
          <w:szCs w:val="14"/>
          <w:color w:val="auto"/>
        </w:rPr>
        <w:t>The annualized weighted average cost of debt for the six months ended March 31, 2018 and 2017, inclusive of the fee on the undrawn commitment of 0.375% on the Credit Facility, amendment costs and debt issuance costs, was 7.40% and 2.91%, respectively. As of March 31, 2018, in accordance with the 1940 Act, with certain limited exceptions, we are only allowed to borrow amounts such that we are in compliance with a 200% asset coverage ratio after such borrowing.</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I’s multi-currency Credit Facility with affiliates of SunTrust Bank, or the Lenders, was $405 million as of March 31, 2018, subject to satisfaction of certain conditions and the regulatory restrictions that the 1940 Act imposes on us as a BDC, has an interest rate spread above LIBOR of 200 basis points, a maturity date of November 2022 and a revolving period that ends in November 2020. As of March 31, 2018 and September 30, 2017, Funding I had $190.2 million and $253.8 million of outstanding borrowings under the Credit Facility, respectively. The Credit Facility had a weighted average interest rate of 3.79% and 3.18%, exclusive of the fee on undrawn commitments as of March 31, 2018 and September 30, 2017, respectively.</w:t>
      </w:r>
    </w:p>
    <w:p>
      <w:pPr>
        <w:spacing w:after="0" w:line="107" w:lineRule="exact"/>
        <w:rPr>
          <w:sz w:val="20"/>
          <w:szCs w:val="20"/>
          <w:color w:val="auto"/>
        </w:rPr>
      </w:pPr>
    </w:p>
    <w:p>
      <w:pPr>
        <w:jc w:val="both"/>
        <w:ind w:right="5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March 31, 2018, we were in compliance with the covenants relating to our Credit Facility.</w:t>
      </w:r>
    </w:p>
    <w:p>
      <w:pPr>
        <w:spacing w:after="0" w:line="10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w:t>
      </w:r>
    </w:p>
    <w:p>
      <w:pPr>
        <w:spacing w:after="0" w:line="136"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The 2023 Notes pay interest at a rate of 3.83%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17" w:lineRule="exact"/>
        <w:rPr>
          <w:sz w:val="20"/>
          <w:szCs w:val="20"/>
          <w:color w:val="auto"/>
        </w:rPr>
      </w:pPr>
    </w:p>
    <w:p>
      <w:pPr>
        <w:jc w:val="both"/>
        <w:ind w:right="40" w:firstLine="438"/>
        <w:spacing w:after="0" w:line="255" w:lineRule="auto"/>
        <w:rPr>
          <w:sz w:val="20"/>
          <w:szCs w:val="20"/>
          <w:color w:val="auto"/>
        </w:rPr>
      </w:pPr>
      <w:r>
        <w:rPr>
          <w:rFonts w:ascii="Arial" w:cs="Arial" w:eastAsia="Arial" w:hAnsi="Arial"/>
          <w:sz w:val="13"/>
          <w:szCs w:val="13"/>
          <w:color w:val="auto"/>
        </w:rPr>
        <w:t>The 2023 Notes are general, unsecured obligations, rank equal in right of payment with all of PennantPark Floating Rate Capital Ltd.’s existing and future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for trading on the TASE. In connection with this offering, we have dual listed our common stock on the TASE.</w:t>
      </w:r>
    </w:p>
    <w:p>
      <w:pPr>
        <w:spacing w:after="0" w:line="10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March 31, 2018 and September 30, 2017, we had $48.2 million and $30.6 million, respectively, in commitments to fund investments. Additionally, as described in Note 4, the Company had commitments of up to $15.9 million and $44.6 million to PSSL as of March 31, 2018 and September 30, 2017, respectively, that may be contributed primarily for the purpose of funding new investments approved by the PSSL board of directors or investment committee.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140"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In May 2018 we doubled the financial capacity of PSSL. We and Kemper each increased our respective debt and equity investments in PSSL while continuing to own 87.5% and 12.5%, respectively, of each of the outstanding first lien secured debt and equity interests. Our commitments to fund first lien secured debt to PSSL were increased by $64.3 million and our commitments to fund equity interests in PSSL were increased by $27.6 million. Additionally, the PSSL Credit Facility was amended to, among other things, allow PSSL Subsidiary to borrow up to $420.0 million at any one time outstanding, subject to leverage and borrowing base restrictions.</w:t>
      </w:r>
    </w:p>
    <w:p>
      <w:pPr>
        <w:spacing w:after="0" w:line="117"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Through April 30, 2018, we have made investments totaling $62.8 million and PSSL has made investments totaling $43.0 million (of which $12.4 million was purchased from the Company).</w:t>
      </w:r>
    </w:p>
    <w:p>
      <w:pPr>
        <w:spacing w:after="0" w:line="10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requirements applicable to us for senior securities will be reduced from 200% to 150%, effective as of April 5, 2019, subject to compliance with certain disclosure requirements. As of March 31, 2018 and September 30, 2017, our asset coverage ratio, as computed in accordance with the 1940 Act, was 268% and 278%,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9" w:lineRule="exact"/>
        <w:rPr>
          <w:sz w:val="20"/>
          <w:szCs w:val="20"/>
          <w:color w:val="auto"/>
        </w:rPr>
      </w:pPr>
    </w:p>
    <w:p>
      <w:pPr>
        <w:ind w:right="5120"/>
        <w:spacing w:after="0" w:line="442" w:lineRule="auto"/>
        <w:rPr>
          <w:sz w:val="20"/>
          <w:szCs w:val="20"/>
          <w:color w:val="auto"/>
        </w:rPr>
      </w:pPr>
      <w:r>
        <w:rPr>
          <w:rFonts w:ascii="Arial" w:cs="Arial" w:eastAsia="Arial" w:hAnsi="Arial"/>
          <w:sz w:val="14"/>
          <w:szCs w:val="14"/>
          <w:color w:val="auto"/>
        </w:rPr>
        <w:t xml:space="preserve">To the Board of Directors and Stockholders of PennantPark Floating Rate Capital Ltd. and its Subsidiaries </w:t>
      </w:r>
      <w:r>
        <w:rPr>
          <w:rFonts w:ascii="Arial" w:cs="Arial" w:eastAsia="Arial" w:hAnsi="Arial"/>
          <w:sz w:val="14"/>
          <w:szCs w:val="14"/>
          <w:b w:val="1"/>
          <w:bCs w:val="1"/>
          <w:color w:val="auto"/>
        </w:rPr>
        <w:t>Results of Review of Interim Financial Statements</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We have reviewed the accompanying consolidated statement of assets and liabilities of PennantPark Floating Rate Capital Ltd. and its Subsidiaries (collectively referred to as the “Company”), including the consolidated schedule of investments, as of March 31, 2018, the related consolidated statements of operations for the three-month and six-month periods ended March 31, 2018 and 2017, the related consolidated statements of changes in net assets and cash flows for the six-month periods ended March 31, 2018 and 2017 and the related notes to the consolidated financial statements (collectively, the interim financial statements). Based on our reviews, we are not aware of any material modifications that should be made to the condensed financial statements referred to above for them to be in conformity with accounting principles generally accepted in the United States of America.</w:t>
      </w:r>
    </w:p>
    <w:p>
      <w:pPr>
        <w:spacing w:after="0" w:line="116"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2017, and the related consolidated statement of operations, changes in net assets, and cash flows for the year then ended (not presented herein); and in our report dated November 30, 2017, we expressed an unqualified opinion on those financial statements. In our opinion, the information set forth in the accompanying consolidated statements of assets and liabilities as of September 30, 2017, is fairly stated, in all material respects, in relation to the balance sheet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May 10, 2018</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8" w:name="page29"/>
    <w:bookmarkEnd w:id="28"/>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jc w:val="both"/>
        <w:ind w:right="100" w:firstLine="496"/>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right="440" w:firstLine="438"/>
        <w:spacing w:after="0" w:line="253"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9" w:name="page30"/>
    <w:bookmarkEnd w:id="29"/>
    <w:p>
      <w:pPr>
        <w:ind w:right="200"/>
        <w:spacing w:after="0" w:line="238" w:lineRule="auto"/>
        <w:rPr>
          <w:sz w:val="20"/>
          <w:szCs w:val="20"/>
          <w:color w:val="auto"/>
        </w:rPr>
      </w:pPr>
      <w:r>
        <w:rPr>
          <w:rFonts w:ascii="Arial" w:cs="Arial" w:eastAsia="Arial" w:hAnsi="Arial"/>
          <w:sz w:val="14"/>
          <w:szCs w:val="14"/>
          <w:color w:val="auto"/>
        </w:rPr>
        <w:t>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15"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0" w:name="page31"/>
    <w:bookmarkEnd w:id="30"/>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As of March 31, 2018, our portfolio totaled $833.8 million and consisted of $758.5 million of first lien secured debt (of which $53.2 million was invested in PSSL), $36.1 million of second lien secured debt and $39.2 million of subordinated debt, preferred and common equity (of which $24.1 million was invested in PSSL). Our debt portfolio consisted of 100% variable-rate investments (including 5% where LIBOR was below the floor). As of March 31, 2018, we had one company on non-accrual, representing 0.3% and 0.1% of our overall portfolio on a cost and fair value basis, respectively. Overall, the portfolio had net unrealized appreciation of $5.0 million. Our overall portfolio consisted of 86 companies with an average investment size of $9.7 million, had a weighted average yield on debt investments of 8.6%, and was invested 91% in first lien secured debt (of which 6% was invested in PSSL), 4% in second lien secured debt and 5% in subordinated debt, preferred and common equity (of which 3% was invested in PSSL). As of March 31, 2018, all of the investments held by PSSL were first lien secured debt.</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September 30, 2017, our portfolio totaled $710.5 million and consisted of $609.7 million of first lien secured debt, $37.8 million of second lien secured debt,</w:t>
      </w:r>
    </w:p>
    <w:p>
      <w:pPr>
        <w:ind w:right="20"/>
        <w:spacing w:after="0" w:line="226" w:lineRule="auto"/>
        <w:rPr>
          <w:sz w:val="20"/>
          <w:szCs w:val="20"/>
          <w:color w:val="auto"/>
        </w:rPr>
      </w:pPr>
      <w:r>
        <w:rPr>
          <w:rFonts w:ascii="Arial" w:cs="Arial" w:eastAsia="Arial" w:hAnsi="Arial"/>
          <w:sz w:val="14"/>
          <w:szCs w:val="14"/>
          <w:color w:val="auto"/>
        </w:rPr>
        <w:t>$37.5 million of subordinated debt (of which $30.1 million was invested in PSSL) and $25.5 million of preferred and common equity (of which $13.4 million was invested in PSSL). Our debt portfolio consisted of 99% variable-rate investments (including 7% where LIBOR was below the floor) and 1% fixed-rate investments. As of September 30, 2017, we had one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(of which 4% was invested in PSSL) and 4% in preferred and common equity (of which 2% was invested in PSSL). As of September 30, 2017, all of the investments held by PSSL were first lien secured debt.</w:t>
      </w:r>
    </w:p>
    <w:p>
      <w:pPr>
        <w:spacing w:after="0" w:line="118"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March 31, 2018, we invested $138.5 million in six new and 17 existing portfolio companies with a weighted average yield on debt investments of 7.8%. Sales and repayments of investments for the three months ended March 31, 2018 totaled $46.6 million. For the six months ended March 31, 2018, we invested $315.3 million in 17 new and 28 existing portfolio companies with a weighted average yield on debt investments of 7.9%. Sales and repayments of investments for the six months ended March 31, 2018 totaled $195.7 million.</w:t>
      </w:r>
    </w:p>
    <w:p>
      <w:pPr>
        <w:spacing w:after="0" w:line="101"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March 31, 2017, we invested $146.3 million in nine new and 10 existing portfolio companies with a weighted average yield on debt investments of 7.8%. Sales and repayments of investments for the three months ended March 31, 2017 totaled $71.5 million. For the six months ended March 31, 2017, we invested $271.1 million in 21 new and 23 existing portfolio companies with a weighted average yield on debt investments of 7.7%. Sales and repayments of investments for the six months ended March 31, 2017 totaled $141.9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300" w:hanging="447"/>
        <w:spacing w:after="0" w:line="253" w:lineRule="auto"/>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00" w:right="100" w:hanging="447"/>
        <w:spacing w:after="0" w:line="264" w:lineRule="auto"/>
        <w:tabs>
          <w:tab w:leader="none" w:pos="9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40" w:hanging="447"/>
        <w:spacing w:after="0" w:line="238" w:lineRule="auto"/>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100" w:hanging="447"/>
        <w:spacing w:after="0" w:line="253" w:lineRule="auto"/>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1" w:name="page32"/>
    <w:bookmarkEnd w:id="31"/>
    <w:p>
      <w:pPr>
        <w:ind w:right="60"/>
        <w:spacing w:after="0" w:line="238" w:lineRule="auto"/>
        <w:rPr>
          <w:sz w:val="20"/>
          <w:szCs w:val="20"/>
          <w:color w:val="auto"/>
        </w:rPr>
      </w:pPr>
      <w:r>
        <w:rPr>
          <w:rFonts w:ascii="Arial" w:cs="Arial" w:eastAsia="Arial" w:hAnsi="Arial"/>
          <w:sz w:val="14"/>
          <w:szCs w:val="14"/>
          <w:color w:val="auto"/>
        </w:rPr>
        <w:t>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5"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zero and $10.9 million relating to amendment costs on the Credit Facility and debt issuance costs on the 2023 Notes during the three and six months ended March 31, 2018. There were no expenses relating to amendment or debt issuance costs on our debt for the three and six months ended March 31, 2017.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three and six months ended March 31, 2018, our Credit Facility and the 2023 Notes had a net change in unrealized depreciation of $5.3 million and $8.4 million, respectively. For the three and six months ended March 31, 2017, our Credit Facility had a net change in unrealized depreciation (appreciation) of less than $0.1 million and ($1.0) million, respectively. As of March 31, 2018 and September 30, 2017, the net unrealized depreciation (appreciation) on our Credit Facility and the 2023 Notes totaled $5.4 million and $(3.1)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in order to provide us with additional liquidity.</w:t>
      </w:r>
    </w:p>
    <w:p>
      <w:pPr>
        <w:spacing w:after="0" w:line="111"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jc w:val="both"/>
        <w:ind w:right="10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taxed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six months ended March 31, 2018 and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00" w:firstLine="434"/>
        <w:spacing w:after="0" w:line="231" w:lineRule="auto"/>
        <w:rPr>
          <w:sz w:val="20"/>
          <w:szCs w:val="20"/>
          <w:color w:val="auto"/>
        </w:rPr>
      </w:pPr>
      <w:r>
        <w:rPr>
          <w:rFonts w:ascii="Arial" w:cs="Arial" w:eastAsia="Arial" w:hAnsi="Arial"/>
          <w:sz w:val="14"/>
          <w:szCs w:val="14"/>
          <w:color w:val="auto"/>
        </w:rPr>
        <w:t>Investment income for the three and six months ended March 31, 2018 was $16.5 million and $31.3 million, respectively, and was attributable to $13.2 million and $26.8 million from first lien secured debt and $3.3 million and $4.5 million from second lien secured debt, subordinated debt and preferred and common equity, respectively. This compares to investment income for the three and six months ended March 31, 2017, which was $13.2 million and $25.9 million, respectively, and was attributable to $12.0 million and $23.3 million from first lien senior debt and $1.2 million and $2.6 million from second lien secured debt and subordinated debt, respectively. The increase in investment income compared to the same periods in the prior year was primarily due to the growth of our portfolio.</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firstLine="438"/>
        <w:spacing w:after="0" w:line="226" w:lineRule="auto"/>
        <w:rPr>
          <w:sz w:val="20"/>
          <w:szCs w:val="20"/>
          <w:color w:val="auto"/>
        </w:rPr>
      </w:pPr>
      <w:r>
        <w:rPr>
          <w:rFonts w:ascii="Arial" w:cs="Arial" w:eastAsia="Arial" w:hAnsi="Arial"/>
          <w:sz w:val="14"/>
          <w:szCs w:val="14"/>
          <w:color w:val="auto"/>
        </w:rPr>
        <w:t>Expenses for the three and six months ended March 31, 2018 totaled $7.1 million and $23.9 million, respectively. Base management fee for the same periods totaled $1.9 million and $3.8 million, incentive fee totaled $0.4 million (including $0.2 million on unrealized gains accrued but not payable) and $0.5 million (including $0.4 million on unrealized gains accrued but not payable), debt related interest and expenses totaled $3.5 million and $17.0 million (including $10.9 million in Credit Facility amendment and debt issuance costs on the 2023 Notes), general and administrative expenses totaled $1.1 million and $2.2 million and provision for taxes totaled $0.2 million and $0.4 million, respectively. This compares to expenses for the three and six months ended March 31, 2017, which totaled $5.2 million and $11.0 million, respectively. Base management fee for the same periods totaled $1.7 million and $3.3 million, incentive fee totaled $0.5 million (including $(0.1) million on unrealized gains accrued but not payable) and $1.9 million (including $0.5 million on unrealized gains accrued but not payable), Credit Facility expenses totaled $2.0 million and $3.8 million, general and administrative expenses totaled $0.9 million and $1.9 million and provision for taxes totaled $0.1 million and $0.1 million, respectively. The increase in expenses compared to the same periods in the prior year was primarily due to the expenses incurred in connection with the Credit Facility amendment and debt issuance costs on the 2023 Notes in the current period, which was partially offset by a reduction in incentive fees.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260" w:firstLine="434"/>
        <w:spacing w:after="0" w:line="231" w:lineRule="auto"/>
        <w:rPr>
          <w:sz w:val="20"/>
          <w:szCs w:val="20"/>
          <w:color w:val="auto"/>
        </w:rPr>
      </w:pPr>
      <w:r>
        <w:rPr>
          <w:rFonts w:ascii="Arial" w:cs="Arial" w:eastAsia="Arial" w:hAnsi="Arial"/>
          <w:sz w:val="14"/>
          <w:szCs w:val="14"/>
          <w:color w:val="auto"/>
        </w:rPr>
        <w:t>Net investment income totaled $9.4 million and $7.5 million, or $0.24 and $0.20 per share, for the three and six months ended March 31, 2018, respectively. Net investment income totaled $8.0 million and $14.9 million, or $0.27 and $0.53 per share, for the three and six months ended March 31, 2017, respectively. The increase in net investment income for the three months ended March 31, 2018 compared to the same period in the prior year was primarily due to the growth of our portfolio, partially offset by higher recurring debt related interest and expense. The decrease in net investment income for the six months ended March 31, 2018 compared to the same period in the prior year was primarily due to the expenses incurred in connection with the Credit Facility amendment and debt issuance costs on the 2023 Notes in the current period.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140" w:firstLine="434"/>
        <w:spacing w:after="0" w:line="233" w:lineRule="auto"/>
        <w:rPr>
          <w:sz w:val="20"/>
          <w:szCs w:val="20"/>
          <w:color w:val="auto"/>
        </w:rPr>
      </w:pPr>
      <w:r>
        <w:rPr>
          <w:rFonts w:ascii="Arial" w:cs="Arial" w:eastAsia="Arial" w:hAnsi="Arial"/>
          <w:sz w:val="14"/>
          <w:szCs w:val="14"/>
          <w:color w:val="auto"/>
        </w:rPr>
        <w:t>Sales and repayments of investments for the three and six months ended March 31, 2018 totaled $46.6 million and $195.7 million, respectively, and net realized gains (losses) totaled $1.5 million and $(1.3) million, respectively. Sales and repayments of investments for the three and six months ended March 31, 2017 totaled $71.5 million and $141.9 million, respectively, and net realized gains totaled $2.0 million and $2.5 million, respectively. The change in realized gains/losses was primarily due to changes in the market conditions of our investments and the values at which they were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120" w:firstLine="456"/>
        <w:spacing w:after="0" w:line="231" w:lineRule="auto"/>
        <w:rPr>
          <w:sz w:val="20"/>
          <w:szCs w:val="20"/>
          <w:color w:val="auto"/>
        </w:rPr>
      </w:pPr>
      <w:r>
        <w:rPr>
          <w:rFonts w:ascii="Arial" w:cs="Arial" w:eastAsia="Arial" w:hAnsi="Arial"/>
          <w:sz w:val="14"/>
          <w:szCs w:val="14"/>
          <w:color w:val="auto"/>
        </w:rPr>
        <w:t>For the three and six months ended March 31, 2018, we reported net change in unrealized (depreciation) appreciation on investments of $(0.6) million and $2.9 million, respectively. For the three and six months ended March 31, 2017, we reported net change in unrealized depreciation on investments of $2.7 million and $0.2 million, respectively. As of March 31, 2018 and September 30, 2017, our net unrealized appreciation on investments totaled $5.0 million and $2.0 million, respectively. The net change in unrealized appreciation/depreciation on our investments compared to the same periods in the prior year was primarily due to changes in the capital market conditions, the financial performance of certain portfolio companies and the reversal of unrealized appreciation/depreciation on investments that were realized.</w:t>
      </w:r>
    </w:p>
    <w:p>
      <w:pPr>
        <w:spacing w:after="0" w:line="116"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For the three and six months ended March 31, 2018, our Credit Facility and the 2023 Notes had a net change in unrealized depreciation of $5.3 million and $8.4 million, respectively. For the three and six months ended March 31, 2017, our Credit Facility had a net change in unrealized depreciation (appreciation) of less than $0.1 million and $(1.0) million, respectively. As of March 31, 2018 and September 30, 2017, our net unrealized depreciation (appreciation) on the Credit Facility and the 2023 Notes totaled $5.4 million and $(3.1) million, respectively. The net change in unrealized depreciation compared to the same periods in the prior year was primarily due to changes in the capital markets.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160" w:firstLine="434"/>
        <w:spacing w:after="0" w:line="233" w:lineRule="auto"/>
        <w:rPr>
          <w:sz w:val="20"/>
          <w:szCs w:val="20"/>
          <w:color w:val="auto"/>
        </w:rPr>
      </w:pPr>
      <w:r>
        <w:rPr>
          <w:rFonts w:ascii="Arial" w:cs="Arial" w:eastAsia="Arial" w:hAnsi="Arial"/>
          <w:sz w:val="14"/>
          <w:szCs w:val="14"/>
          <w:color w:val="auto"/>
        </w:rPr>
        <w:t>Net change in net assets resulting from operations totaled $15.6 million and $17.5 million, or $0.40 and $0.46 per share, respectively, for the three and six months ended March 31, 2018. This compares to a net change in net assets resulting from operations of $7.3 million and $16.1 million, or $0.25 and $0.57 per share, respectively, for the three and six months ended March 31, 2017. The increase in the net change in net assets from operations compared to the same periods in the prior year was primarily due to the growth of our portfolio, partially offset by the expenses incurred in connection with the Credit Facility amendment and debt issuance costs on the 2023 Notes in the current period.</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March 31, 2018, in accordance with the 1940 Act, with certain limited exceptions, we are only allowed to borrow amounts such that we are in compliance with a 200% asset coverage ratio after such borrowing.</w:t>
      </w:r>
    </w:p>
    <w:p>
      <w:pPr>
        <w:spacing w:after="0" w:line="116"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Funding I’s multi-currency Credit Facility with the Lenders was $405 million as of March 31, 2018, subject to satisfaction of certain conditions and regulatory restrictions that the 1940 Act imposes on us as a BDC, has an interest rate spread above LIBOR of 200 basis points, a maturity date of November 2022 and a revolving period that ends in November 2020. As of March 31, 2018 and September 30, 2017, Funding I had $190.2 million and $253.8 million of outstanding borrowings under the Credit Facility, respectively. The Credit Facility had a weighted average interest rate of 3.79% and 3.18%, exclusive of the fee on undrawn commitments as of March 31, 2018 and September 30, 2017, respectively.</w:t>
      </w:r>
    </w:p>
    <w:p>
      <w:pPr>
        <w:spacing w:after="0" w:line="107"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The annualized weighted average cost of debt for the six months ended March 31, 2018 and 2017, inclusive of the fee on the undrawn commitment of 0.375% on the Credit Facility, amendment costs and debt issuance costs, was 7.40% and 2.91%, respectively (excluding amendment and debt issuance costs, amounts are 3.91% and 2.91%, respectively). As of March 31, 2018 and September 30, 2017, we had $214.8 million and $121.2 million of unused borrowing capacity under our Credit Facility, respectively, subject to the regulatory restrictions.</w:t>
      </w:r>
    </w:p>
    <w:p>
      <w:pPr>
        <w:spacing w:after="0" w:line="101" w:lineRule="exact"/>
        <w:rPr>
          <w:sz w:val="20"/>
          <w:szCs w:val="20"/>
          <w:color w:val="auto"/>
        </w:rPr>
      </w:pPr>
    </w:p>
    <w:p>
      <w:pPr>
        <w:jc w:val="both"/>
        <w:ind w:right="5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March 31, 2018, we were in compliance with the covenants relating to our Credit Facility.</w:t>
      </w:r>
    </w:p>
    <w:p>
      <w:pPr>
        <w:spacing w:after="0" w:line="116"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jc w:val="both"/>
        <w:ind w:right="140" w:firstLine="438"/>
        <w:spacing w:after="0" w:line="264" w:lineRule="auto"/>
        <w:rPr>
          <w:sz w:val="20"/>
          <w:szCs w:val="20"/>
          <w:color w:val="auto"/>
        </w:rPr>
      </w:pPr>
      <w:r>
        <w:rPr>
          <w:rFonts w:ascii="Arial" w:cs="Arial" w:eastAsia="Arial" w:hAnsi="Arial"/>
          <w:sz w:val="13"/>
          <w:szCs w:val="13"/>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4" w:name="page35"/>
    <w:bookmarkEnd w:id="34"/>
    <w:p>
      <w:pPr>
        <w:ind w:right="20" w:firstLine="438"/>
        <w:spacing w:after="0" w:line="231"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six months ended March 31, 2018 and 2017, we issued 6.3 million and 5.8 million shares, respectively. As a result, we raised approximately $88.0 million and $80.5 million in net proceeds from our issuances of our equity capital, respectively.</w:t>
      </w:r>
    </w:p>
    <w:p>
      <w:pPr>
        <w:spacing w:after="0" w:line="116" w:lineRule="exact"/>
        <w:rPr>
          <w:sz w:val="20"/>
          <w:szCs w:val="20"/>
          <w:color w:val="auto"/>
        </w:rPr>
      </w:pPr>
    </w:p>
    <w:p>
      <w:pPr>
        <w:ind w:right="420" w:firstLine="438"/>
        <w:spacing w:after="0" w:line="253" w:lineRule="auto"/>
        <w:rPr>
          <w:sz w:val="20"/>
          <w:szCs w:val="20"/>
          <w:color w:val="auto"/>
        </w:rPr>
      </w:pPr>
      <w:r>
        <w:rPr>
          <w:rFonts w:ascii="Arial" w:cs="Arial" w:eastAsia="Arial" w:hAnsi="Arial"/>
          <w:sz w:val="14"/>
          <w:szCs w:val="14"/>
          <w:color w:val="auto"/>
        </w:rPr>
        <w:t>As of March 31, 2018 and September 30, 2017, we had cash equivalents of $48.4 million and $18.9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340" w:firstLine="438"/>
        <w:spacing w:after="0" w:line="238" w:lineRule="auto"/>
        <w:rPr>
          <w:sz w:val="20"/>
          <w:szCs w:val="20"/>
          <w:color w:val="auto"/>
        </w:rPr>
      </w:pPr>
      <w:r>
        <w:rPr>
          <w:rFonts w:ascii="Arial" w:cs="Arial" w:eastAsia="Arial" w:hAnsi="Arial"/>
          <w:sz w:val="14"/>
          <w:szCs w:val="14"/>
          <w:color w:val="auto"/>
        </w:rPr>
        <w:t>Our operating activities used cash of $111.7 million for the six months ended March 31, 2018, and our financing activities provided cash of $142.1 million for the same period. Our operating activities used cash primarily for our investment activities and our financing activities provided cash primarily from a follow-on equity offering and the issuance of the 2023 Notes, partially offset by net repayments under the Credit Facility.</w:t>
      </w:r>
    </w:p>
    <w:p>
      <w:pPr>
        <w:spacing w:after="0" w:line="115"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Our operating activities used cash of $116.7 million for the six months ended March 31, 2017, and our financing activities provided cash of $131.7 million for the same period. Our operating activities used cash primarily for our investment activities and our financing activities provided cash primarily from a follow-on equity offering and net borrowings under the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2018, PSSL had total assets of $239.9 million. As of the same date, we and Kemper had remaining commitments to fund first lien secured debt and equity interests in PSSL in an aggregate of $18.1 million. PSSL invests in portfolio companies in the same industries in which we may directly invest. During the three months ended March 31, 2018, the terms of our debt investment in PSSL were modified to eliminate the subordination provision and to grant us a security interest in certain assets of PSSL.</w:t>
      </w:r>
    </w:p>
    <w:p>
      <w:pPr>
        <w:spacing w:after="0" w:line="10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March 31, 2018, we and Kemper owned 87.5% and 12.5%, respectively, of each of the outstanding first lien secured debt and equity interests. As of the same date, our investment in PSSL consisted of equity interests of $22.8 million and first lien secured debt of $53.2 million. As of the same date, we had commitments to fund first lien secured debt to PSSL of $64.3 million, of which $11.1 million was unfunded. As of March 31, 2018, we had commitments to fund equity interests in PSSL of $27.6 million, of which $4.8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March 31, 2018 allowed PSSL Subsidiary to borrow up to $210.0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2017</w:t>
            </w:r>
          </w:p>
        </w:tc>
        <w:tc>
          <w:tcPr>
            <w:tcW w:w="20" w:type="dxa"/>
            <w:vAlign w:val="bottom"/>
          </w:tcPr>
          <w:p>
            <w:pPr>
              <w:spacing w:after="0"/>
              <w:rPr>
                <w:sz w:val="14"/>
                <w:szCs w:val="1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0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221,213,574</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99,994,314</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6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84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13,135,874</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8,080,000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84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62,437,832</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34,935,330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677"/>
        </w:trPr>
        <w:tc>
          <w:tcPr>
            <w:tcW w:w="4580" w:type="dxa"/>
            <w:vAlign w:val="bottom"/>
          </w:tcPr>
          <w:p>
            <w:pPr>
              <w:spacing w:after="0"/>
              <w:rPr>
                <w:sz w:val="24"/>
                <w:szCs w:val="24"/>
                <w:color w:val="auto"/>
              </w:rPr>
            </w:pPr>
          </w:p>
        </w:tc>
        <w:tc>
          <w:tcPr>
            <w:tcW w:w="2600" w:type="dxa"/>
            <w:vAlign w:val="bottom"/>
          </w:tcPr>
          <w:p>
            <w:pPr>
              <w:jc w:val="right"/>
              <w:ind w:right="1408"/>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35" w:name="page36"/>
    <w:bookmarkEnd w:id="35"/>
    <w:p>
      <w:pPr>
        <w:ind w:left="440"/>
        <w:spacing w:after="0"/>
        <w:rPr>
          <w:sz w:val="20"/>
          <w:szCs w:val="20"/>
          <w:color w:val="auto"/>
        </w:rPr>
      </w:pPr>
      <w:r>
        <w:rPr>
          <w:rFonts w:ascii="Arial" w:cs="Arial" w:eastAsia="Arial" w:hAnsi="Arial"/>
          <w:sz w:val="14"/>
          <w:szCs w:val="14"/>
          <w:color w:val="auto"/>
        </w:rPr>
        <w:t>Below is a listing of PSSL’s individual investments as of March 31, 2018:</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Maturity</w:t>
            </w:r>
          </w:p>
        </w:tc>
        <w:tc>
          <w:tcPr>
            <w:tcW w:w="2700" w:type="dxa"/>
            <w:vAlign w:val="bottom"/>
            <w:tcBorders>
              <w:bottom w:val="single" w:sz="8" w:color="auto"/>
            </w:tcBorders>
          </w:tcPr>
          <w:p>
            <w:pPr>
              <w:ind w:left="1160"/>
              <w:spacing w:after="0"/>
              <w:rPr>
                <w:sz w:val="20"/>
                <w:szCs w:val="20"/>
                <w:color w:val="auto"/>
              </w:rPr>
            </w:pPr>
            <w:r>
              <w:rPr>
                <w:rFonts w:ascii="Arial" w:cs="Arial" w:eastAsia="Arial" w:hAnsi="Arial"/>
                <w:sz w:val="12"/>
                <w:szCs w:val="12"/>
                <w:b w:val="1"/>
                <w:bCs w:val="1"/>
                <w:color w:val="auto"/>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Par</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Investments in Non-Controlled, Non-Affiliated Portfolio Companies—803.9%</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Debt—803.9%</w:t>
            </w: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04/04/2022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6.88%</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5,522,843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5,462,516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5,529,747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11/30/2021</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Transportation: Consumer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6.94%</w:t>
            </w:r>
          </w:p>
        </w:tc>
        <w:tc>
          <w:tcPr>
            <w:tcW w:w="780" w:type="dxa"/>
            <w:vAlign w:val="bottom"/>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4,987,406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4,942,249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4,912,594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08/01/2024</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6.29%</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4,927,486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5,018,531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04/22/2022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8.23%</w:t>
            </w:r>
          </w:p>
        </w:tc>
        <w:tc>
          <w:tcPr>
            <w:tcW w:w="780" w:type="dxa"/>
            <w:vAlign w:val="bottom"/>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4,892,947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4,850,313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4,917,412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05/16/2022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9.11%</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10,837,152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10,587,854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10,837,152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Cadence Aerospace,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11/14/2023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8.33%</w:t>
            </w:r>
          </w:p>
        </w:tc>
        <w:tc>
          <w:tcPr>
            <w:tcW w:w="780" w:type="dxa"/>
            <w:vAlign w:val="bottom"/>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6,483,750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6,423,327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6,491,475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11/29/2023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7.63%</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7,462,217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7,416,826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7,499,528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03/31/2023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7.30%</w:t>
            </w:r>
          </w:p>
        </w:tc>
        <w:tc>
          <w:tcPr>
            <w:tcW w:w="780" w:type="dxa"/>
            <w:vAlign w:val="bottom"/>
          </w:tcPr>
          <w:p>
            <w:pPr>
              <w:jc w:val="right"/>
              <w:spacing w:after="0"/>
              <w:rPr>
                <w:sz w:val="20"/>
                <w:szCs w:val="20"/>
                <w:color w:val="auto"/>
              </w:rPr>
            </w:pPr>
            <w:r>
              <w:rPr>
                <w:rFonts w:ascii="Arial" w:cs="Arial" w:eastAsia="Arial" w:hAnsi="Arial"/>
                <w:sz w:val="12"/>
                <w:szCs w:val="12"/>
                <w:color w:val="auto"/>
              </w:rPr>
              <w:t>3M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4,750,395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4,750,395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4,558,778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08/02/2021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7.13%</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12,380,173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DigiCert Holdings,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10/31/2024</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6.52%</w:t>
            </w:r>
          </w:p>
        </w:tc>
        <w:tc>
          <w:tcPr>
            <w:tcW w:w="780" w:type="dxa"/>
            <w:vAlign w:val="bottom"/>
          </w:tcPr>
          <w:p>
            <w:pPr>
              <w:jc w:val="right"/>
              <w:spacing w:after="0"/>
              <w:rPr>
                <w:sz w:val="20"/>
                <w:szCs w:val="20"/>
                <w:color w:val="auto"/>
              </w:rPr>
            </w:pPr>
            <w:r>
              <w:rPr>
                <w:rFonts w:ascii="Arial" w:cs="Arial" w:eastAsia="Arial" w:hAnsi="Arial"/>
                <w:sz w:val="12"/>
                <w:szCs w:val="12"/>
                <w:color w:val="auto"/>
              </w:rPr>
              <w:t>3M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7,962,812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8,085,040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12/29/2023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6.88%</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9,876,442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9,900,188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12/09/2020</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5.91%</w:t>
            </w:r>
          </w:p>
        </w:tc>
        <w:tc>
          <w:tcPr>
            <w:tcW w:w="780" w:type="dxa"/>
            <w:vAlign w:val="bottom"/>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4,733,745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03/29/2022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12,281,563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12,281,250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09/30/2022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6.42%</w:t>
            </w:r>
          </w:p>
        </w:tc>
        <w:tc>
          <w:tcPr>
            <w:tcW w:w="780" w:type="dxa"/>
            <w:vAlign w:val="bottom"/>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4,832,032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10/12/2021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8.00%</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E+800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9,874,214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11,827,478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12,145,708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Impact Sales,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12/30/2021</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8.69%</w:t>
            </w:r>
          </w:p>
        </w:tc>
        <w:tc>
          <w:tcPr>
            <w:tcW w:w="780" w:type="dxa"/>
            <w:vAlign w:val="bottom"/>
          </w:tcPr>
          <w:p>
            <w:pPr>
              <w:jc w:val="right"/>
              <w:spacing w:after="0"/>
              <w:rPr>
                <w:sz w:val="20"/>
                <w:szCs w:val="20"/>
                <w:color w:val="auto"/>
              </w:rPr>
            </w:pPr>
            <w:r>
              <w:rPr>
                <w:rFonts w:ascii="Arial" w:cs="Arial" w:eastAsia="Arial" w:hAnsi="Arial"/>
                <w:sz w:val="12"/>
                <w:szCs w:val="12"/>
                <w:color w:val="auto"/>
              </w:rPr>
              <w:t>2M L+700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4,959,849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4,946,246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4,959,849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12/12/2023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6.56%</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7,297,298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7,434,996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05/01/2023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7.69%</w:t>
            </w:r>
          </w:p>
        </w:tc>
        <w:tc>
          <w:tcPr>
            <w:tcW w:w="7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7,359,375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7,419,949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7,310,288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12/08/2023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7.71%</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6,982,500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6,881,903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6,915,963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01/27/2021</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6.87%</w:t>
            </w:r>
          </w:p>
        </w:tc>
        <w:tc>
          <w:tcPr>
            <w:tcW w:w="780" w:type="dxa"/>
            <w:vAlign w:val="bottom"/>
          </w:tcPr>
          <w:p>
            <w:pPr>
              <w:jc w:val="right"/>
              <w:spacing w:after="0"/>
              <w:rPr>
                <w:sz w:val="20"/>
                <w:szCs w:val="20"/>
                <w:color w:val="auto"/>
              </w:rPr>
            </w:pPr>
            <w:r>
              <w:rPr>
                <w:rFonts w:ascii="Arial" w:cs="Arial" w:eastAsia="Arial" w:hAnsi="Arial"/>
                <w:sz w:val="12"/>
                <w:szCs w:val="12"/>
                <w:color w:val="auto"/>
              </w:rPr>
              <w:t>P+275</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4,614,469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4,656,936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12/27/2023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6.32%</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8,977,500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8,933,457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9,033,609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McAfee,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09/30/2024</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6.38%</w:t>
            </w:r>
          </w:p>
        </w:tc>
        <w:tc>
          <w:tcPr>
            <w:tcW w:w="78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7,462,500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7,392,727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7,533,991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09/28/2022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6.84%</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4,054,859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4,032,413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4,037,865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02/10/2023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8.30%</w:t>
            </w:r>
          </w:p>
        </w:tc>
        <w:tc>
          <w:tcPr>
            <w:tcW w:w="780" w:type="dxa"/>
            <w:vAlign w:val="bottom"/>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13,201,883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13,060,451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13,135,874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Snak Club,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07/19/2021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7.16%</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4,781,245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4,781,245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4,757,339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Sonny's Enterprises,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12/01/2022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6.38%</w:t>
            </w:r>
          </w:p>
        </w:tc>
        <w:tc>
          <w:tcPr>
            <w:tcW w:w="780" w:type="dxa"/>
            <w:vAlign w:val="bottom"/>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9,975,000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9,978,117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12/02/2021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5,099,730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5,099,731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5,099,730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UBEO,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04/03/2024</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6.39%</w:t>
            </w:r>
          </w:p>
        </w:tc>
        <w:tc>
          <w:tcPr>
            <w:tcW w:w="78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03/01/2023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8.31%</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4,810,455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4,788,618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Whitney, Bradley &amp; Brown, Inc.</w:t>
            </w:r>
          </w:p>
        </w:tc>
        <w:tc>
          <w:tcPr>
            <w:tcW w:w="960" w:type="dxa"/>
            <w:vAlign w:val="bottom"/>
            <w:tcBorders>
              <w:bottom w:val="single" w:sz="8" w:color="CCECFF"/>
            </w:tcBorders>
          </w:tcPr>
          <w:p>
            <w:pPr>
              <w:ind w:left="360"/>
              <w:spacing w:after="0"/>
              <w:rPr>
                <w:sz w:val="20"/>
                <w:szCs w:val="20"/>
                <w:color w:val="auto"/>
              </w:rPr>
            </w:pPr>
            <w:r>
              <w:rPr>
                <w:rFonts w:ascii="Arial" w:cs="Arial" w:eastAsia="Arial" w:hAnsi="Arial"/>
                <w:sz w:val="12"/>
                <w:szCs w:val="12"/>
                <w:color w:val="auto"/>
                <w:w w:val="96"/>
              </w:rPr>
              <w:t>10/18/2022</w:t>
            </w:r>
          </w:p>
        </w:tc>
        <w:tc>
          <w:tcPr>
            <w:tcW w:w="2820" w:type="dxa"/>
            <w:vAlign w:val="bottom"/>
            <w:tcBorders>
              <w:bottom w:val="single" w:sz="8" w:color="CCECFF"/>
            </w:tcBorders>
            <w:gridSpan w:val="2"/>
          </w:tcPr>
          <w:p>
            <w:pPr>
              <w:ind w:left="60"/>
              <w:spacing w:after="0"/>
              <w:rPr>
                <w:sz w:val="20"/>
                <w:szCs w:val="20"/>
                <w:color w:val="auto"/>
              </w:rPr>
            </w:pPr>
            <w:r>
              <w:rPr>
                <w:rFonts w:ascii="Arial" w:cs="Arial" w:eastAsia="Arial" w:hAnsi="Arial"/>
                <w:sz w:val="12"/>
                <w:szCs w:val="12"/>
                <w:color w:val="auto"/>
              </w:rPr>
              <w:t>Aerospace and Defense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10.89%</w:t>
            </w:r>
          </w:p>
        </w:tc>
        <w:tc>
          <w:tcPr>
            <w:tcW w:w="7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1M L+900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4,975,000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4,882,758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4,925,250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shd w:val="clear" w:color="auto" w:fill="CCECFF"/>
          </w:tcPr>
          <w:p>
            <w:pPr>
              <w:spacing w:after="0"/>
              <w:rPr>
                <w:sz w:val="12"/>
                <w:szCs w:val="12"/>
                <w:color w:val="auto"/>
              </w:rPr>
            </w:pP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219,761,430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221,213,574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27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219,761,430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221,213,574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Equivalents—58.2%</w:t>
            </w:r>
          </w:p>
        </w:tc>
        <w:tc>
          <w:tcPr>
            <w:tcW w:w="960" w:type="dxa"/>
            <w:vAlign w:val="bottom"/>
            <w:shd w:val="clear" w:color="auto" w:fill="CCECFF"/>
          </w:tcPr>
          <w:p>
            <w:pPr>
              <w:spacing w:after="0"/>
              <w:rPr>
                <w:sz w:val="12"/>
                <w:szCs w:val="12"/>
                <w:color w:val="auto"/>
              </w:rPr>
            </w:pP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15,545,814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15,545,814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960" w:type="dxa"/>
            <w:vAlign w:val="bottom"/>
            <w:shd w:val="clear" w:color="auto" w:fill="CCECFF"/>
          </w:tcPr>
          <w:p>
            <w:pPr>
              <w:spacing w:after="0"/>
              <w:rPr>
                <w:sz w:val="12"/>
                <w:szCs w:val="12"/>
                <w:color w:val="auto"/>
              </w:rPr>
            </w:pP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472,756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469,777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60" w:type="dxa"/>
            <w:vAlign w:val="bottom"/>
            <w:tcBorders>
              <w:bottom w:val="single" w:sz="8" w:color="CCECFF"/>
            </w:tcBorders>
          </w:tcPr>
          <w:p>
            <w:pPr>
              <w:spacing w:after="0"/>
              <w:rPr>
                <w:sz w:val="12"/>
                <w:szCs w:val="12"/>
                <w:color w:val="auto"/>
              </w:rPr>
            </w:pPr>
          </w:p>
        </w:tc>
        <w:tc>
          <w:tcPr>
            <w:tcW w:w="27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16,018,570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16,015,591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Equivalents—862.1%</w:t>
            </w:r>
          </w:p>
        </w:tc>
        <w:tc>
          <w:tcPr>
            <w:tcW w:w="960" w:type="dxa"/>
            <w:vAlign w:val="bottom"/>
            <w:tcBorders>
              <w:bottom w:val="single" w:sz="8" w:color="CCECFF"/>
            </w:tcBorders>
            <w:shd w:val="clear" w:color="auto" w:fill="CCECFF"/>
          </w:tcPr>
          <w:p>
            <w:pPr>
              <w:spacing w:after="0"/>
              <w:rPr>
                <w:sz w:val="12"/>
                <w:szCs w:val="12"/>
                <w:color w:val="auto"/>
              </w:rPr>
            </w:pPr>
          </w:p>
        </w:tc>
        <w:tc>
          <w:tcPr>
            <w:tcW w:w="27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235,780,000</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237,229,165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Assets—(762.1)%</w:t>
            </w: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(209,710,489)</w:t>
            </w: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960" w:type="dxa"/>
            <w:vAlign w:val="bottom"/>
            <w:tcBorders>
              <w:bottom w:val="single" w:sz="8" w:color="CCECFF"/>
            </w:tcBorders>
            <w:shd w:val="clear" w:color="auto" w:fill="CCECFF"/>
          </w:tcPr>
          <w:p>
            <w:pPr>
              <w:spacing w:after="0"/>
              <w:rPr>
                <w:sz w:val="12"/>
                <w:szCs w:val="12"/>
                <w:color w:val="auto"/>
              </w:rPr>
            </w:pPr>
          </w:p>
        </w:tc>
        <w:tc>
          <w:tcPr>
            <w:tcW w:w="27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27,518,676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6" w:lineRule="exact"/>
        <w:rPr>
          <w:sz w:val="20"/>
          <w:szCs w:val="20"/>
          <w:color w:val="auto"/>
        </w:rPr>
      </w:pPr>
    </w:p>
    <w:p>
      <w:pPr>
        <w:ind w:left="380" w:right="2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6" w:name="page37"/>
    <w:bookmarkEnd w:id="36"/>
    <w:p>
      <w:pPr>
        <w:ind w:left="380"/>
        <w:spacing w:after="0"/>
        <w:rPr>
          <w:sz w:val="20"/>
          <w:szCs w:val="20"/>
          <w:color w:val="auto"/>
        </w:rPr>
      </w:pPr>
      <w:r>
        <w:rPr>
          <w:rFonts w:ascii="Arial" w:cs="Arial" w:eastAsia="Arial" w:hAnsi="Arial"/>
          <w:sz w:val="14"/>
          <w:szCs w:val="14"/>
          <w:color w:val="auto"/>
        </w:rPr>
        <w:t>Below is a listing of PSSL’s individual investments as of September 30, 2017:</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ind w:left="360"/>
              <w:spacing w:after="0"/>
              <w:rPr>
                <w:sz w:val="20"/>
                <w:szCs w:val="20"/>
                <w:color w:val="auto"/>
              </w:rPr>
            </w:pPr>
            <w:r>
              <w:rPr>
                <w:rFonts w:ascii="Arial" w:cs="Arial" w:eastAsia="Arial" w:hAnsi="Arial"/>
                <w:sz w:val="12"/>
                <w:szCs w:val="12"/>
                <w:b w:val="1"/>
                <w:bCs w:val="1"/>
                <w:color w:val="auto"/>
              </w:rPr>
              <w:t>Maturity</w:t>
            </w:r>
          </w:p>
        </w:tc>
        <w:tc>
          <w:tcPr>
            <w:tcW w:w="2760" w:type="dxa"/>
            <w:vAlign w:val="bottom"/>
            <w:gridSpan w:val="2"/>
          </w:tcPr>
          <w:p>
            <w:pPr>
              <w:ind w:left="1100"/>
              <w:spacing w:after="0"/>
              <w:rPr>
                <w:sz w:val="20"/>
                <w:szCs w:val="20"/>
                <w:color w:val="auto"/>
              </w:rPr>
            </w:pPr>
            <w:r>
              <w:rPr>
                <w:rFonts w:ascii="Arial" w:cs="Arial" w:eastAsia="Arial" w:hAnsi="Arial"/>
                <w:sz w:val="12"/>
                <w:szCs w:val="12"/>
                <w:b w:val="1"/>
                <w:bCs w:val="1"/>
                <w:color w:val="auto"/>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89"/>
              </w:rPr>
              <w:t>Investments in Non-Controlled, Non-Affiliated Portfolio Companies—651.7%</w:t>
            </w: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Debt—674.2%</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04/04/2022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5,664,954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5,597,299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5,636,629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Anvil International, LLC</w:t>
            </w:r>
          </w:p>
        </w:tc>
        <w:tc>
          <w:tcPr>
            <w:tcW w:w="1040" w:type="dxa"/>
            <w:vAlign w:val="bottom"/>
          </w:tcPr>
          <w:p>
            <w:pPr>
              <w:ind w:left="360"/>
              <w:spacing w:after="0"/>
              <w:rPr>
                <w:sz w:val="20"/>
                <w:szCs w:val="20"/>
                <w:color w:val="auto"/>
              </w:rPr>
            </w:pPr>
            <w:r>
              <w:rPr>
                <w:rFonts w:ascii="Arial" w:cs="Arial" w:eastAsia="Arial" w:hAnsi="Arial"/>
                <w:sz w:val="12"/>
                <w:szCs w:val="12"/>
                <w:color w:val="auto"/>
              </w:rPr>
              <w:t>08/01/2024</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L+450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04/22/2022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L+650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4,955,919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4,908,646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4,906,360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05/16/2022</w:t>
            </w:r>
          </w:p>
        </w:tc>
        <w:tc>
          <w:tcPr>
            <w:tcW w:w="2760" w:type="dxa"/>
            <w:vAlign w:val="bottom"/>
            <w:gridSpan w:val="2"/>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8.57%</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L+725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5,961,702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5,819,267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5,961,702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0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11/29/2023</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03/31/2023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4,875,132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4,807,559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10/31/2024</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040" w:type="dxa"/>
            <w:vAlign w:val="bottom"/>
          </w:tcPr>
          <w:p>
            <w:pPr>
              <w:ind w:left="360"/>
              <w:spacing w:after="0"/>
              <w:rPr>
                <w:sz w:val="20"/>
                <w:szCs w:val="20"/>
                <w:color w:val="auto"/>
              </w:rPr>
            </w:pPr>
            <w:r>
              <w:rPr>
                <w:rFonts w:ascii="Arial" w:cs="Arial" w:eastAsia="Arial" w:hAnsi="Arial"/>
                <w:sz w:val="12"/>
                <w:szCs w:val="12"/>
                <w:color w:val="auto"/>
              </w:rPr>
              <w:t>12/09/2020</w:t>
            </w:r>
          </w:p>
        </w:tc>
        <w:tc>
          <w:tcPr>
            <w:tcW w:w="2760" w:type="dxa"/>
            <w:vAlign w:val="bottom"/>
            <w:gridSpan w:val="2"/>
          </w:tcPr>
          <w:p>
            <w:pPr>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5.55%</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4,732,725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09/30/2022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6.06%</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4,951,225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040" w:type="dxa"/>
            <w:vAlign w:val="bottom"/>
          </w:tcPr>
          <w:p>
            <w:pPr>
              <w:ind w:left="360"/>
              <w:spacing w:after="0"/>
              <w:rPr>
                <w:sz w:val="20"/>
                <w:szCs w:val="20"/>
                <w:color w:val="auto"/>
              </w:rPr>
            </w:pPr>
            <w:r>
              <w:rPr>
                <w:rFonts w:ascii="Arial" w:cs="Arial" w:eastAsia="Arial" w:hAnsi="Arial"/>
                <w:sz w:val="12"/>
                <w:szCs w:val="12"/>
                <w:color w:val="auto"/>
              </w:rPr>
              <w:t>10/12/2021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E+800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4,937,107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5,742,092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5,836,653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12/30/2021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8.30%</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L+700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4,984,962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4,970,404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4,984,963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05/01/2023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7,453,125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7,521,186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7,468,628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09/28/2022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4,075,442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4,050,930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4,058,871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040" w:type="dxa"/>
            <w:vAlign w:val="bottom"/>
          </w:tcPr>
          <w:p>
            <w:pPr>
              <w:ind w:left="360"/>
              <w:spacing w:after="0"/>
              <w:rPr>
                <w:sz w:val="20"/>
                <w:szCs w:val="20"/>
                <w:color w:val="auto"/>
              </w:rPr>
            </w:pPr>
            <w:r>
              <w:rPr>
                <w:rFonts w:ascii="Arial" w:cs="Arial" w:eastAsia="Arial" w:hAnsi="Arial"/>
                <w:sz w:val="12"/>
                <w:szCs w:val="12"/>
                <w:color w:val="auto"/>
              </w:rPr>
              <w:t>02/10/2023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7.33%</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4,810,511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03/03/2022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10.52%</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L+918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5,885,356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040" w:type="dxa"/>
            <w:vAlign w:val="bottom"/>
          </w:tcPr>
          <w:p>
            <w:pPr>
              <w:ind w:left="360"/>
              <w:spacing w:after="0"/>
              <w:rPr>
                <w:sz w:val="20"/>
                <w:szCs w:val="20"/>
                <w:color w:val="auto"/>
              </w:rPr>
            </w:pPr>
            <w:r>
              <w:rPr>
                <w:rFonts w:ascii="Arial" w:cs="Arial" w:eastAsia="Arial" w:hAnsi="Arial"/>
                <w:sz w:val="12"/>
                <w:szCs w:val="12"/>
                <w:color w:val="auto"/>
              </w:rPr>
              <w:t>07/19/2021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4,843,745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12/02/2021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L+525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5,530,997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VIP Cinema Holdings, Inc.</w:t>
            </w:r>
          </w:p>
        </w:tc>
        <w:tc>
          <w:tcPr>
            <w:tcW w:w="1040" w:type="dxa"/>
            <w:vAlign w:val="bottom"/>
            <w:tcBorders>
              <w:bottom w:val="single" w:sz="8" w:color="CCECFF"/>
            </w:tcBorders>
          </w:tcPr>
          <w:p>
            <w:pPr>
              <w:ind w:left="360"/>
              <w:spacing w:after="0"/>
              <w:rPr>
                <w:sz w:val="20"/>
                <w:szCs w:val="20"/>
                <w:color w:val="auto"/>
              </w:rPr>
            </w:pPr>
            <w:r>
              <w:rPr>
                <w:rFonts w:ascii="Arial" w:cs="Arial" w:eastAsia="Arial" w:hAnsi="Arial"/>
                <w:sz w:val="12"/>
                <w:szCs w:val="12"/>
                <w:color w:val="auto"/>
              </w:rPr>
              <w:t>03/01/2023</w:t>
            </w:r>
          </w:p>
        </w:tc>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7.34%</w:t>
            </w:r>
          </w:p>
        </w:tc>
        <w:tc>
          <w:tcPr>
            <w:tcW w:w="1000" w:type="dxa"/>
            <w:vAlign w:val="bottom"/>
            <w:tcBorders>
              <w:bottom w:val="single" w:sz="8" w:color="CCECFF"/>
            </w:tcBorders>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4,942,263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4,905,469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Equivalents—15.5%</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144,739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Equivalents—667.2%</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101,916,072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102,365,577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15,343,021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688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76" w:lineRule="exact"/>
        <w:rPr>
          <w:sz w:val="20"/>
          <w:szCs w:val="20"/>
          <w:color w:val="auto"/>
        </w:rPr>
      </w:pPr>
    </w:p>
    <w:p>
      <w:pPr>
        <w:ind w:left="380" w:right="280" w:hanging="372"/>
        <w:spacing w:after="0" w:line="252" w:lineRule="auto"/>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Below is the financial information for PSSL:</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Statements of Assets and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September 30, 2017</w:t>
            </w:r>
          </w:p>
        </w:tc>
      </w:tr>
      <w:tr>
        <w:trPr>
          <w:trHeight w:val="171"/>
        </w:trPr>
        <w:tc>
          <w:tcPr>
            <w:tcW w:w="200" w:type="dxa"/>
            <w:vAlign w:val="bottom"/>
            <w:tcBorders>
              <w:bottom w:val="single" w:sz="8" w:color="CCECFF"/>
            </w:tcBorders>
          </w:tcPr>
          <w:p>
            <w:pPr>
              <w:spacing w:after="0"/>
              <w:rPr>
                <w:sz w:val="14"/>
                <w:szCs w:val="14"/>
                <w:color w:val="auto"/>
              </w:rPr>
            </w:pPr>
          </w:p>
        </w:tc>
        <w:tc>
          <w:tcPr>
            <w:tcW w:w="1920" w:type="dxa"/>
            <w:vAlign w:val="bottom"/>
            <w:tcBorders>
              <w:bottom w:val="single" w:sz="8" w:color="CCECFF"/>
            </w:tcBorders>
          </w:tcPr>
          <w:p>
            <w:pPr>
              <w:spacing w:after="0"/>
              <w:rPr>
                <w:sz w:val="14"/>
                <w:szCs w:val="14"/>
                <w:color w:val="auto"/>
              </w:rPr>
            </w:pPr>
          </w:p>
        </w:tc>
        <w:tc>
          <w:tcPr>
            <w:tcW w:w="550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r>
      <w:tr>
        <w:trPr>
          <w:trHeight w:val="156"/>
        </w:trPr>
        <w:tc>
          <w:tcPr>
            <w:tcW w:w="76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4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 (cost—$219,761,430 and $99,544,903, respectively)</w:t>
            </w:r>
          </w:p>
        </w:tc>
        <w:tc>
          <w:tcPr>
            <w:tcW w:w="26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221,213,574</w:t>
            </w:r>
          </w:p>
        </w:tc>
        <w:tc>
          <w:tcPr>
            <w:tcW w:w="4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99,994,314</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Cash and cash equivalents (cost—$16,018,750 and $2,371,169, respectively)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16,015,591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2,371,263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850,178</w:t>
            </w: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332,980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1,779,945</w:t>
            </w:r>
          </w:p>
        </w:tc>
        <w:tc>
          <w:tcPr>
            <w:tcW w:w="24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1,131,029</w:t>
            </w: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4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239,859,288</w:t>
            </w:r>
          </w:p>
        </w:tc>
        <w:tc>
          <w:tcPr>
            <w:tcW w:w="2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103,829,586</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7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6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12,375,000</w:t>
            </w: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27,095,850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PSSL Credit Facility payable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138,580,413</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26,783,885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Notes payable</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60,800,000</w:t>
            </w: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34,400,000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Interest payable on PSSL Credit Facility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465,810</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97,531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notes</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29,751</w:t>
            </w: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12,107</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10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89,638</w:t>
            </w:r>
          </w:p>
        </w:tc>
        <w:tc>
          <w:tcPr>
            <w:tcW w:w="24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97,192</w:t>
            </w: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r>
      <w:tr>
        <w:trPr>
          <w:trHeight w:val="156"/>
        </w:trPr>
        <w:tc>
          <w:tcPr>
            <w:tcW w:w="200" w:type="dxa"/>
            <w:vAlign w:val="bottom"/>
            <w:shd w:val="clear" w:color="auto" w:fill="CCECFF"/>
          </w:tcPr>
          <w:p>
            <w:pPr>
              <w:spacing w:after="0"/>
              <w:rPr>
                <w:sz w:val="13"/>
                <w:szCs w:val="13"/>
                <w:color w:val="auto"/>
              </w:rPr>
            </w:pPr>
          </w:p>
        </w:tc>
        <w:tc>
          <w:tcPr>
            <w:tcW w:w="74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212,340,612</w:t>
            </w:r>
          </w:p>
        </w:tc>
        <w:tc>
          <w:tcPr>
            <w:tcW w:w="2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88,486,565</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5"/>
        </w:trPr>
        <w:tc>
          <w:tcPr>
            <w:tcW w:w="762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4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r>
      <w:tr>
        <w:trPr>
          <w:trHeight w:val="156"/>
        </w:trPr>
        <w:tc>
          <w:tcPr>
            <w:tcW w:w="200" w:type="dxa"/>
            <w:vAlign w:val="bottom"/>
            <w:shd w:val="clear" w:color="auto" w:fill="CCECFF"/>
          </w:tcPr>
          <w:p>
            <w:pPr>
              <w:spacing w:after="0"/>
              <w:rPr>
                <w:sz w:val="13"/>
                <w:szCs w:val="13"/>
                <w:color w:val="auto"/>
              </w:rPr>
            </w:pPr>
          </w:p>
        </w:tc>
        <w:tc>
          <w:tcPr>
            <w:tcW w:w="74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Members' equity</w:t>
            </w:r>
          </w:p>
        </w:tc>
        <w:tc>
          <w:tcPr>
            <w:tcW w:w="10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27,518,676</w:t>
            </w:r>
          </w:p>
        </w:tc>
        <w:tc>
          <w:tcPr>
            <w:tcW w:w="2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15,343,021</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5"/>
        </w:trPr>
        <w:tc>
          <w:tcPr>
            <w:tcW w:w="200" w:type="dxa"/>
            <w:vAlign w:val="bottom"/>
          </w:tcPr>
          <w:p>
            <w:pPr>
              <w:spacing w:after="0"/>
              <w:rPr>
                <w:sz w:val="13"/>
                <w:szCs w:val="13"/>
                <w:color w:val="auto"/>
              </w:rPr>
            </w:pPr>
          </w:p>
        </w:tc>
        <w:tc>
          <w:tcPr>
            <w:tcW w:w="7420" w:type="dxa"/>
            <w:vAlign w:val="bottom"/>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239,859,288</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103,829,586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6"/>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7420" w:type="dxa"/>
            <w:vAlign w:val="bottom"/>
            <w:gridSpan w:val="2"/>
          </w:tcPr>
          <w:p>
            <w:pPr>
              <w:ind w:left="180"/>
              <w:spacing w:after="0"/>
              <w:rPr>
                <w:sz w:val="20"/>
                <w:szCs w:val="20"/>
                <w:color w:val="auto"/>
              </w:rPr>
            </w:pPr>
            <w:r>
              <w:rPr>
                <w:rFonts w:ascii="Arial" w:cs="Arial" w:eastAsia="Arial" w:hAnsi="Arial"/>
                <w:sz w:val="14"/>
                <w:szCs w:val="14"/>
                <w:color w:val="auto"/>
              </w:rPr>
              <w:t>PSSL had no unfunded commitments as of March 31, 2018 and September 30, 2017.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00" w:type="dxa"/>
            <w:vAlign w:val="bottom"/>
          </w:tcPr>
          <w:p>
            <w:pPr>
              <w:jc w:val="center"/>
              <w:ind w:left="130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500" w:type="dxa"/>
            <w:vAlign w:val="bottom"/>
          </w:tcPr>
          <w:p>
            <w:pPr>
              <w:jc w:val="center"/>
              <w:ind w:left="1308"/>
              <w:spacing w:after="0"/>
              <w:rPr>
                <w:sz w:val="20"/>
                <w:szCs w:val="20"/>
                <w:color w:val="auto"/>
              </w:rPr>
            </w:pPr>
            <w:r>
              <w:rPr>
                <w:rFonts w:ascii="Arial" w:cs="Arial" w:eastAsia="Arial" w:hAnsi="Arial"/>
                <w:sz w:val="14"/>
                <w:szCs w:val="14"/>
                <w:b w:val="1"/>
                <w:bCs w:val="1"/>
                <w:color w:val="auto"/>
                <w:w w:val="91"/>
              </w:rPr>
              <w:t>Statements of Operations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500" w:type="dxa"/>
            <w:vAlign w:val="bottom"/>
          </w:tcPr>
          <w:p>
            <w:pPr>
              <w:jc w:val="center"/>
              <w:ind w:left="1328"/>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1"/>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24"/>
                <w:szCs w:val="24"/>
                <w:color w:val="auto"/>
              </w:rPr>
            </w:pPr>
          </w:p>
        </w:tc>
        <w:tc>
          <w:tcPr>
            <w:tcW w:w="17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3"/>
              </w:rPr>
              <w:t>Six Months Ended March</w:t>
            </w:r>
          </w:p>
        </w:tc>
      </w:tr>
      <w:tr>
        <w:trPr>
          <w:trHeight w:val="171"/>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Arial" w:cs="Arial" w:eastAsia="Arial" w:hAnsi="Arial"/>
                <w:sz w:val="14"/>
                <w:szCs w:val="14"/>
                <w:b w:val="1"/>
                <w:bCs w:val="1"/>
                <w:color w:val="auto"/>
              </w:rPr>
              <w:t>31, 2018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2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From non-controlled, non-affiliated 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4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3,123,487</w:t>
            </w:r>
          </w:p>
        </w:tc>
        <w:tc>
          <w:tcPr>
            <w:tcW w:w="60" w:type="dxa"/>
            <w:vAlign w:val="bottom"/>
            <w:shd w:val="clear" w:color="auto" w:fill="CCECFF"/>
          </w:tcPr>
          <w:p>
            <w:pPr>
              <w:spacing w:after="0"/>
              <w:rPr>
                <w:sz w:val="14"/>
                <w:szCs w:val="14"/>
                <w:color w:val="auto"/>
              </w:rPr>
            </w:pPr>
          </w:p>
        </w:tc>
        <w:tc>
          <w:tcPr>
            <w:tcW w:w="400" w:type="dxa"/>
            <w:vAlign w:val="bottom"/>
            <w:gridSpan w:val="3"/>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5,097,142</w:t>
            </w:r>
          </w:p>
        </w:tc>
        <w:tc>
          <w:tcPr>
            <w:tcW w:w="100" w:type="dxa"/>
            <w:vAlign w:val="bottom"/>
            <w:shd w:val="clear" w:color="auto" w:fill="CCECFF"/>
          </w:tcPr>
          <w:p>
            <w:pPr>
              <w:spacing w:after="0"/>
              <w:rPr>
                <w:sz w:val="14"/>
                <w:szCs w:val="14"/>
                <w:color w:val="auto"/>
              </w:rPr>
            </w:pPr>
          </w:p>
        </w:tc>
      </w:tr>
      <w:tr>
        <w:trPr>
          <w:trHeight w:val="162"/>
        </w:trPr>
        <w:tc>
          <w:tcPr>
            <w:tcW w:w="200" w:type="dxa"/>
            <w:vAlign w:val="bottom"/>
            <w:tcBorders>
              <w:bottom w:val="single" w:sz="8" w:color="CCECFF"/>
            </w:tcBorders>
          </w:tcPr>
          <w:p>
            <w:pPr>
              <w:spacing w:after="0"/>
              <w:rPr>
                <w:sz w:val="14"/>
                <w:szCs w:val="14"/>
                <w:color w:val="auto"/>
              </w:rPr>
            </w:pPr>
          </w:p>
        </w:tc>
        <w:tc>
          <w:tcPr>
            <w:tcW w:w="7420" w:type="dxa"/>
            <w:vAlign w:val="bottom"/>
            <w:tcBorders>
              <w:bottom w:val="single" w:sz="8" w:color="CCECFF"/>
            </w:tcBorders>
            <w:gridSpan w:val="2"/>
          </w:tcPr>
          <w:p>
            <w:pPr>
              <w:ind w:left="6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12,219</w:t>
            </w:r>
          </w:p>
        </w:tc>
        <w:tc>
          <w:tcPr>
            <w:tcW w:w="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12,219</w:t>
            </w:r>
          </w:p>
        </w:tc>
        <w:tc>
          <w:tcPr>
            <w:tcW w:w="100" w:type="dxa"/>
            <w:vAlign w:val="bottom"/>
            <w:tcBorders>
              <w:bottom w:val="single" w:sz="8" w:color="CCECFF"/>
            </w:tcBorders>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42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00" w:type="dxa"/>
            <w:vAlign w:val="bottom"/>
            <w:tcBorders>
              <w:bottom w:val="single" w:sz="8" w:color="auto"/>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3,135,706</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5,109,361</w:t>
            </w:r>
          </w:p>
        </w:tc>
        <w:tc>
          <w:tcPr>
            <w:tcW w:w="100" w:type="dxa"/>
            <w:vAlign w:val="bottom"/>
            <w:shd w:val="clear" w:color="auto" w:fill="CCECFF"/>
          </w:tcPr>
          <w:p>
            <w:pPr>
              <w:spacing w:after="0"/>
              <w:rPr>
                <w:sz w:val="13"/>
                <w:szCs w:val="13"/>
                <w:color w:val="auto"/>
              </w:rPr>
            </w:pPr>
          </w:p>
        </w:tc>
      </w:tr>
      <w:tr>
        <w:trPr>
          <w:trHeight w:val="155"/>
        </w:trPr>
        <w:tc>
          <w:tcPr>
            <w:tcW w:w="7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00" w:type="dxa"/>
            <w:vAlign w:val="bottom"/>
            <w:shd w:val="clear" w:color="auto" w:fill="CCECFF"/>
          </w:tcPr>
          <w:p>
            <w:pPr>
              <w:spacing w:after="0"/>
              <w:rPr>
                <w:sz w:val="14"/>
                <w:szCs w:val="14"/>
                <w:color w:val="auto"/>
              </w:rPr>
            </w:pPr>
          </w:p>
        </w:tc>
        <w:tc>
          <w:tcPr>
            <w:tcW w:w="74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 and expenses on PSSL Credit Facility</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1,306,299</w:t>
            </w:r>
          </w:p>
        </w:tc>
        <w:tc>
          <w:tcPr>
            <w:tcW w:w="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1,957,836</w:t>
            </w:r>
          </w:p>
        </w:tc>
        <w:tc>
          <w:tcPr>
            <w:tcW w:w="100" w:type="dxa"/>
            <w:vAlign w:val="bottom"/>
            <w:shd w:val="clear" w:color="auto" w:fill="CCECFF"/>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420" w:type="dxa"/>
            <w:vAlign w:val="bottom"/>
            <w:gridSpan w:val="2"/>
          </w:tcPr>
          <w:p>
            <w:pPr>
              <w:ind w:left="60"/>
              <w:spacing w:after="0"/>
              <w:rPr>
                <w:sz w:val="20"/>
                <w:szCs w:val="20"/>
                <w:color w:val="auto"/>
              </w:rPr>
            </w:pPr>
            <w:r>
              <w:rPr>
                <w:rFonts w:ascii="Arial" w:cs="Arial" w:eastAsia="Arial" w:hAnsi="Arial"/>
                <w:sz w:val="14"/>
                <w:szCs w:val="14"/>
                <w:color w:val="auto"/>
              </w:rPr>
              <w:t>Interest expense on notes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1,026,403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1,638,700</w:t>
            </w:r>
          </w:p>
        </w:tc>
        <w:tc>
          <w:tcPr>
            <w:tcW w:w="10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4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Administrative services expenses</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75,000</w:t>
            </w:r>
          </w:p>
        </w:tc>
        <w:tc>
          <w:tcPr>
            <w:tcW w:w="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CFF"/>
          </w:tcPr>
          <w:p>
            <w:pPr>
              <w:spacing w:after="0"/>
              <w:rPr>
                <w:sz w:val="14"/>
                <w:szCs w:val="14"/>
                <w:color w:val="auto"/>
              </w:rPr>
            </w:pPr>
          </w:p>
        </w:tc>
      </w:tr>
      <w:tr>
        <w:trPr>
          <w:trHeight w:val="162"/>
        </w:trPr>
        <w:tc>
          <w:tcPr>
            <w:tcW w:w="200" w:type="dxa"/>
            <w:vAlign w:val="bottom"/>
            <w:tcBorders>
              <w:bottom w:val="single" w:sz="8" w:color="CCECFF"/>
            </w:tcBorders>
          </w:tcPr>
          <w:p>
            <w:pPr>
              <w:spacing w:after="0"/>
              <w:rPr>
                <w:sz w:val="14"/>
                <w:szCs w:val="14"/>
                <w:color w:val="auto"/>
              </w:rPr>
            </w:pPr>
          </w:p>
        </w:tc>
        <w:tc>
          <w:tcPr>
            <w:tcW w:w="7420" w:type="dxa"/>
            <w:vAlign w:val="bottom"/>
            <w:tcBorders>
              <w:bottom w:val="single" w:sz="8" w:color="CCECFF"/>
            </w:tcBorders>
            <w:gridSpan w:val="2"/>
          </w:tcPr>
          <w:p>
            <w:pPr>
              <w:ind w:left="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465,436</w:t>
            </w:r>
          </w:p>
        </w:tc>
        <w:tc>
          <w:tcPr>
            <w:tcW w:w="100" w:type="dxa"/>
            <w:vAlign w:val="bottom"/>
            <w:tcBorders>
              <w:bottom w:val="single" w:sz="8" w:color="CCECFF"/>
            </w:tcBorders>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42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2,521,352</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4,211,972</w:t>
            </w:r>
          </w:p>
        </w:tc>
        <w:tc>
          <w:tcPr>
            <w:tcW w:w="100" w:type="dxa"/>
            <w:vAlign w:val="bottom"/>
            <w:shd w:val="clear" w:color="auto" w:fill="CCECFF"/>
          </w:tcPr>
          <w:p>
            <w:pPr>
              <w:spacing w:after="0"/>
              <w:rPr>
                <w:sz w:val="13"/>
                <w:szCs w:val="13"/>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42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614,354</w:t>
            </w:r>
          </w:p>
        </w:tc>
        <w:tc>
          <w:tcPr>
            <w:tcW w:w="6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897,389</w:t>
            </w:r>
          </w:p>
        </w:tc>
        <w:tc>
          <w:tcPr>
            <w:tcW w:w="100" w:type="dxa"/>
            <w:vAlign w:val="bottom"/>
            <w:tcBorders>
              <w:bottom w:val="single" w:sz="8" w:color="CCECFF"/>
            </w:tcBorders>
          </w:tcPr>
          <w:p>
            <w:pPr>
              <w:spacing w:after="0"/>
              <w:rPr>
                <w:sz w:val="13"/>
                <w:szCs w:val="13"/>
                <w:color w:val="auto"/>
              </w:rPr>
            </w:pPr>
          </w:p>
        </w:tc>
      </w:tr>
      <w:tr>
        <w:trPr>
          <w:trHeight w:val="155"/>
        </w:trPr>
        <w:tc>
          <w:tcPr>
            <w:tcW w:w="76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 and credit facility foreign currency translations</w:t>
            </w: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7620" w:type="dxa"/>
            <w:vAlign w:val="bottom"/>
            <w:gridSpan w:val="3"/>
          </w:tcPr>
          <w:p>
            <w:pPr>
              <w:spacing w:after="0"/>
              <w:rPr>
                <w:sz w:val="20"/>
                <w:szCs w:val="20"/>
                <w:color w:val="auto"/>
              </w:rPr>
            </w:pPr>
            <w:r>
              <w:rPr>
                <w:rFonts w:ascii="Arial" w:cs="Arial" w:eastAsia="Arial" w:hAnsi="Arial"/>
                <w:sz w:val="14"/>
                <w:szCs w:val="14"/>
                <w:color w:val="auto"/>
              </w:rPr>
              <w:t>Net realized gain on 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65,122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15,946</w:t>
            </w:r>
          </w:p>
        </w:tc>
        <w:tc>
          <w:tcPr>
            <w:tcW w:w="100" w:type="dxa"/>
            <w:vAlign w:val="bottom"/>
          </w:tcPr>
          <w:p>
            <w:pPr>
              <w:spacing w:after="0"/>
              <w:rPr>
                <w:sz w:val="14"/>
                <w:szCs w:val="14"/>
                <w:color w:val="auto"/>
              </w:rPr>
            </w:pPr>
          </w:p>
        </w:tc>
      </w:tr>
      <w:tr>
        <w:trPr>
          <w:trHeight w:val="162"/>
        </w:trPr>
        <w:tc>
          <w:tcPr>
            <w:tcW w:w="76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change in unrealized appreciation on:</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420" w:type="dxa"/>
            <w:vAlign w:val="bottom"/>
            <w:gridSpan w:val="2"/>
          </w:tcPr>
          <w:p>
            <w:pPr>
              <w:ind w:left="60"/>
              <w:spacing w:after="0"/>
              <w:rPr>
                <w:sz w:val="20"/>
                <w:szCs w:val="20"/>
                <w:color w:val="auto"/>
              </w:rPr>
            </w:pPr>
            <w:r>
              <w:rPr>
                <w:rFonts w:ascii="Arial" w:cs="Arial" w:eastAsia="Arial" w:hAnsi="Arial"/>
                <w:sz w:val="14"/>
                <w:szCs w:val="14"/>
                <w:color w:val="auto"/>
              </w:rPr>
              <w:t>Non-controlled, non-affiliated 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545,340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999,702</w:t>
            </w:r>
          </w:p>
        </w:tc>
        <w:tc>
          <w:tcPr>
            <w:tcW w:w="10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4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Credit facility foreign currency translations</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72,620</w:t>
            </w:r>
          </w:p>
        </w:tc>
        <w:tc>
          <w:tcPr>
            <w:tcW w:w="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(251,668)</w:t>
            </w:r>
          </w:p>
        </w:tc>
      </w:tr>
      <w:tr>
        <w:trPr>
          <w:trHeight w:val="155"/>
        </w:trPr>
        <w:tc>
          <w:tcPr>
            <w:tcW w:w="200" w:type="dxa"/>
            <w:vAlign w:val="bottom"/>
            <w:tcBorders>
              <w:bottom w:val="single" w:sz="8" w:color="CCECFF"/>
            </w:tcBorders>
          </w:tcPr>
          <w:p>
            <w:pPr>
              <w:spacing w:after="0"/>
              <w:rPr>
                <w:sz w:val="13"/>
                <w:szCs w:val="13"/>
                <w:color w:val="auto"/>
              </w:rPr>
            </w:pPr>
          </w:p>
        </w:tc>
        <w:tc>
          <w:tcPr>
            <w:tcW w:w="742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Net change in unrealized appreciation on investments and credit facility foreign currency translations</w:t>
            </w: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617,960</w:t>
            </w:r>
          </w:p>
        </w:tc>
        <w:tc>
          <w:tcPr>
            <w:tcW w:w="6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748,034</w:t>
            </w:r>
          </w:p>
        </w:tc>
        <w:tc>
          <w:tcPr>
            <w:tcW w:w="100" w:type="dxa"/>
            <w:vAlign w:val="bottom"/>
            <w:tcBorders>
              <w:bottom w:val="single" w:sz="8" w:color="CCECFF"/>
            </w:tcBorders>
          </w:tcPr>
          <w:p>
            <w:pPr>
              <w:spacing w:after="0"/>
              <w:rPr>
                <w:sz w:val="13"/>
                <w:szCs w:val="13"/>
                <w:color w:val="auto"/>
              </w:rPr>
            </w:pPr>
          </w:p>
        </w:tc>
      </w:tr>
      <w:tr>
        <w:trPr>
          <w:trHeight w:val="155"/>
        </w:trPr>
        <w:tc>
          <w:tcPr>
            <w:tcW w:w="76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credit facility foreign currency translations</w:t>
            </w:r>
          </w:p>
        </w:tc>
        <w:tc>
          <w:tcPr>
            <w:tcW w:w="100" w:type="dxa"/>
            <w:vAlign w:val="bottom"/>
            <w:tcBorders>
              <w:bottom w:val="single" w:sz="8" w:color="auto"/>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683,082</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763,980</w:t>
            </w:r>
          </w:p>
        </w:tc>
        <w:tc>
          <w:tcPr>
            <w:tcW w:w="100" w:type="dxa"/>
            <w:vAlign w:val="bottom"/>
            <w:shd w:val="clear" w:color="auto" w:fill="CCECFF"/>
          </w:tcPr>
          <w:p>
            <w:pPr>
              <w:spacing w:after="0"/>
              <w:rPr>
                <w:sz w:val="13"/>
                <w:szCs w:val="13"/>
                <w:color w:val="auto"/>
              </w:rPr>
            </w:pPr>
          </w:p>
        </w:tc>
      </w:tr>
      <w:tr>
        <w:trPr>
          <w:trHeight w:val="155"/>
        </w:trPr>
        <w:tc>
          <w:tcPr>
            <w:tcW w:w="7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1,297,436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1,661,369</w:t>
            </w:r>
          </w:p>
        </w:tc>
        <w:tc>
          <w:tcPr>
            <w:tcW w:w="10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on the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March 31, 2018, including borrowings under our Credit Facility, 2023 Notes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191.5</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191.5</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131.9</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323.4</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191.5</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131.9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15.9</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48.2</w:t>
            </w:r>
          </w:p>
        </w:tc>
        <w:tc>
          <w:tcPr>
            <w:tcW w:w="240" w:type="dxa"/>
            <w:vAlign w:val="bottom"/>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0.3</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w:t>
            </w:r>
          </w:p>
        </w:tc>
        <w:tc>
          <w:tcPr>
            <w:tcW w:w="24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37.2</w:t>
            </w:r>
          </w:p>
        </w:tc>
        <w:tc>
          <w:tcPr>
            <w:tcW w:w="24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387.5</w:t>
            </w:r>
          </w:p>
        </w:tc>
        <w:tc>
          <w:tcPr>
            <w:tcW w:w="240" w:type="dxa"/>
            <w:vAlign w:val="bottom"/>
          </w:tcPr>
          <w:p>
            <w:pPr>
              <w:spacing w:after="0"/>
              <w:rPr>
                <w:sz w:val="13"/>
                <w:szCs w:val="13"/>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228.7</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w:t>
            </w: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right="180" w:hanging="372"/>
        <w:spacing w:after="0" w:line="221"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March 31, 2018, excluding amendment costs and debt issuance costs, was 3.79% exclusive of the fee on the undrawn commitment on the Credit Facility.</w:t>
      </w: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2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2018,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2018,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In May 2018 we doubled the financial capacity of PSSL. We and Kemper each increased our respective debt and equity investments in PSSL while continuing to own 87.5% and 12.5%, respectively, of each of the outstanding first lien secured debt and equity interests. Our commitments to fund first lien secured debt to PSSL were increased by $64.3 million and our commitments to fund equity interests in PSSL were increased by $27.6 million. Additionally, the PSSL Credit Facility was amended to, among other things, allow PSSL Subsidiary to borrow up to $420.0 million at any one time outstanding, subject to leverage and borrowing base restrictions.</w:t>
      </w:r>
    </w:p>
    <w:p>
      <w:pPr>
        <w:spacing w:after="0" w:line="117"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Through April 30, 2018, we have made investments totaling $62.8 million and PSSL has made investments totaling $43.0 million (of which $12.4 million was purchased from the Company).</w:t>
      </w:r>
    </w:p>
    <w:p>
      <w:pPr>
        <w:spacing w:after="0" w:line="10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requirements applicable to us for senior securities will be reduced from 200% to 150%, effective as of April 5, 2019, subject to compliance with certain disclosure requirements. As of March 31, 2018 and September 30, 2017, our asset coverage ratio, as computed in accordance with the 1940 Act, was 268% and 278%,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our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our ability to be subject to tax as a RIC, in order to provide us with additional liquidity.</w:t>
      </w:r>
    </w:p>
    <w:p>
      <w:pPr>
        <w:spacing w:after="0" w:line="117"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During the three and six months ended March 31, 2018, we declared distributions of $0.285 and $0.570 per share, respectively, for total distributions of $11.0 million and $21.5 million, respectively. For the same periods in the prior year, we declared distributions of $0.285 and $0.570 per share, respectively, for total distributions of $8.7 million and $16.3 million, respectively. We monitor available net investment income to determine if a return of capital for taxation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9" w:name="page40"/>
    <w:bookmarkEnd w:id="39"/>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applies to the reinvestment of cash distributions paid on or after December 22, 2017.</w:t>
      </w:r>
    </w:p>
    <w:p>
      <w:pPr>
        <w:spacing w:after="0" w:line="14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firstLine="39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2018, our debt portfolio consisted of 100% variable-rate investments (including 5% where LIBOR was below the floor) and 0%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560" w:firstLine="39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(5,847)</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5,847</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11,948</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18,106</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24,264</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80" w:firstLine="394"/>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200" w:firstLine="39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100" w:firstLine="394"/>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39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80" w:firstLine="39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PART II – OTHER INFORMATION</w:t>
      </w:r>
    </w:p>
    <w:p>
      <w:pPr>
        <w:spacing w:after="0" w:line="12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right="100" w:firstLine="39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0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54" w:lineRule="exact"/>
        <w:rPr>
          <w:sz w:val="20"/>
          <w:szCs w:val="20"/>
          <w:color w:val="auto"/>
        </w:rPr>
      </w:pPr>
    </w:p>
    <w:p>
      <w:pPr>
        <w:ind w:right="20" w:firstLine="394"/>
        <w:spacing w:after="0" w:line="231"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2017 filed on November 30, 2017 and in “Risk Factors” in Post-Effective Amendment No. 3 to the Registration Statement on Form N-2 filed on December 13, 2017, which could materially affect our business, financial condition and/or operating results. The risks described below, as well as in our Annual Report on Form 10-K and Registration Statement on Form N-2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passed legislation may allow us to incur additional leverage.</w:t>
      </w:r>
    </w:p>
    <w:p>
      <w:pPr>
        <w:spacing w:after="0" w:line="136" w:lineRule="exact"/>
        <w:rPr>
          <w:sz w:val="20"/>
          <w:szCs w:val="20"/>
          <w:color w:val="auto"/>
        </w:rPr>
      </w:pPr>
    </w:p>
    <w:p>
      <w:pPr>
        <w:ind w:right="200" w:firstLine="362"/>
        <w:spacing w:after="0" w:line="248"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the 1940 Act, equals at least 200% after such incurrence or issuance. In March 2018, the Small Business Credit Availability Act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Since on April 5, 2018 our Board has approved such reduction, if we comply with the applicable disclosure requirements, we will be able to incur additional indebtedness on April 5, 2019, which may increase the risk of investing in us. In addition, since our base management fee is payable based upon our average adjusted gross assets, which includes any borrowings for investment purposes, our base management fee expenses may increase if we incur additional leverage.</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66" w:lineRule="exact"/>
        <w:rPr>
          <w:sz w:val="20"/>
          <w:szCs w:val="20"/>
          <w:color w:val="auto"/>
        </w:rPr>
      </w:pPr>
    </w:p>
    <w:p>
      <w:pPr>
        <w:ind w:right="180" w:firstLine="365"/>
        <w:spacing w:after="0" w:line="238" w:lineRule="auto"/>
        <w:rPr>
          <w:sz w:val="20"/>
          <w:szCs w:val="20"/>
          <w:color w:val="auto"/>
        </w:rPr>
      </w:pPr>
      <w:r>
        <w:rPr>
          <w:rFonts w:ascii="Arial" w:cs="Arial" w:eastAsia="Arial" w:hAnsi="Arial"/>
          <w:sz w:val="14"/>
          <w:szCs w:val="14"/>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83" w:lineRule="exact"/>
        <w:rPr>
          <w:sz w:val="20"/>
          <w:szCs w:val="20"/>
          <w:color w:val="auto"/>
        </w:rPr>
      </w:pPr>
    </w:p>
    <w:p>
      <w:pPr>
        <w:ind w:right="20" w:firstLine="365"/>
        <w:spacing w:after="0" w:line="231" w:lineRule="auto"/>
        <w:rPr>
          <w:sz w:val="20"/>
          <w:szCs w:val="20"/>
          <w:color w:val="auto"/>
        </w:rPr>
      </w:pPr>
      <w:r>
        <w:rPr>
          <w:rFonts w:ascii="Arial" w:cs="Arial" w:eastAsia="Arial" w:hAnsi="Arial"/>
          <w:sz w:val="14"/>
          <w:szCs w:val="14"/>
          <w:color w:val="auto"/>
        </w:rPr>
        <w:t>As a BDC, we are required to meet a 200% asset coverage ratio through April 4, 2019 and 150% thereafter, subject to certain disclosure requirements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84" w:lineRule="exact"/>
        <w:rPr>
          <w:sz w:val="20"/>
          <w:szCs w:val="20"/>
          <w:color w:val="auto"/>
        </w:rPr>
      </w:pPr>
    </w:p>
    <w:p>
      <w:pPr>
        <w:ind w:right="120" w:firstLine="365"/>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treated as a RIC for federal income tax purposes. We may have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204" w:lineRule="exact"/>
        <w:rPr>
          <w:sz w:val="20"/>
          <w:szCs w:val="20"/>
          <w:color w:val="auto"/>
        </w:rPr>
      </w:pPr>
    </w:p>
    <w:p>
      <w:pPr>
        <w:ind w:right="60" w:firstLine="365"/>
        <w:spacing w:after="0" w:line="244" w:lineRule="auto"/>
        <w:rPr>
          <w:sz w:val="20"/>
          <w:szCs w:val="20"/>
          <w:color w:val="auto"/>
        </w:rPr>
      </w:pPr>
      <w:r>
        <w:rPr>
          <w:rFonts w:ascii="Arial" w:cs="Arial" w:eastAsia="Arial" w:hAnsi="Arial"/>
          <w:sz w:val="13"/>
          <w:szCs w:val="13"/>
          <w:color w:val="auto"/>
        </w:rPr>
        <w:t>We have indebtedness outstanding pursuant to our Credit Facility and the 2023 Notes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1" w:lineRule="exact"/>
        <w:rPr>
          <w:sz w:val="20"/>
          <w:szCs w:val="20"/>
          <w:color w:val="auto"/>
        </w:rPr>
      </w:pPr>
    </w:p>
    <w:p>
      <w:pPr>
        <w:ind w:firstLine="365"/>
        <w:spacing w:after="0" w:line="226" w:lineRule="auto"/>
        <w:rPr>
          <w:sz w:val="20"/>
          <w:szCs w:val="20"/>
          <w:color w:val="auto"/>
        </w:rPr>
      </w:pPr>
      <w:r>
        <w:rPr>
          <w:rFonts w:ascii="Arial" w:cs="Arial" w:eastAsia="Arial" w:hAnsi="Arial"/>
          <w:sz w:val="14"/>
          <w:szCs w:val="14"/>
          <w:color w:val="auto"/>
        </w:rPr>
        <w:t>Through April 4, 2019, we are not permitted to incur indebtedness unless immediately after such borrowing we have an asset coverage for total borrowings of at least 200% (i.e., the amount of debt may not exceed 50% of the value of our assets). In addition, through such date we may not be permitted to declare any cash distribution on our outstanding common shares, or purchase any such shares, unless, at the time of such declaration or purchase, we have asset coverage of at least 200% after deducting the amount of such distribution or purchase price. If this ratio declines below 200% before April 5, 2019, we may not be able to incur additional debt and may need to sell a portion of our investments to repay some debt when it is disadvantageous to do so, and we may not be able to make distributions. The Small Business Credit Availability Act, which was signed into law in March 2018, modifies this section of the 1940 Act and decreases this percentage from 200% to 150% (subject to either stockholder approval or approval of both a majority of the board of directors and a majority of directors who are not interested persons). 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requirements applicable to us for senior securities will be reduced from 200% to 150%, effective as of April 5, 2019, subject to compliance with certain disclosure requirements. As of such date, we will be able to incur additional indebtedness as a result of this new law and therefore, your risk of an investment in us may increase.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March 31, 2018 and September 30, 2017, our asset coverage ratio, as computed in accordance with the 1940 Act, was 268% and 278%,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1" w:name="page42"/>
    <w:bookmarkEnd w:id="41"/>
    <w:p>
      <w:pPr>
        <w:ind w:right="80" w:firstLine="365"/>
        <w:spacing w:after="0" w:line="253" w:lineRule="auto"/>
        <w:rPr>
          <w:sz w:val="20"/>
          <w:szCs w:val="20"/>
          <w:color w:val="auto"/>
        </w:rPr>
      </w:pPr>
      <w:r>
        <w:rPr>
          <w:rFonts w:ascii="Arial" w:cs="Arial" w:eastAsia="Arial" w:hAnsi="Arial"/>
          <w:sz w:val="14"/>
          <w:szCs w:val="14"/>
          <w:color w:val="auto"/>
        </w:rPr>
        <w:t>Since our leverage was 60% and 56% of our net assets as of March 31, 2018 and September 30, 2017, respectively, we would have to receive an annual return of at least 1.44% and 1.13%, respectively, to cover annual interest payments.</w:t>
      </w:r>
    </w:p>
    <w:p>
      <w:pPr>
        <w:spacing w:after="0" w:line="174" w:lineRule="exact"/>
        <w:rPr>
          <w:sz w:val="20"/>
          <w:szCs w:val="20"/>
          <w:color w:val="auto"/>
        </w:rPr>
      </w:pPr>
    </w:p>
    <w:p>
      <w:pPr>
        <w:ind w:right="20" w:firstLine="365"/>
        <w:spacing w:after="0" w:line="251" w:lineRule="auto"/>
        <w:rPr>
          <w:sz w:val="20"/>
          <w:szCs w:val="20"/>
          <w:color w:val="auto"/>
        </w:rPr>
      </w:pPr>
      <w:r>
        <w:rPr>
          <w:rFonts w:ascii="Arial" w:cs="Arial" w:eastAsia="Arial" w:hAnsi="Arial"/>
          <w:sz w:val="13"/>
          <w:szCs w:val="13"/>
          <w:color w:val="auto"/>
        </w:rPr>
        <w:t>As of March 31, 2018, we had outstanding borrowings of $190.2 million under our Credit Facility and $138.6 million outstanding under our 2023 Notes. Our consolidated debt outstanding was $328.8 million and had a weighted average annual interest rate at the time of 3.81%, exclusive of the fees on the undrawn commitment on our Credit Facility. To cover the annual interest on our borrowings of $328.8 million outstanding as of March 31, 2018, at the weighted average annual rate of 3.81%, we would have to receive an annual yield of at least 1.44%.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77" w:lineRule="exact"/>
        <w:rPr>
          <w:sz w:val="20"/>
          <w:szCs w:val="20"/>
          <w:color w:val="auto"/>
        </w:rPr>
      </w:pPr>
    </w:p>
    <w:p>
      <w:pPr>
        <w:ind w:right="140" w:firstLine="365"/>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March 31, 2018 of 36% of total assets (including such borrowed funds), at the current interest rate at the time of 3.81%,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25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(10.0)%</w:t>
            </w:r>
          </w:p>
        </w:tc>
        <w:tc>
          <w:tcPr>
            <w:tcW w:w="11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(5.0)%</w:t>
            </w:r>
          </w:p>
        </w:tc>
        <w:tc>
          <w:tcPr>
            <w:tcW w:w="10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 %</w:t>
            </w:r>
          </w:p>
        </w:tc>
        <w:tc>
          <w:tcPr>
            <w:tcW w:w="9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r>
        <w:trPr>
          <w:trHeight w:val="182"/>
        </w:trPr>
        <w:tc>
          <w:tcPr>
            <w:tcW w:w="462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2580" w:type="dxa"/>
            <w:vAlign w:val="bottom"/>
          </w:tcPr>
          <w:p>
            <w:pPr>
              <w:jc w:val="right"/>
              <w:ind w:right="288"/>
              <w:spacing w:after="0"/>
              <w:rPr>
                <w:sz w:val="20"/>
                <w:szCs w:val="20"/>
                <w:color w:val="auto"/>
              </w:rPr>
            </w:pPr>
            <w:r>
              <w:rPr>
                <w:rFonts w:ascii="Arial" w:cs="Arial" w:eastAsia="Arial" w:hAnsi="Arial"/>
                <w:sz w:val="14"/>
                <w:szCs w:val="14"/>
                <w:color w:val="auto"/>
              </w:rPr>
              <w:t>(18.7)%</w:t>
            </w:r>
          </w:p>
        </w:tc>
        <w:tc>
          <w:tcPr>
            <w:tcW w:w="1180" w:type="dxa"/>
            <w:vAlign w:val="bottom"/>
          </w:tcPr>
          <w:p>
            <w:pPr>
              <w:jc w:val="right"/>
              <w:ind w:right="288"/>
              <w:spacing w:after="0"/>
              <w:rPr>
                <w:sz w:val="20"/>
                <w:szCs w:val="20"/>
                <w:color w:val="auto"/>
              </w:rPr>
            </w:pPr>
            <w:r>
              <w:rPr>
                <w:rFonts w:ascii="Arial" w:cs="Arial" w:eastAsia="Arial" w:hAnsi="Arial"/>
                <w:sz w:val="14"/>
                <w:szCs w:val="14"/>
                <w:color w:val="auto"/>
              </w:rPr>
              <w:t>(10.5)%</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(2.3)%</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5.9%</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460" w:right="140" w:hanging="452"/>
        <w:spacing w:after="0" w:line="255" w:lineRule="auto"/>
        <w:tabs>
          <w:tab w:leader="none" w:pos="460" w:val="left"/>
        </w:tabs>
        <w:numPr>
          <w:ilvl w:val="0"/>
          <w:numId w:val="24"/>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3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 applicable.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2" w:name="page43"/>
    <w:bookmarkEnd w:id="42"/>
    <w:p>
      <w:pPr>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ind w:left="580" w:hanging="579"/>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73">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73">
        <w:r>
          <w:rPr>
            <w:rFonts w:ascii="Arial" w:cs="Arial" w:eastAsia="Arial" w:hAnsi="Arial"/>
            <w:sz w:val="14"/>
            <w:szCs w:val="14"/>
            <w:u w:val="single" w:color="auto"/>
            <w:color w:val="0000EE"/>
          </w:rPr>
          <w:t>on Form N-2 (File No. 333-170243), filed on March 29, 2011).</w:t>
        </w:r>
      </w:hyperlink>
    </w:p>
    <w:p>
      <w:pPr>
        <w:spacing w:after="0" w:line="10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w:t>
      </w:r>
      <w:r>
        <w:rPr>
          <w:sz w:val="20"/>
          <w:szCs w:val="20"/>
          <w:color w:val="auto"/>
        </w:rPr>
        <w:tab/>
      </w:r>
      <w:hyperlink r:id="rId74">
        <w:r>
          <w:rPr>
            <w:rFonts w:ascii="Arial" w:cs="Arial" w:eastAsia="Arial" w:hAnsi="Arial"/>
            <w:sz w:val="13"/>
            <w:szCs w:val="13"/>
            <w:u w:val="single" w:color="auto"/>
            <w:color w:val="0000EE"/>
          </w:rPr>
          <w:t>Amended and Restated Bylaws of the Registrant (Incorporated by reference to Exhibit 3.1 to the Registrant’s Current Report on Form 8-K (File No. 814-00891), filed on December 2,</w:t>
        </w:r>
      </w:hyperlink>
    </w:p>
    <w:p>
      <w:pPr>
        <w:ind w:left="580"/>
        <w:spacing w:after="0"/>
        <w:rPr>
          <w:rFonts w:ascii="Arial" w:cs="Arial" w:eastAsia="Arial" w:hAnsi="Arial"/>
          <w:sz w:val="14"/>
          <w:szCs w:val="14"/>
          <w:u w:val="single" w:color="auto"/>
          <w:color w:val="0000EE"/>
        </w:rPr>
      </w:pPr>
      <w:hyperlink r:id="rId74">
        <w:r>
          <w:rPr>
            <w:rFonts w:ascii="Arial" w:cs="Arial" w:eastAsia="Arial" w:hAnsi="Arial"/>
            <w:sz w:val="14"/>
            <w:szCs w:val="14"/>
            <w:u w:val="single" w:color="auto"/>
            <w:color w:val="0000EE"/>
          </w:rPr>
          <w:t>2015).</w:t>
        </w:r>
      </w:hyperlink>
    </w:p>
    <w:p>
      <w:pPr>
        <w:spacing w:after="0" w:line="124"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75">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75">
        <w:r>
          <w:rPr>
            <w:rFonts w:ascii="Arial" w:cs="Arial" w:eastAsia="Arial" w:hAnsi="Arial"/>
            <w:sz w:val="14"/>
            <w:szCs w:val="14"/>
            <w:u w:val="single" w:color="auto"/>
            <w:color w:val="0000EE"/>
          </w:rPr>
          <w:t>170243), filed on April 5, 2011).</w:t>
        </w:r>
      </w:hyperlink>
    </w:p>
    <w:p>
      <w:pPr>
        <w:spacing w:after="0" w:line="124" w:lineRule="exact"/>
        <w:rPr>
          <w:sz w:val="20"/>
          <w:szCs w:val="20"/>
          <w:color w:val="auto"/>
        </w:rPr>
      </w:pPr>
    </w:p>
    <w:p>
      <w:pPr>
        <w:spacing w:after="0"/>
        <w:tabs>
          <w:tab w:leader="none" w:pos="560" w:val="left"/>
        </w:tabs>
        <w:rPr>
          <w:rFonts w:ascii="Arial" w:cs="Arial" w:eastAsia="Arial" w:hAnsi="Arial"/>
          <w:sz w:val="12"/>
          <w:szCs w:val="12"/>
          <w:u w:val="single" w:color="auto"/>
          <w:color w:val="0000EE"/>
        </w:rPr>
      </w:pPr>
      <w:r>
        <w:rPr>
          <w:rFonts w:ascii="Arial" w:cs="Arial" w:eastAsia="Arial" w:hAnsi="Arial"/>
          <w:sz w:val="14"/>
          <w:szCs w:val="14"/>
          <w:color w:val="auto"/>
        </w:rPr>
        <w:t>10.1</w:t>
      </w:r>
      <w:r>
        <w:rPr>
          <w:sz w:val="20"/>
          <w:szCs w:val="20"/>
          <w:color w:val="auto"/>
        </w:rPr>
        <w:tab/>
      </w:r>
      <w:hyperlink r:id="rId76">
        <w:r>
          <w:rPr>
            <w:rFonts w:ascii="Arial" w:cs="Arial" w:eastAsia="Arial" w:hAnsi="Arial"/>
            <w:sz w:val="12"/>
            <w:szCs w:val="12"/>
            <w:u w:val="single" w:color="auto"/>
            <w:color w:val="0000EE"/>
          </w:rPr>
          <w:t>First Amendment to Purchase and Contribution Agreement, dated as of January 16, 2018, between PennantPark Floating Rate Capital Ltd., as the seller, and PennantPark Floating Rate</w:t>
        </w:r>
      </w:hyperlink>
    </w:p>
    <w:p>
      <w:pPr>
        <w:jc w:val="center"/>
        <w:ind w:right="40"/>
        <w:spacing w:after="0"/>
        <w:rPr>
          <w:rFonts w:ascii="Arial" w:cs="Arial" w:eastAsia="Arial" w:hAnsi="Arial"/>
          <w:sz w:val="14"/>
          <w:szCs w:val="14"/>
          <w:u w:val="single" w:color="auto"/>
          <w:color w:val="0000EE"/>
        </w:rPr>
      </w:pPr>
      <w:hyperlink r:id="rId76">
        <w:r>
          <w:rPr>
            <w:rFonts w:ascii="Arial" w:cs="Arial" w:eastAsia="Arial" w:hAnsi="Arial"/>
            <w:sz w:val="14"/>
            <w:szCs w:val="14"/>
            <w:u w:val="single" w:color="auto"/>
            <w:color w:val="0000EE"/>
          </w:rPr>
          <w:t>Funding I, LLC, as the buyer (Incorporated by reference to Exhibit 10.4 to the Registrant’s Quarterly Report on Form 10-Q (File No. 814-00891), filed on February 8, 2018).</w:t>
        </w:r>
      </w:hyperlink>
    </w:p>
    <w:p>
      <w:pPr>
        <w:spacing w:after="0" w:line="124" w:lineRule="exact"/>
        <w:rPr>
          <w:sz w:val="20"/>
          <w:szCs w:val="20"/>
          <w:color w:val="auto"/>
        </w:rPr>
      </w:pPr>
    </w:p>
    <w:p>
      <w:pPr>
        <w:ind w:right="3380" w:firstLine="8"/>
        <w:spacing w:after="0" w:line="476" w:lineRule="auto"/>
        <w:tabs>
          <w:tab w:leader="none" w:pos="580" w:val="left"/>
        </w:tabs>
        <w:numPr>
          <w:ilvl w:val="0"/>
          <w:numId w:val="25"/>
        </w:numPr>
        <w:rPr>
          <w:rFonts w:ascii="Arial" w:cs="Arial" w:eastAsia="Arial" w:hAnsi="Arial"/>
          <w:sz w:val="13"/>
          <w:szCs w:val="13"/>
          <w:color w:val="000000"/>
        </w:rPr>
      </w:pPr>
      <w:hyperlink w:anchor="page25">
        <w:r>
          <w:rPr>
            <w:rFonts w:ascii="Arial" w:cs="Arial" w:eastAsia="Arial" w:hAnsi="Arial"/>
            <w:sz w:val="13"/>
            <w:szCs w:val="13"/>
            <w:u w:val="single" w:color="auto"/>
            <w:color w:val="0000EE"/>
          </w:rPr>
          <w:t>Computation of Per Share Earnings (included in the notes to the Consolidated Financial Statements contained in this Report)</w:t>
        </w:r>
        <w:r>
          <w:rPr>
            <w:rFonts w:ascii="Arial" w:cs="Arial" w:eastAsia="Arial" w:hAnsi="Arial"/>
            <w:sz w:val="13"/>
            <w:szCs w:val="13"/>
            <w:color w:val="0000EE"/>
          </w:rPr>
          <w:t>.</w:t>
        </w:r>
      </w:hyperlink>
      <w:r>
        <w:rPr>
          <w:rFonts w:ascii="Arial" w:cs="Arial" w:eastAsia="Arial" w:hAnsi="Arial"/>
          <w:sz w:val="13"/>
          <w:szCs w:val="13"/>
          <w:color w:val="0000EE"/>
        </w:rPr>
        <w:t xml:space="preserve"> </w:t>
      </w:r>
      <w:r>
        <w:rPr>
          <w:rFonts w:ascii="Arial" w:cs="Arial" w:eastAsia="Arial" w:hAnsi="Arial"/>
          <w:sz w:val="13"/>
          <w:szCs w:val="13"/>
          <w:color w:val="000000"/>
        </w:rPr>
        <w:t xml:space="preserve">31.1* </w:t>
      </w:r>
      <w:hyperlink w:anchor="page45">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 w:lineRule="exact"/>
        <w:rPr>
          <w:rFonts w:ascii="Arial" w:cs="Arial" w:eastAsia="Arial" w:hAnsi="Arial"/>
          <w:sz w:val="13"/>
          <w:szCs w:val="13"/>
          <w:color w:val="000000"/>
        </w:rPr>
      </w:pPr>
    </w:p>
    <w:p>
      <w:pPr>
        <w:spacing w:after="0"/>
        <w:rPr>
          <w:rFonts w:ascii="Arial" w:cs="Arial" w:eastAsia="Arial" w:hAnsi="Arial"/>
          <w:sz w:val="13"/>
          <w:szCs w:val="13"/>
          <w:u w:val="single" w:color="auto"/>
          <w:color w:val="0000EE"/>
        </w:rPr>
      </w:pPr>
      <w:r>
        <w:rPr>
          <w:rFonts w:ascii="Arial" w:cs="Arial" w:eastAsia="Arial" w:hAnsi="Arial"/>
          <w:sz w:val="14"/>
          <w:szCs w:val="14"/>
          <w:color w:val="auto"/>
        </w:rPr>
        <w:t>31.2*</w:t>
      </w:r>
      <w:hyperlink w:anchor="page46">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3"/>
          <w:szCs w:val="13"/>
          <w:u w:val="single" w:color="auto"/>
          <w:color w:val="0000EE"/>
        </w:rPr>
      </w:pPr>
    </w:p>
    <w:p>
      <w:pPr>
        <w:spacing w:after="0"/>
        <w:rPr>
          <w:rFonts w:ascii="Arial" w:cs="Arial" w:eastAsia="Arial" w:hAnsi="Arial"/>
          <w:sz w:val="13"/>
          <w:szCs w:val="13"/>
          <w:u w:val="single" w:color="auto"/>
          <w:color w:val="0000EE"/>
        </w:rPr>
      </w:pPr>
      <w:r>
        <w:rPr>
          <w:rFonts w:ascii="Arial" w:cs="Arial" w:eastAsia="Arial" w:hAnsi="Arial"/>
          <w:sz w:val="14"/>
          <w:szCs w:val="14"/>
          <w:color w:val="auto"/>
        </w:rPr>
        <w:t>32.1*</w:t>
      </w:r>
      <w:hyperlink w:anchor="page47">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3"/>
          <w:szCs w:val="13"/>
          <w:u w:val="single" w:color="auto"/>
          <w:color w:val="0000EE"/>
        </w:rPr>
      </w:pPr>
    </w:p>
    <w:p>
      <w:pPr>
        <w:spacing w:after="0"/>
        <w:rPr>
          <w:rFonts w:ascii="Arial" w:cs="Arial" w:eastAsia="Arial" w:hAnsi="Arial"/>
          <w:sz w:val="13"/>
          <w:szCs w:val="13"/>
          <w:u w:val="single" w:color="auto"/>
          <w:color w:val="0000EE"/>
        </w:rPr>
      </w:pPr>
      <w:r>
        <w:rPr>
          <w:rFonts w:ascii="Arial" w:cs="Arial" w:eastAsia="Arial" w:hAnsi="Arial"/>
          <w:sz w:val="14"/>
          <w:szCs w:val="14"/>
          <w:color w:val="auto"/>
        </w:rPr>
        <w:t>32.2*</w:t>
      </w:r>
      <w:hyperlink w:anchor="page48">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3"/>
          <w:szCs w:val="13"/>
          <w:u w:val="single" w:color="auto"/>
          <w:color w:val="0000EE"/>
        </w:rPr>
      </w:pPr>
    </w:p>
    <w:p>
      <w:pPr>
        <w:ind w:right="420"/>
        <w:spacing w:after="0" w:line="534" w:lineRule="auto"/>
        <w:rPr>
          <w:rFonts w:ascii="Arial" w:cs="Arial" w:eastAsia="Arial" w:hAnsi="Arial"/>
          <w:sz w:val="14"/>
          <w:szCs w:val="14"/>
          <w:color w:val="auto"/>
        </w:rPr>
      </w:pPr>
      <w:r>
        <w:rPr>
          <w:rFonts w:ascii="Arial" w:cs="Arial" w:eastAsia="Arial" w:hAnsi="Arial"/>
          <w:sz w:val="14"/>
          <w:szCs w:val="14"/>
          <w:color w:val="auto"/>
        </w:rPr>
        <w:t xml:space="preserve">99.1 </w:t>
      </w:r>
      <w:hyperlink r:id="rId77">
        <w:r>
          <w:rPr>
            <w:rFonts w:ascii="Arial" w:cs="Arial" w:eastAsia="Arial" w:hAnsi="Arial"/>
            <w:sz w:val="14"/>
            <w:szCs w:val="14"/>
            <w:u w:val="single" w:color="auto"/>
            <w:color w:val="0000EE"/>
          </w:rPr>
          <w:t>Privacy Policy of the Registrant (Incorporated by reference to Exhibit 99.1 to the Registrant’s Annual Report on Form 10-K (File No. 814-00891), filed on November 17, 2011).</w:t>
        </w:r>
      </w:hyperlink>
      <w:r>
        <w:rPr>
          <w:rFonts w:ascii="Arial" w:cs="Arial" w:eastAsia="Arial" w:hAnsi="Arial"/>
          <w:sz w:val="14"/>
          <w:szCs w:val="14"/>
          <w:color w:val="auto"/>
        </w:rPr>
        <w:t xml:space="preserve"> * Filed herewith.</w:t>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18599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rFonts w:ascii="Arial" w:cs="Arial" w:eastAsia="Arial" w:hAnsi="Arial"/>
          <w:sz w:val="13"/>
          <w:szCs w:val="13"/>
          <w:u w:val="single" w:color="auto"/>
          <w:color w:val="0000EE"/>
        </w:rPr>
      </w:pPr>
    </w:p>
    <w:p>
      <w:pPr>
        <w:spacing w:after="0" w:line="346" w:lineRule="exact"/>
        <w:rPr>
          <w:rFonts w:ascii="Arial" w:cs="Arial" w:eastAsia="Arial" w:hAnsi="Arial"/>
          <w:sz w:val="13"/>
          <w:szCs w:val="13"/>
          <w:u w:val="single" w:color="auto"/>
          <w:color w:val="0000EE"/>
        </w:rPr>
      </w:pPr>
    </w:p>
    <w:p>
      <w:pPr>
        <w:jc w:val="center"/>
        <w:ind w:right="-79"/>
        <w:spacing w:after="0"/>
        <w:rPr>
          <w:sz w:val="20"/>
          <w:szCs w:val="20"/>
          <w:color w:val="auto"/>
        </w:rPr>
      </w:pPr>
      <w:r>
        <w:rPr>
          <w:rFonts w:ascii="Arial" w:cs="Arial" w:eastAsia="Arial" w:hAnsi="Arial"/>
          <w:sz w:val="14"/>
          <w:szCs w:val="14"/>
          <w:color w:val="auto"/>
        </w:rPr>
        <w:t>43</w:t>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260" w:firstLine="49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120" w:type="dxa"/>
            <w:vAlign w:val="bottom"/>
          </w:tcPr>
          <w:p>
            <w:pPr>
              <w:ind w:left="540"/>
              <w:spacing w:after="0"/>
              <w:rPr>
                <w:sz w:val="20"/>
                <w:szCs w:val="20"/>
                <w:color w:val="auto"/>
              </w:rPr>
            </w:pPr>
            <w:r>
              <w:rPr>
                <w:rFonts w:ascii="Arial" w:cs="Arial" w:eastAsia="Arial" w:hAnsi="Arial"/>
                <w:sz w:val="14"/>
                <w:szCs w:val="14"/>
                <w:color w:val="auto"/>
              </w:rPr>
              <w:t>PENNANTPARK FLOATING RATE CAPITAL LTD.</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0"/>
                <w:szCs w:val="20"/>
                <w:color w:val="auto"/>
              </w:rPr>
            </w:pPr>
            <w:r>
              <w:rPr>
                <w:rFonts w:ascii="Arial" w:cs="Arial" w:eastAsia="Arial" w:hAnsi="Arial"/>
                <w:sz w:val="14"/>
                <w:szCs w:val="14"/>
                <w:color w:val="auto"/>
              </w:rPr>
              <w:t>Date: May 10, 2018</w:t>
            </w:r>
          </w:p>
        </w:tc>
        <w:tc>
          <w:tcPr>
            <w:tcW w:w="2920" w:type="dxa"/>
            <w:vAlign w:val="bottom"/>
            <w:vMerge w:val="restart"/>
          </w:tcPr>
          <w:p>
            <w:pPr>
              <w:ind w:left="2040"/>
              <w:spacing w:after="0"/>
              <w:rPr>
                <w:sz w:val="20"/>
                <w:szCs w:val="20"/>
                <w:color w:val="auto"/>
              </w:rPr>
            </w:pPr>
            <w:r>
              <w:rPr>
                <w:rFonts w:ascii="Arial" w:cs="Arial" w:eastAsia="Arial" w:hAnsi="Arial"/>
                <w:sz w:val="14"/>
                <w:szCs w:val="14"/>
                <w:color w:val="auto"/>
              </w:rPr>
              <w:t>By:</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w w:val="93"/>
              </w:rPr>
              <w:t>/s/ Arthur H. Penn</w:t>
            </w:r>
          </w:p>
        </w:tc>
        <w:tc>
          <w:tcPr>
            <w:tcW w:w="0" w:type="dxa"/>
            <w:vAlign w:val="bottom"/>
          </w:tcPr>
          <w:p>
            <w:pPr>
              <w:spacing w:after="0"/>
              <w:rPr>
                <w:sz w:val="1"/>
                <w:szCs w:val="1"/>
                <w:color w:val="auto"/>
              </w:rPr>
            </w:pPr>
          </w:p>
        </w:tc>
      </w:tr>
      <w:tr>
        <w:trPr>
          <w:trHeight w:val="58"/>
        </w:trPr>
        <w:tc>
          <w:tcPr>
            <w:tcW w:w="3200" w:type="dxa"/>
            <w:vAlign w:val="bottom"/>
          </w:tcPr>
          <w:p>
            <w:pPr>
              <w:spacing w:after="0"/>
              <w:rPr>
                <w:sz w:val="4"/>
                <w:szCs w:val="4"/>
                <w:color w:val="auto"/>
              </w:rPr>
            </w:pPr>
          </w:p>
        </w:tc>
        <w:tc>
          <w:tcPr>
            <w:tcW w:w="2920" w:type="dxa"/>
            <w:vAlign w:val="bottom"/>
            <w:vMerge w:val="continue"/>
          </w:tcPr>
          <w:p>
            <w:pPr>
              <w:spacing w:after="0"/>
              <w:rPr>
                <w:sz w:val="4"/>
                <w:szCs w:val="4"/>
                <w:color w:val="auto"/>
              </w:rPr>
            </w:pPr>
          </w:p>
        </w:tc>
        <w:tc>
          <w:tcPr>
            <w:tcW w:w="5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51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Arthur H. Penn</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Executive Officer)</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0"/>
                <w:szCs w:val="20"/>
                <w:color w:val="auto"/>
              </w:rPr>
            </w:pPr>
            <w:r>
              <w:rPr>
                <w:rFonts w:ascii="Arial" w:cs="Arial" w:eastAsia="Arial" w:hAnsi="Arial"/>
                <w:sz w:val="14"/>
                <w:szCs w:val="14"/>
                <w:color w:val="auto"/>
              </w:rPr>
              <w:t>Date: May 10, 2018</w:t>
            </w:r>
          </w:p>
        </w:tc>
        <w:tc>
          <w:tcPr>
            <w:tcW w:w="2920" w:type="dxa"/>
            <w:vAlign w:val="bottom"/>
            <w:vMerge w:val="restart"/>
          </w:tcPr>
          <w:p>
            <w:pPr>
              <w:ind w:left="2040"/>
              <w:spacing w:after="0"/>
              <w:rPr>
                <w:sz w:val="20"/>
                <w:szCs w:val="20"/>
                <w:color w:val="auto"/>
              </w:rPr>
            </w:pPr>
            <w:r>
              <w:rPr>
                <w:rFonts w:ascii="Arial" w:cs="Arial" w:eastAsia="Arial" w:hAnsi="Arial"/>
                <w:sz w:val="14"/>
                <w:szCs w:val="14"/>
                <w:color w:val="auto"/>
              </w:rPr>
              <w:t>By:</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w w:val="96"/>
              </w:rPr>
              <w:t>/s/ Aviv Efrat</w:t>
            </w:r>
          </w:p>
        </w:tc>
        <w:tc>
          <w:tcPr>
            <w:tcW w:w="0" w:type="dxa"/>
            <w:vAlign w:val="bottom"/>
          </w:tcPr>
          <w:p>
            <w:pPr>
              <w:spacing w:after="0"/>
              <w:rPr>
                <w:sz w:val="1"/>
                <w:szCs w:val="1"/>
                <w:color w:val="auto"/>
              </w:rPr>
            </w:pPr>
          </w:p>
        </w:tc>
      </w:tr>
      <w:tr>
        <w:trPr>
          <w:trHeight w:val="58"/>
        </w:trPr>
        <w:tc>
          <w:tcPr>
            <w:tcW w:w="3200" w:type="dxa"/>
            <w:vAlign w:val="bottom"/>
          </w:tcPr>
          <w:p>
            <w:pPr>
              <w:spacing w:after="0"/>
              <w:rPr>
                <w:sz w:val="4"/>
                <w:szCs w:val="4"/>
                <w:color w:val="auto"/>
              </w:rPr>
            </w:pPr>
          </w:p>
        </w:tc>
        <w:tc>
          <w:tcPr>
            <w:tcW w:w="2920" w:type="dxa"/>
            <w:vAlign w:val="bottom"/>
            <w:vMerge w:val="continue"/>
          </w:tcPr>
          <w:p>
            <w:pPr>
              <w:spacing w:after="0"/>
              <w:rPr>
                <w:sz w:val="4"/>
                <w:szCs w:val="4"/>
                <w:color w:val="auto"/>
              </w:rPr>
            </w:pPr>
          </w:p>
        </w:tc>
        <w:tc>
          <w:tcPr>
            <w:tcW w:w="5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2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Chief Financial Officer and Treasurer</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26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May 10, 2018</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3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May 10, 2018</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333"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2018,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7" w:lineRule="exact"/>
        <w:rPr>
          <w:sz w:val="20"/>
          <w:szCs w:val="20"/>
          <w:color w:val="auto"/>
        </w:rPr>
      </w:pPr>
    </w:p>
    <w:p>
      <w:pPr>
        <w:ind w:left="760" w:hanging="374"/>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10, 2018</w:t>
      </w:r>
    </w:p>
    <w:p>
      <w:pPr>
        <w:sectPr>
          <w:pgSz w:w="11900" w:h="16838" w:orient="portrait"/>
          <w:cols w:equalWidth="0" w:num="1">
            <w:col w:w="11240"/>
          </w:cols>
          <w:pgMar w:left="320" w:top="33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2018,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39" w:lineRule="exact"/>
        <w:rPr>
          <w:sz w:val="20"/>
          <w:szCs w:val="20"/>
          <w:color w:val="auto"/>
        </w:rPr>
      </w:pPr>
    </w:p>
    <w:p>
      <w:pPr>
        <w:ind w:left="760" w:hanging="374"/>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10, 2018</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lvl w:ilvl="1">
      <w:lvlJc w:val="left"/>
      <w:lvlText w:val="(%2)"/>
      <w:numFmt w:val="decimal"/>
      <w:start w:val="13"/>
    </w:lvl>
  </w:abstractNum>
  <w:abstractNum w:abstractNumId="3">
    <w:nsid w:val="4E6AFB66"/>
    <w:multiLevelType w:val="hybridMultilevel"/>
    <w:lvl w:ilvl="0">
      <w:lvlJc w:val="left"/>
      <w:lvlText w:val="(%1)"/>
      <w:numFmt w:val="decimal"/>
      <w:start w:val="1"/>
    </w:lvl>
    <w:lvl w:ilvl="1">
      <w:lvlJc w:val="left"/>
      <w:lvlText w:val="(%2)"/>
      <w:numFmt w:val="decimal"/>
      <w:start w:val="13"/>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lowerLetter"/>
      <w:start w:val="5"/>
    </w:lvl>
    <w:lvl w:ilvl="1">
      <w:lvlJc w:val="left"/>
      <w:lvlText w:val="%2."/>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73" Type="http://schemas.openxmlformats.org/officeDocument/2006/relationships/hyperlink" Target="http://www.sec.gov/Archives/edgar/data/1504619/000119312511080862/dex99a.htm" TargetMode="External"/><Relationship Id="rId74" Type="http://schemas.openxmlformats.org/officeDocument/2006/relationships/hyperlink" Target="http://www.sec.gov/Archives/edgar/data/1504619/000119312515393212/d59576dex31.htm" TargetMode="External"/><Relationship Id="rId75" Type="http://schemas.openxmlformats.org/officeDocument/2006/relationships/hyperlink" Target="http://www.sec.gov/Archives/edgar/data/1504619/000119312511088977/dex99d.htm" TargetMode="External"/><Relationship Id="rId76" Type="http://schemas.openxmlformats.org/officeDocument/2006/relationships/hyperlink" Target="http://www.sec.gov/Archives/edgar/data/1504619/000156459018001680/pflt-ex104_47.htm" TargetMode="External"/><Relationship Id="rId77"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2020-05-05T12:10:18Z</dcterms:created>
  <dcterms:modified xsi:type="dcterms:W3CDTF">2020-05-05T12:10:18Z</dcterms:modified>
</cp:coreProperties>
</file>