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July 25, 2012.</w:t>
      </w:r>
    </w:p>
    <w:p>
      <w:pPr>
        <w:jc w:val="center"/>
        <w:ind w:right="-99"/>
        <w:spacing w:after="0" w:line="223" w:lineRule="auto"/>
        <w:rPr>
          <w:sz w:val="20"/>
          <w:szCs w:val="20"/>
          <w:color w:val="auto"/>
        </w:rPr>
      </w:pPr>
      <w:r>
        <w:rPr>
          <w:rFonts w:ascii="Arial" w:cs="Arial" w:eastAsia="Arial" w:hAnsi="Arial"/>
          <w:sz w:val="14"/>
          <w:szCs w:val="14"/>
          <w:b w:val="1"/>
          <w:bCs w:val="1"/>
          <w:color w:val="auto"/>
        </w:rPr>
        <w:t>Securities Act Registration No. 333-180084</w:t>
      </w:r>
    </w:p>
    <w:p>
      <w:pPr>
        <w:jc w:val="center"/>
        <w:ind w:right="-99"/>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43180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68580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99"/>
        <w:spacing w:after="0" w:line="207" w:lineRule="exact"/>
        <w:tabs>
          <w:tab w:leader="none" w:pos="18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0" w:lineRule="exact"/>
        <w:rPr>
          <w:sz w:val="24"/>
          <w:szCs w:val="24"/>
          <w:color w:val="auto"/>
        </w:rPr>
      </w:pPr>
    </w:p>
    <w:p>
      <w:pPr>
        <w:jc w:val="center"/>
        <w:ind w:right="-99"/>
        <w:spacing w:after="0" w:line="207" w:lineRule="exact"/>
        <w:rPr>
          <w:sz w:val="20"/>
          <w:szCs w:val="20"/>
          <w:color w:val="auto"/>
        </w:rPr>
      </w:pPr>
      <w:r>
        <w:rPr>
          <w:rFonts w:ascii="Arial" w:cs="Arial" w:eastAsia="Arial" w:hAnsi="Arial"/>
          <w:sz w:val="18"/>
          <w:szCs w:val="18"/>
          <w:b w:val="1"/>
          <w:bCs w:val="1"/>
          <w:color w:val="auto"/>
        </w:rPr>
        <w:t xml:space="preserve">Pre-Effective Amendment No. 2 </w:t>
      </w:r>
      <w:r>
        <w:rPr>
          <w:rFonts w:ascii="MS PGothic" w:cs="MS PGothic" w:eastAsia="MS PGothic" w:hAnsi="MS PGothic"/>
          <w:sz w:val="18"/>
          <w:szCs w:val="18"/>
          <w:color w:val="auto"/>
        </w:rPr>
        <w:t>☒</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1" w:lineRule="auto"/>
        <w:rPr>
          <w:sz w:val="20"/>
          <w:szCs w:val="20"/>
          <w:color w:val="auto"/>
        </w:rPr>
      </w:pPr>
      <w:r>
        <w:rPr>
          <w:rFonts w:ascii="Arial" w:cs="Arial" w:eastAsia="Arial" w:hAnsi="Arial"/>
          <w:sz w:val="14"/>
          <w:szCs w:val="14"/>
          <w:b w:val="1"/>
          <w:bCs w:val="1"/>
          <w:color w:val="auto"/>
        </w:rPr>
        <w:t>1775 I Street, N.W.</w:t>
      </w:r>
    </w:p>
    <w:p>
      <w:pPr>
        <w:jc w:val="center"/>
        <w:ind w:right="-99"/>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4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4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500" w:firstLine="464"/>
        <w:spacing w:after="0" w:line="239" w:lineRule="auto"/>
        <w:tabs>
          <w:tab w:leader="none" w:pos="60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760" w:type="dxa"/>
            <w:vAlign w:val="bottom"/>
            <w:tcBorders>
              <w:top w:val="single" w:sz="8" w:color="auto"/>
              <w:left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38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jc w:val="center"/>
              <w:ind w:right="214"/>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40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tcPr>
          <w:p>
            <w:pPr>
              <w:ind w:left="74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880" w:type="dxa"/>
            <w:vAlign w:val="bottom"/>
            <w:tcBorders>
              <w:right w:val="single" w:sz="8" w:color="auto"/>
            </w:tcBorders>
          </w:tcPr>
          <w:p>
            <w:pPr>
              <w:jc w:val="right"/>
              <w:ind w:right="332"/>
              <w:spacing w:after="0" w:line="148" w:lineRule="exact"/>
              <w:rPr>
                <w:sz w:val="20"/>
                <w:szCs w:val="20"/>
                <w:color w:val="auto"/>
              </w:rPr>
            </w:pPr>
            <w:r>
              <w:rPr>
                <w:rFonts w:ascii="Arial" w:cs="Arial" w:eastAsia="Arial" w:hAnsi="Arial"/>
                <w:sz w:val="14"/>
                <w:szCs w:val="14"/>
                <w:b w:val="1"/>
                <w:bCs w:val="1"/>
                <w:color w:val="auto"/>
              </w:rPr>
              <w:t>Amount Being</w:t>
            </w:r>
          </w:p>
        </w:tc>
        <w:tc>
          <w:tcPr>
            <w:tcW w:w="1940" w:type="dxa"/>
            <w:vAlign w:val="bottom"/>
            <w:tcBorders>
              <w:right w:val="single" w:sz="8" w:color="auto"/>
            </w:tcBorders>
          </w:tcPr>
          <w:p>
            <w:pPr>
              <w:jc w:val="center"/>
              <w:ind w:left="132"/>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380" w:type="dxa"/>
            <w:vAlign w:val="bottom"/>
          </w:tcPr>
          <w:p>
            <w:pPr>
              <w:spacing w:after="0"/>
              <w:rPr>
                <w:sz w:val="12"/>
                <w:szCs w:val="12"/>
                <w:color w:val="auto"/>
              </w:rPr>
            </w:pPr>
          </w:p>
        </w:tc>
        <w:tc>
          <w:tcPr>
            <w:tcW w:w="1540" w:type="dxa"/>
            <w:vAlign w:val="bottom"/>
            <w:tcBorders>
              <w:right w:val="single" w:sz="8" w:color="auto"/>
            </w:tcBorders>
          </w:tcPr>
          <w:p>
            <w:pPr>
              <w:jc w:val="center"/>
              <w:ind w:right="234"/>
              <w:spacing w:after="0" w:line="148" w:lineRule="exact"/>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2"/>
                <w:szCs w:val="12"/>
                <w:color w:val="auto"/>
              </w:rPr>
            </w:pPr>
          </w:p>
        </w:tc>
        <w:tc>
          <w:tcPr>
            <w:tcW w:w="1620" w:type="dxa"/>
            <w:vAlign w:val="bottom"/>
            <w:tcBorders>
              <w:right w:val="single" w:sz="8" w:color="auto"/>
            </w:tcBorders>
          </w:tcPr>
          <w:p>
            <w:pPr>
              <w:jc w:val="center"/>
              <w:ind w:right="334"/>
              <w:spacing w:after="0" w:line="148"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760" w:type="dxa"/>
            <w:vAlign w:val="bottom"/>
            <w:tcBorders>
              <w:left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4"/>
                <w:szCs w:val="14"/>
                <w:b w:val="1"/>
                <w:bCs w:val="1"/>
                <w:color w:val="auto"/>
              </w:rPr>
              <w:t>Registered</w:t>
            </w:r>
          </w:p>
        </w:tc>
        <w:tc>
          <w:tcPr>
            <w:tcW w:w="188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Registered</w:t>
            </w:r>
          </w:p>
        </w:tc>
        <w:tc>
          <w:tcPr>
            <w:tcW w:w="194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93"/>
              </w:rPr>
              <w:t>Per Unit</w:t>
            </w: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right="23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35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880" w:type="dxa"/>
            <w:vAlign w:val="bottom"/>
            <w:tcBorders>
              <w:right w:val="single" w:sz="8" w:color="auto"/>
            </w:tcBorders>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vMerge w:val="continue"/>
          </w:tcPr>
          <w:p>
            <w:pPr>
              <w:spacing w:after="0"/>
              <w:rPr>
                <w:sz w:val="2"/>
                <w:szCs w:val="2"/>
                <w:color w:val="auto"/>
              </w:rPr>
            </w:pPr>
          </w:p>
        </w:tc>
        <w:tc>
          <w:tcPr>
            <w:tcW w:w="380" w:type="dxa"/>
            <w:vAlign w:val="bottom"/>
            <w:tcBorders>
              <w:bottom w:val="single" w:sz="8" w:color="auto"/>
            </w:tcBorders>
            <w:vMerge w:val="continue"/>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vMerge w:val="continue"/>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880" w:type="dxa"/>
            <w:vAlign w:val="bottom"/>
            <w:tcBorders>
              <w:right w:val="single" w:sz="8" w:color="auto"/>
            </w:tcBorders>
            <w:vMerge w:val="restart"/>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150,000,000</w:t>
            </w:r>
            <w:r>
              <w:rPr>
                <w:rFonts w:ascii="Arial" w:cs="Arial" w:eastAsia="Arial" w:hAnsi="Arial"/>
                <w:sz w:val="22"/>
                <w:szCs w:val="22"/>
                <w:color w:val="auto"/>
                <w:vertAlign w:val="superscript"/>
              </w:rPr>
              <w:t>(5)</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14"/>
                <w:szCs w:val="14"/>
                <w:color w:val="auto"/>
              </w:rPr>
              <w:t>17,190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25"/>
        </w:trPr>
        <w:tc>
          <w:tcPr>
            <w:tcW w:w="2760" w:type="dxa"/>
            <w:vAlign w:val="bottom"/>
            <w:tcBorders>
              <w:left w:val="single" w:sz="8" w:color="auto"/>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5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8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$150,000,000.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$150,000,000.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ind w:right="36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242570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58"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69"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41 of this prospectus for more information.</w:t>
      </w:r>
    </w:p>
    <w:p>
      <w:pPr>
        <w:spacing w:after="0" w:line="46"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common stock has been approved for quotation on the NASDAQ Global Select Market under the symbol “PFLT.” The last reported closing price for our common stock on July 24, 2012 was $12.14 per share, and our net asset value on March 31, 2012 was $14.12 per share.</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using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ind w:right="160" w:firstLine="456"/>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2">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200"/>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69" w:lineRule="exact"/>
        <w:rPr>
          <w:sz w:val="20"/>
          <w:szCs w:val="20"/>
          <w:color w:val="auto"/>
        </w:rPr>
      </w:pPr>
    </w:p>
    <w:p>
      <w:pPr>
        <w:ind w:left="4980"/>
        <w:spacing w:after="0"/>
        <w:tabs>
          <w:tab w:leader="none" w:pos="6080" w:val="left"/>
        </w:tabs>
        <w:rPr>
          <w:sz w:val="20"/>
          <w:szCs w:val="20"/>
          <w:color w:val="auto"/>
        </w:rPr>
      </w:pPr>
      <w:r>
        <w:rPr>
          <w:rFonts w:ascii="Arial" w:cs="Arial" w:eastAsia="Arial" w:hAnsi="Arial"/>
          <w:sz w:val="14"/>
          <w:szCs w:val="14"/>
          <w:b w:val="1"/>
          <w:bCs w:val="1"/>
          <w:color w:val="auto"/>
        </w:rPr>
        <w:t>Prospectus dated</w:t>
      </w:r>
      <w:r>
        <w:rPr>
          <w:sz w:val="20"/>
          <w:szCs w:val="20"/>
          <w:color w:val="auto"/>
        </w:rPr>
        <w:tab/>
      </w:r>
      <w:r>
        <w:rPr>
          <w:rFonts w:ascii="Arial" w:cs="Arial" w:eastAsia="Arial" w:hAnsi="Arial"/>
          <w:sz w:val="12"/>
          <w:szCs w:val="12"/>
          <w:b w:val="1"/>
          <w:bCs w:val="1"/>
          <w:color w:val="auto"/>
        </w:rPr>
        <w:t>, 2012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340" w:type="dxa"/>
            <w:vAlign w:val="bottom"/>
            <w:gridSpan w:val="2"/>
          </w:tcPr>
          <w:p>
            <w:pPr>
              <w:ind w:left="5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5"/>
                <w:szCs w:val="15"/>
                <w:color w:val="auto"/>
              </w:rPr>
            </w:pPr>
          </w:p>
        </w:tc>
      </w:tr>
      <w:tr>
        <w:trPr>
          <w:trHeight w:val="338"/>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1580" w:type="dxa"/>
            <w:vAlign w:val="bottom"/>
            <w:tcBorders>
              <w:bottom w:val="single" w:sz="8" w:color="0000EE"/>
            </w:tcBorders>
            <w:gridSpan w:val="11"/>
          </w:tcPr>
          <w:p>
            <w:pPr>
              <w:spacing w:after="0"/>
              <w:rPr>
                <w:rFonts w:ascii="Arial" w:cs="Arial" w:eastAsia="Arial" w:hAnsi="Arial"/>
                <w:sz w:val="14"/>
                <w:szCs w:val="14"/>
                <w:color w:val="0000EE"/>
                <w:w w:val="90"/>
              </w:rPr>
            </w:pPr>
            <w:hyperlink w:anchor="page6">
              <w:r>
                <w:rPr>
                  <w:rFonts w:ascii="Arial" w:cs="Arial" w:eastAsia="Arial" w:hAnsi="Arial"/>
                  <w:sz w:val="14"/>
                  <w:szCs w:val="14"/>
                  <w:color w:val="0000EE"/>
                  <w:w w:val="90"/>
                </w:rPr>
                <w:t>PROSPECTUS SUMMARY</w:t>
              </w:r>
            </w:hyperlink>
          </w:p>
        </w:tc>
        <w:tc>
          <w:tcPr>
            <w:tcW w:w="9220" w:type="dxa"/>
            <w:vAlign w:val="bottom"/>
            <w:gridSpan w:val="22"/>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w:t>
            </w:r>
          </w:p>
        </w:tc>
      </w:tr>
      <w:tr>
        <w:trPr>
          <w:trHeight w:val="196"/>
        </w:trPr>
        <w:tc>
          <w:tcPr>
            <w:tcW w:w="1360" w:type="dxa"/>
            <w:vAlign w:val="bottom"/>
            <w:tcBorders>
              <w:bottom w:val="single" w:sz="8" w:color="0000EE"/>
            </w:tcBorders>
            <w:gridSpan w:val="9"/>
          </w:tcPr>
          <w:p>
            <w:pPr>
              <w:spacing w:after="0"/>
              <w:rPr>
                <w:rFonts w:ascii="Arial" w:cs="Arial" w:eastAsia="Arial" w:hAnsi="Arial"/>
                <w:sz w:val="14"/>
                <w:szCs w:val="14"/>
                <w:color w:val="0000EE"/>
                <w:w w:val="89"/>
              </w:rPr>
            </w:pPr>
            <w:hyperlink w:anchor="page10">
              <w:r>
                <w:rPr>
                  <w:rFonts w:ascii="Arial" w:cs="Arial" w:eastAsia="Arial" w:hAnsi="Arial"/>
                  <w:sz w:val="14"/>
                  <w:szCs w:val="14"/>
                  <w:color w:val="0000EE"/>
                  <w:w w:val="89"/>
                </w:rPr>
                <w:t>FEES AND EXPENSES</w:t>
              </w:r>
            </w:hyperlink>
          </w:p>
        </w:tc>
        <w:tc>
          <w:tcPr>
            <w:tcW w:w="9440" w:type="dxa"/>
            <w:vAlign w:val="bottom"/>
            <w:gridSpan w:val="2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RISK FACTORS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FORWARD-LOOKING STATEMENTS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23</w:t>
            </w:r>
          </w:p>
        </w:tc>
      </w:tr>
      <w:tr>
        <w:trPr>
          <w:trHeight w:val="196"/>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7"/>
              </w:rPr>
            </w:pPr>
            <w:hyperlink w:anchor="page29">
              <w:r>
                <w:rPr>
                  <w:rFonts w:ascii="Arial" w:cs="Arial" w:eastAsia="Arial" w:hAnsi="Arial"/>
                  <w:sz w:val="14"/>
                  <w:szCs w:val="14"/>
                  <w:color w:val="0000EE"/>
                  <w:w w:val="87"/>
                </w:rPr>
                <w:t>USE OF PROCEEDS</w:t>
              </w:r>
            </w:hyperlink>
          </w:p>
        </w:tc>
        <w:tc>
          <w:tcPr>
            <w:tcW w:w="1000" w:type="dxa"/>
            <w:vAlign w:val="bottom"/>
            <w:tcBorders>
              <w:top w:val="single" w:sz="8" w:color="0000EE"/>
            </w:tcBorders>
            <w:gridSpan w:val="9"/>
          </w:tcPr>
          <w:p>
            <w:pPr>
              <w:spacing w:after="0"/>
              <w:rPr>
                <w:sz w:val="17"/>
                <w:szCs w:val="17"/>
                <w:color w:val="auto"/>
              </w:rPr>
            </w:pPr>
          </w:p>
        </w:tc>
        <w:tc>
          <w:tcPr>
            <w:tcW w:w="8600" w:type="dxa"/>
            <w:vAlign w:val="bottom"/>
            <w:gridSpan w:val="1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24</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SELECTED FINANCIAL DATA</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25</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2"/>
          </w:tcPr>
          <w:p>
            <w:pPr>
              <w:spacing w:after="0"/>
              <w:rPr>
                <w:rFonts w:ascii="Arial" w:cs="Arial" w:eastAsia="Arial" w:hAnsi="Arial"/>
                <w:sz w:val="14"/>
                <w:szCs w:val="14"/>
                <w:color w:val="0000EE"/>
                <w:w w:val="93"/>
              </w:rPr>
            </w:pPr>
            <w:hyperlink w:anchor="page32">
              <w:r>
                <w:rPr>
                  <w:rFonts w:ascii="Arial" w:cs="Arial" w:eastAsia="Arial" w:hAnsi="Arial"/>
                  <w:sz w:val="14"/>
                  <w:szCs w:val="14"/>
                  <w:color w:val="0000EE"/>
                  <w:w w:val="93"/>
                </w:rPr>
                <w:t>MANAGEMENT’S DISCUSSION AND ANALYSIS OF FINANCIAL CONDITION AND RESULTS OF OPERATIONS</w:t>
              </w:r>
            </w:hyperlink>
          </w:p>
        </w:tc>
        <w:tc>
          <w:tcPr>
            <w:tcW w:w="4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27</w:t>
            </w:r>
          </w:p>
        </w:tc>
      </w:tr>
      <w:tr>
        <w:trPr>
          <w:trHeight w:val="196"/>
        </w:trPr>
        <w:tc>
          <w:tcPr>
            <w:tcW w:w="1300" w:type="dxa"/>
            <w:vAlign w:val="bottom"/>
            <w:tcBorders>
              <w:bottom w:val="single" w:sz="8" w:color="0000EE"/>
            </w:tcBorders>
            <w:gridSpan w:val="8"/>
          </w:tcPr>
          <w:p>
            <w:pPr>
              <w:spacing w:after="0"/>
              <w:rPr>
                <w:rFonts w:ascii="Arial" w:cs="Arial" w:eastAsia="Arial" w:hAnsi="Arial"/>
                <w:sz w:val="14"/>
                <w:szCs w:val="14"/>
                <w:color w:val="0000EE"/>
                <w:w w:val="90"/>
              </w:rPr>
            </w:pPr>
            <w:hyperlink w:anchor="page43">
              <w:r>
                <w:rPr>
                  <w:rFonts w:ascii="Arial" w:cs="Arial" w:eastAsia="Arial" w:hAnsi="Arial"/>
                  <w:sz w:val="14"/>
                  <w:szCs w:val="14"/>
                  <w:color w:val="0000EE"/>
                  <w:w w:val="90"/>
                </w:rPr>
                <w:t>SENIOR SECURITIES</w:t>
              </w:r>
            </w:hyperlink>
          </w:p>
        </w:tc>
        <w:tc>
          <w:tcPr>
            <w:tcW w:w="9500" w:type="dxa"/>
            <w:vAlign w:val="bottom"/>
            <w:gridSpan w:val="2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38</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OBLIGATIONS AND INDEBTEDNESS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39</w:t>
            </w:r>
          </w:p>
        </w:tc>
      </w:tr>
      <w:tr>
        <w:trPr>
          <w:trHeight w:val="196"/>
        </w:trPr>
        <w:tc>
          <w:tcPr>
            <w:tcW w:w="2260" w:type="dxa"/>
            <w:vAlign w:val="bottom"/>
            <w:tcBorders>
              <w:top w:val="single" w:sz="8" w:color="0000EE"/>
            </w:tcBorders>
            <w:gridSpan w:val="18"/>
          </w:tcPr>
          <w:p>
            <w:pPr>
              <w:spacing w:after="0"/>
              <w:rPr>
                <w:rFonts w:ascii="Arial" w:cs="Arial" w:eastAsia="Arial" w:hAnsi="Arial"/>
                <w:sz w:val="14"/>
                <w:szCs w:val="14"/>
                <w:color w:val="0000EE"/>
                <w:w w:val="92"/>
              </w:rPr>
            </w:pPr>
            <w:hyperlink w:anchor="page45">
              <w:r>
                <w:rPr>
                  <w:rFonts w:ascii="Arial" w:cs="Arial" w:eastAsia="Arial" w:hAnsi="Arial"/>
                  <w:sz w:val="14"/>
                  <w:szCs w:val="14"/>
                  <w:color w:val="0000EE"/>
                  <w:w w:val="92"/>
                </w:rPr>
                <w:t>PRICE RANGE OF COMMON STOCK</w:t>
              </w:r>
            </w:hyperlink>
          </w:p>
        </w:tc>
        <w:tc>
          <w:tcPr>
            <w:tcW w:w="8540" w:type="dxa"/>
            <w:vAlign w:val="bottom"/>
            <w:gridSpan w:val="1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40</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SALES OF COMMON STOCK BELOW NET ASSET VALUE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41</w:t>
            </w:r>
          </w:p>
        </w:tc>
      </w:tr>
      <w:tr>
        <w:trPr>
          <w:trHeight w:val="196"/>
        </w:trPr>
        <w:tc>
          <w:tcPr>
            <w:tcW w:w="3480" w:type="dxa"/>
            <w:vAlign w:val="bottom"/>
            <w:tcBorders>
              <w:top w:val="single" w:sz="8" w:color="0000EE"/>
            </w:tcBorders>
            <w:gridSpan w:val="28"/>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DISTRIBUTIONS</w:t>
              </w:r>
            </w:hyperlink>
          </w:p>
        </w:tc>
        <w:tc>
          <w:tcPr>
            <w:tcW w:w="7320" w:type="dxa"/>
            <w:vAlign w:val="bottom"/>
            <w:gridSpan w:val="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45</w:t>
            </w:r>
          </w:p>
        </w:tc>
      </w:tr>
      <w:tr>
        <w:trPr>
          <w:trHeight w:val="196"/>
        </w:trPr>
        <w:tc>
          <w:tcPr>
            <w:tcW w:w="1020" w:type="dxa"/>
            <w:vAlign w:val="bottom"/>
            <w:tcBorders>
              <w:top w:val="single" w:sz="8" w:color="0000EE"/>
            </w:tcBorders>
            <w:gridSpan w:val="5"/>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BUSINESS</w:t>
              </w:r>
            </w:hyperlink>
          </w:p>
        </w:tc>
        <w:tc>
          <w:tcPr>
            <w:tcW w:w="9780" w:type="dxa"/>
            <w:vAlign w:val="bottom"/>
            <w:gridSpan w:val="2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46</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2"/>
          </w:tcPr>
          <w:p>
            <w:pPr>
              <w:spacing w:after="0"/>
              <w:rPr>
                <w:rFonts w:ascii="Arial" w:cs="Arial" w:eastAsia="Arial" w:hAnsi="Arial"/>
                <w:sz w:val="14"/>
                <w:szCs w:val="14"/>
                <w:color w:val="0000EE"/>
                <w:w w:val="93"/>
              </w:rPr>
            </w:pPr>
            <w:hyperlink w:anchor="page54">
              <w:r>
                <w:rPr>
                  <w:rFonts w:ascii="Arial" w:cs="Arial" w:eastAsia="Arial" w:hAnsi="Arial"/>
                  <w:sz w:val="14"/>
                  <w:szCs w:val="14"/>
                  <w:color w:val="0000EE"/>
                  <w:w w:val="93"/>
                </w:rPr>
                <w:t>INVESTMENT OBJECTIVES AND POLICIES</w:t>
              </w:r>
            </w:hyperlink>
          </w:p>
        </w:tc>
        <w:tc>
          <w:tcPr>
            <w:tcW w:w="8140" w:type="dxa"/>
            <w:vAlign w:val="bottom"/>
            <w:gridSpan w:val="11"/>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49</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PORTFOLIO COMPANIES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54</w:t>
            </w:r>
          </w:p>
        </w:tc>
      </w:tr>
      <w:tr>
        <w:trPr>
          <w:trHeight w:val="196"/>
        </w:trPr>
        <w:tc>
          <w:tcPr>
            <w:tcW w:w="1540" w:type="dxa"/>
            <w:vAlign w:val="bottom"/>
            <w:tcBorders>
              <w:top w:val="single" w:sz="8" w:color="0000EE"/>
            </w:tcBorders>
            <w:gridSpan w:val="10"/>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MANAGEMENT</w:t>
              </w:r>
            </w:hyperlink>
          </w:p>
        </w:tc>
        <w:tc>
          <w:tcPr>
            <w:tcW w:w="9260" w:type="dxa"/>
            <w:vAlign w:val="bottom"/>
            <w:gridSpan w:val="2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58</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7"/>
          </w:tcPr>
          <w:p>
            <w:pPr>
              <w:spacing w:after="0"/>
              <w:rPr>
                <w:rFonts w:ascii="Arial" w:cs="Arial" w:eastAsia="Arial" w:hAnsi="Arial"/>
                <w:sz w:val="14"/>
                <w:szCs w:val="14"/>
                <w:color w:val="0000EE"/>
                <w:w w:val="91"/>
              </w:rPr>
            </w:pPr>
            <w:hyperlink w:anchor="page68">
              <w:r>
                <w:rPr>
                  <w:rFonts w:ascii="Arial" w:cs="Arial" w:eastAsia="Arial" w:hAnsi="Arial"/>
                  <w:sz w:val="14"/>
                  <w:szCs w:val="14"/>
                  <w:color w:val="0000EE"/>
                  <w:w w:val="91"/>
                </w:rPr>
                <w:t>CONTROL PERSONS AND PRINCIPAL STOCKHOLDERS</w:t>
              </w:r>
            </w:hyperlink>
          </w:p>
        </w:tc>
        <w:tc>
          <w:tcPr>
            <w:tcW w:w="7380" w:type="dxa"/>
            <w:vAlign w:val="bottom"/>
            <w:gridSpan w:val="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63</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CERTAIN RELATIONSHIPS AND TRANSACTIONS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65</w:t>
            </w:r>
          </w:p>
        </w:tc>
      </w:tr>
      <w:tr>
        <w:trPr>
          <w:trHeight w:val="196"/>
        </w:trPr>
        <w:tc>
          <w:tcPr>
            <w:tcW w:w="2540" w:type="dxa"/>
            <w:vAlign w:val="bottom"/>
            <w:tcBorders>
              <w:top w:val="single" w:sz="8" w:color="0000EE"/>
              <w:bottom w:val="single" w:sz="8" w:color="0000EE"/>
            </w:tcBorders>
            <w:gridSpan w:val="20"/>
          </w:tcPr>
          <w:p>
            <w:pPr>
              <w:spacing w:after="0"/>
              <w:rPr>
                <w:rFonts w:ascii="Arial" w:cs="Arial" w:eastAsia="Arial" w:hAnsi="Arial"/>
                <w:sz w:val="14"/>
                <w:szCs w:val="14"/>
                <w:color w:val="0000EE"/>
                <w:w w:val="93"/>
              </w:rPr>
            </w:pPr>
            <w:hyperlink w:anchor="page75">
              <w:r>
                <w:rPr>
                  <w:rFonts w:ascii="Arial" w:cs="Arial" w:eastAsia="Arial" w:hAnsi="Arial"/>
                  <w:sz w:val="14"/>
                  <w:szCs w:val="14"/>
                  <w:color w:val="0000EE"/>
                  <w:w w:val="93"/>
                </w:rPr>
                <w:t>DETERMINATION OF NET ASSET VALUE</w:t>
              </w:r>
            </w:hyperlink>
          </w:p>
        </w:tc>
        <w:tc>
          <w:tcPr>
            <w:tcW w:w="480" w:type="dxa"/>
            <w:vAlign w:val="bottom"/>
            <w:tcBorders>
              <w:top w:val="single" w:sz="8" w:color="0000EE"/>
            </w:tcBorders>
            <w:gridSpan w:val="5"/>
          </w:tcPr>
          <w:p>
            <w:pPr>
              <w:spacing w:after="0"/>
              <w:rPr>
                <w:sz w:val="17"/>
                <w:szCs w:val="17"/>
                <w:color w:val="auto"/>
              </w:rPr>
            </w:pPr>
          </w:p>
        </w:tc>
        <w:tc>
          <w:tcPr>
            <w:tcW w:w="7780" w:type="dxa"/>
            <w:vAlign w:val="bottom"/>
            <w:gridSpan w:val="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77">
              <w:r>
                <w:rPr>
                  <w:rFonts w:ascii="Arial" w:cs="Arial" w:eastAsia="Arial" w:hAnsi="Arial"/>
                  <w:sz w:val="14"/>
                  <w:szCs w:val="14"/>
                  <w:color w:val="0000EE"/>
                </w:rPr>
                <w:t>DIVIDEND REINVESTMENT PLAN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72</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9"/>
          </w:tcPr>
          <w:p>
            <w:pPr>
              <w:spacing w:after="0"/>
              <w:rPr>
                <w:rFonts w:ascii="Arial" w:cs="Arial" w:eastAsia="Arial" w:hAnsi="Arial"/>
                <w:sz w:val="14"/>
                <w:szCs w:val="14"/>
                <w:color w:val="0000EE"/>
                <w:w w:val="91"/>
              </w:rPr>
            </w:pPr>
            <w:hyperlink w:anchor="page78">
              <w:r>
                <w:rPr>
                  <w:rFonts w:ascii="Arial" w:cs="Arial" w:eastAsia="Arial" w:hAnsi="Arial"/>
                  <w:sz w:val="14"/>
                  <w:szCs w:val="14"/>
                  <w:color w:val="0000EE"/>
                  <w:w w:val="91"/>
                </w:rPr>
                <w:t>DESCRIPTION OF OUR CAPITAL STOCK</w:t>
              </w:r>
            </w:hyperlink>
          </w:p>
        </w:tc>
        <w:tc>
          <w:tcPr>
            <w:tcW w:w="8320" w:type="dxa"/>
            <w:vAlign w:val="bottom"/>
            <w:gridSpan w:val="1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73</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DESCRIPTION OF OUR PREFERRED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77</w:t>
            </w:r>
          </w:p>
        </w:tc>
      </w:tr>
      <w:tr>
        <w:trPr>
          <w:trHeight w:val="196"/>
        </w:trPr>
        <w:tc>
          <w:tcPr>
            <w:tcW w:w="2680" w:type="dxa"/>
            <w:vAlign w:val="bottom"/>
            <w:tcBorders>
              <w:top w:val="single" w:sz="8" w:color="0000EE"/>
            </w:tcBorders>
            <w:gridSpan w:val="23"/>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DESCRIPTION OF OUR WARRANTS</w:t>
              </w:r>
            </w:hyperlink>
          </w:p>
        </w:tc>
        <w:tc>
          <w:tcPr>
            <w:tcW w:w="8120" w:type="dxa"/>
            <w:vAlign w:val="bottom"/>
            <w:gridSpan w:val="1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78</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84">
              <w:r>
                <w:rPr>
                  <w:rFonts w:ascii="Arial" w:cs="Arial" w:eastAsia="Arial" w:hAnsi="Arial"/>
                  <w:sz w:val="14"/>
                  <w:szCs w:val="14"/>
                  <w:color w:val="0000EE"/>
                </w:rPr>
                <w:t>DESCRIPTION OF OUR SUBSCRIPTION RIGHTS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79</w:t>
            </w:r>
          </w:p>
        </w:tc>
      </w:tr>
      <w:tr>
        <w:trPr>
          <w:trHeight w:val="196"/>
        </w:trPr>
        <w:tc>
          <w:tcPr>
            <w:tcW w:w="2600" w:type="dxa"/>
            <w:vAlign w:val="bottom"/>
            <w:tcBorders>
              <w:top w:val="single" w:sz="8" w:color="0000EE"/>
              <w:bottom w:val="single" w:sz="8" w:color="0000EE"/>
            </w:tcBorders>
            <w:gridSpan w:val="21"/>
          </w:tcPr>
          <w:p>
            <w:pPr>
              <w:spacing w:after="0"/>
              <w:rPr>
                <w:rFonts w:ascii="Arial" w:cs="Arial" w:eastAsia="Arial" w:hAnsi="Arial"/>
                <w:sz w:val="14"/>
                <w:szCs w:val="14"/>
                <w:color w:val="0000EE"/>
                <w:w w:val="91"/>
              </w:rPr>
            </w:pPr>
            <w:hyperlink w:anchor="page85">
              <w:r>
                <w:rPr>
                  <w:rFonts w:ascii="Arial" w:cs="Arial" w:eastAsia="Arial" w:hAnsi="Arial"/>
                  <w:sz w:val="14"/>
                  <w:szCs w:val="14"/>
                  <w:color w:val="0000EE"/>
                  <w:w w:val="91"/>
                </w:rPr>
                <w:t>DESCRIPTION OF OUR DEBT SECURITIES</w:t>
              </w:r>
            </w:hyperlink>
          </w:p>
        </w:tc>
        <w:tc>
          <w:tcPr>
            <w:tcW w:w="320" w:type="dxa"/>
            <w:vAlign w:val="bottom"/>
            <w:tcBorders>
              <w:top w:val="single" w:sz="8" w:color="0000EE"/>
            </w:tcBorders>
            <w:gridSpan w:val="3"/>
          </w:tcPr>
          <w:p>
            <w:pPr>
              <w:spacing w:after="0"/>
              <w:rPr>
                <w:sz w:val="17"/>
                <w:szCs w:val="17"/>
                <w:color w:val="auto"/>
              </w:rPr>
            </w:pPr>
          </w:p>
        </w:tc>
        <w:tc>
          <w:tcPr>
            <w:tcW w:w="7880" w:type="dxa"/>
            <w:vAlign w:val="bottom"/>
            <w:gridSpan w:val="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REGULATION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90</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99">
              <w:r>
                <w:rPr>
                  <w:rFonts w:ascii="Arial" w:cs="Arial" w:eastAsia="Arial" w:hAnsi="Arial"/>
                  <w:sz w:val="14"/>
                  <w:szCs w:val="14"/>
                  <w:color w:val="0000EE"/>
                </w:rPr>
                <w:t>BROKERAGE ALLOCATIONS AND OTHER PRACTICES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94</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tcBorders>
              <w:right w:val="single" w:sz="8" w:color="0000EE"/>
            </w:tcBorders>
            <w:gridSpan w:val="1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0">
              <w:r>
                <w:rPr>
                  <w:rFonts w:ascii="Arial" w:cs="Arial" w:eastAsia="Arial" w:hAnsi="Arial"/>
                  <w:sz w:val="14"/>
                  <w:szCs w:val="14"/>
                  <w:color w:val="0000EE"/>
                </w:rPr>
                <w:t>MATERIAL U.S. FEDERAL INCOME TAX CONSIDERATIONS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95</w:t>
            </w:r>
          </w:p>
        </w:tc>
      </w:tr>
      <w:tr>
        <w:trPr>
          <w:trHeight w:val="196"/>
        </w:trPr>
        <w:tc>
          <w:tcPr>
            <w:tcW w:w="3660" w:type="dxa"/>
            <w:vAlign w:val="bottom"/>
            <w:tcBorders>
              <w:top w:val="single" w:sz="8" w:color="0000EE"/>
            </w:tcBorders>
            <w:gridSpan w:val="30"/>
          </w:tcPr>
          <w:p>
            <w:pPr>
              <w:spacing w:after="0"/>
              <w:rPr>
                <w:rFonts w:ascii="Arial" w:cs="Arial" w:eastAsia="Arial" w:hAnsi="Arial"/>
                <w:sz w:val="14"/>
                <w:szCs w:val="14"/>
                <w:color w:val="0000EE"/>
              </w:rPr>
            </w:pPr>
            <w:hyperlink w:anchor="page104">
              <w:r>
                <w:rPr>
                  <w:rFonts w:ascii="Arial" w:cs="Arial" w:eastAsia="Arial" w:hAnsi="Arial"/>
                  <w:sz w:val="14"/>
                  <w:szCs w:val="14"/>
                  <w:color w:val="0000EE"/>
                </w:rPr>
                <w:t>PLAN OF DISTRIBUTION</w:t>
              </w:r>
            </w:hyperlink>
          </w:p>
        </w:tc>
        <w:tc>
          <w:tcPr>
            <w:tcW w:w="7140" w:type="dxa"/>
            <w:vAlign w:val="bottom"/>
            <w:gridSpan w:val="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99</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SUB-ADMINISTRATOR, CUSTODIAN, TRANSFER AGENT AND TRUSTEE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196"/>
        </w:trPr>
        <w:tc>
          <w:tcPr>
            <w:tcW w:w="110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3"/>
              </w:rPr>
            </w:pPr>
            <w:hyperlink w:anchor="page105">
              <w:r>
                <w:rPr>
                  <w:rFonts w:ascii="Arial" w:cs="Arial" w:eastAsia="Arial" w:hAnsi="Arial"/>
                  <w:sz w:val="14"/>
                  <w:szCs w:val="14"/>
                  <w:color w:val="0000EE"/>
                  <w:w w:val="93"/>
                </w:rPr>
                <w:t>LEGAL MATTERS</w:t>
              </w:r>
            </w:hyperlink>
          </w:p>
        </w:tc>
        <w:tc>
          <w:tcPr>
            <w:tcW w:w="3360" w:type="dxa"/>
            <w:vAlign w:val="bottom"/>
            <w:tcBorders>
              <w:top w:val="single" w:sz="8" w:color="0000EE"/>
            </w:tcBorders>
            <w:gridSpan w:val="25"/>
          </w:tcPr>
          <w:p>
            <w:pPr>
              <w:spacing w:after="0"/>
              <w:rPr>
                <w:sz w:val="17"/>
                <w:szCs w:val="17"/>
                <w:color w:val="auto"/>
              </w:rPr>
            </w:pPr>
          </w:p>
        </w:tc>
        <w:tc>
          <w:tcPr>
            <w:tcW w:w="6340" w:type="dxa"/>
            <w:vAlign w:val="bottom"/>
            <w:gridSpan w:val="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INDEPENDENT REGISTERED PUBLIC ACCOUNTING FIRM</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196"/>
        </w:trPr>
        <w:tc>
          <w:tcPr>
            <w:tcW w:w="3600" w:type="dxa"/>
            <w:vAlign w:val="bottom"/>
            <w:tcBorders>
              <w:top w:val="single" w:sz="8" w:color="0000EE"/>
            </w:tcBorders>
            <w:gridSpan w:val="29"/>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INDEX TO CONSOLIDATED FINANCIAL STATEMENTS</w:t>
              </w:r>
            </w:hyperlink>
          </w:p>
        </w:tc>
        <w:tc>
          <w:tcPr>
            <w:tcW w:w="7200" w:type="dxa"/>
            <w:vAlign w:val="bottom"/>
            <w:gridSpan w:val="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F-1</w:t>
            </w:r>
          </w:p>
        </w:tc>
      </w:tr>
      <w:tr>
        <w:trPr>
          <w:trHeight w:val="196"/>
        </w:trPr>
        <w:tc>
          <w:tcPr>
            <w:tcW w:w="3360" w:type="dxa"/>
            <w:vAlign w:val="bottom"/>
            <w:tcBorders>
              <w:top w:val="single" w:sz="8" w:color="0000EE"/>
            </w:tcBorders>
            <w:gridSpan w:val="26"/>
          </w:tcPr>
          <w:p>
            <w:pPr>
              <w:spacing w:after="0"/>
              <w:rPr>
                <w:rFonts w:ascii="Arial" w:cs="Arial" w:eastAsia="Arial" w:hAnsi="Arial"/>
                <w:sz w:val="14"/>
                <w:szCs w:val="14"/>
                <w:color w:val="0000EE"/>
              </w:rPr>
            </w:pPr>
            <w:hyperlink w:anchor="page151">
              <w:r>
                <w:rPr>
                  <w:rFonts w:ascii="Arial" w:cs="Arial" w:eastAsia="Arial" w:hAnsi="Arial"/>
                  <w:sz w:val="14"/>
                  <w:szCs w:val="14"/>
                  <w:color w:val="0000EE"/>
                </w:rPr>
                <w:t>PART C OTHER INFORMATION</w:t>
              </w:r>
            </w:hyperlink>
          </w:p>
        </w:tc>
        <w:tc>
          <w:tcPr>
            <w:tcW w:w="7440" w:type="dxa"/>
            <w:vAlign w:val="bottom"/>
            <w:gridSpan w:val="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w:t>
            </w:r>
          </w:p>
        </w:tc>
      </w:tr>
      <w:tr>
        <w:trPr>
          <w:trHeight w:val="196"/>
        </w:trPr>
        <w:tc>
          <w:tcPr>
            <w:tcW w:w="8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161">
              <w:r>
                <w:rPr>
                  <w:rFonts w:ascii="Arial" w:cs="Arial" w:eastAsia="Arial" w:hAnsi="Arial"/>
                  <w:sz w:val="14"/>
                  <w:szCs w:val="14"/>
                  <w:color w:val="0000EE"/>
                  <w:w w:val="90"/>
                </w:rPr>
                <w:t>SIGNATURES</w:t>
              </w:r>
            </w:hyperlink>
          </w:p>
        </w:tc>
        <w:tc>
          <w:tcPr>
            <w:tcW w:w="1040" w:type="dxa"/>
            <w:vAlign w:val="bottom"/>
            <w:tcBorders>
              <w:top w:val="single" w:sz="8" w:color="0000EE"/>
            </w:tcBorders>
            <w:gridSpan w:val="11"/>
          </w:tcPr>
          <w:p>
            <w:pPr>
              <w:spacing w:after="0"/>
              <w:rPr>
                <w:sz w:val="17"/>
                <w:szCs w:val="17"/>
                <w:color w:val="auto"/>
              </w:rPr>
            </w:pPr>
          </w:p>
        </w:tc>
        <w:tc>
          <w:tcPr>
            <w:tcW w:w="8900" w:type="dxa"/>
            <w:vAlign w:val="bottom"/>
            <w:gridSpan w:val="2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C-11</w:t>
            </w: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THIS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prospectus is part of a registration statement that we have filed with the SEC using the “shelf” registration process. Under the shelf registration process, we may offer from time to time up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$150,000,000 of our common stock, preferred stock, warrants representing rights to purchase shares of our common stock, preferred stock or debt securities, subscription rights, or debt securities, on the terms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be determined at the time of the offering. We may sell our securities through underwriters or dealers, “at-the-market” to or through a market maker, into an existing trading market or otherwise directly to one 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more purchasers or through agents or through a combination of methods of sale. The identities of such underwriters, dealers, market makers or agents, as the case may be, will be described in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supplements to this prospectus. The securities may be offered at prices and on terms described in one or more supplements to this prospectus. This prospectus provides you with a general description of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securities that we may offer. The information contained in this prospectus is accurate only as of the date on the front of this prospectus and our business, financial condition, results of operations and prospectus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may have changed since that date. Each time we use this prospectus to offer securities, we will provide a prospectus supplement that will contain specific information about the terms of that offering.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prospectus supplement may also add, update or change information contained in this prospectus. Please carefully read this prospectus and any prospectus supplement, together with any exhibits, before you make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 investment decision.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34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343471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PROSPECTUS SUMMARY</w:t>
      </w:r>
    </w:p>
    <w:p>
      <w:pPr>
        <w:spacing w:after="0" w:line="2"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71" w:lineRule="exact"/>
        <w:rPr>
          <w:sz w:val="20"/>
          <w:szCs w:val="20"/>
          <w:color w:val="auto"/>
        </w:rPr>
      </w:pPr>
    </w:p>
    <w:p>
      <w:pPr>
        <w:ind w:left="200" w:right="280" w:firstLine="443"/>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or the Credit Facility, proceeds from the rotation of our portfolio and proceeds from public and private offerings of securities to finance our investment objectives.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48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21482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left="200" w:right="80" w:firstLine="443"/>
        <w:spacing w:after="0" w:line="233"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23"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83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39833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200" w:firstLine="443"/>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2"/>
          <w:szCs w:val="12"/>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We believe this has resulted in a less competitive environment for making new investments. See “Risk Factors — Risks Relating to our Business and Structure — We operate in a highly competitive market for investment opportunities” for more information.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2"/>
          <w:szCs w:val="12"/>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 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 – Liquidity and Capital Resources” for more information.</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and Regulatory Structure</w:t>
      </w:r>
    </w:p>
    <w:p>
      <w:pPr>
        <w:spacing w:after="0" w:line="15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1" w:lineRule="exact"/>
        <w:rPr>
          <w:sz w:val="20"/>
          <w:szCs w:val="20"/>
          <w:color w:val="auto"/>
        </w:rPr>
      </w:pPr>
    </w:p>
    <w:p>
      <w:pPr>
        <w:ind w:left="200" w:right="160" w:firstLine="443"/>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57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8577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right="180" w:firstLine="443"/>
        <w:spacing w:after="0" w:line="239"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See “Regulation”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200" w:right="20" w:firstLine="443"/>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the corresponding interest rate charged on such borrowings and the length of time that it may take us to invest any proceeds in new or existing portfolio companies.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left="200" w:right="560" w:firstLine="443"/>
        <w:spacing w:after="0" w:line="239" w:lineRule="auto"/>
        <w:rPr>
          <w:sz w:val="20"/>
          <w:szCs w:val="20"/>
          <w:color w:val="auto"/>
        </w:rPr>
      </w:pPr>
      <w:r>
        <w:rPr>
          <w:rFonts w:ascii="Arial" w:cs="Arial" w:eastAsia="Arial" w:hAnsi="Arial"/>
          <w:sz w:val="14"/>
          <w:szCs w:val="14"/>
          <w:color w:val="auto"/>
        </w:rPr>
        <w:t>We intend to continue to distribute monthly dividends to our common stockholders. Our monthly dividends, if any, are determined by our board of directors. See “Distributions”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left="200" w:right="60" w:firstLine="443"/>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left="200" w:right="20" w:firstLine="443"/>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 of Distribution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may offer, from time to time, up to $150 million of our securities, on terms to be determined at the time of each such offering and set forth in a supplement to this prospectus.</w:t>
      </w:r>
    </w:p>
    <w:p>
      <w:pPr>
        <w:spacing w:after="0" w:line="173" w:lineRule="exact"/>
        <w:rPr>
          <w:sz w:val="20"/>
          <w:szCs w:val="20"/>
          <w:color w:val="auto"/>
        </w:rPr>
      </w:pPr>
    </w:p>
    <w:p>
      <w:pPr>
        <w:ind w:left="200" w:firstLine="443"/>
        <w:spacing w:after="0" w:line="270" w:lineRule="auto"/>
        <w:rPr>
          <w:sz w:val="20"/>
          <w:szCs w:val="20"/>
          <w:color w:val="auto"/>
        </w:rPr>
      </w:pPr>
      <w:r>
        <w:rPr>
          <w:rFonts w:ascii="Arial" w:cs="Arial" w:eastAsia="Arial" w:hAnsi="Arial"/>
          <w:sz w:val="12"/>
          <w:szCs w:val="12"/>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2" w:lineRule="exact"/>
        <w:rPr>
          <w:sz w:val="20"/>
          <w:szCs w:val="20"/>
          <w:color w:val="auto"/>
        </w:rPr>
      </w:pPr>
    </w:p>
    <w:p>
      <w:pPr>
        <w:ind w:left="200" w:right="220" w:firstLine="443"/>
        <w:spacing w:after="0" w:line="239" w:lineRule="auto"/>
        <w:rPr>
          <w:sz w:val="20"/>
          <w:szCs w:val="20"/>
          <w:color w:val="auto"/>
        </w:rPr>
      </w:pPr>
      <w:r>
        <w:rPr>
          <w:rFonts w:ascii="Arial" w:cs="Arial" w:eastAsia="Arial" w:hAnsi="Arial"/>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material that we file with the SEC on the EDGAR Database.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FEES AND EXPENSES</w:t>
      </w:r>
    </w:p>
    <w:p>
      <w:pPr>
        <w:spacing w:after="0" w:line="152"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color w:val="auto"/>
          <w:vertAlign w:val="superscript"/>
        </w:rPr>
        <w:t>(3)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payments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1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14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1.45 %</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0.31 %</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1.45 %</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2.17 %</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-17145</wp:posOffset>
            </wp:positionV>
            <wp:extent cx="4375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5.28 %</w:t>
      </w:r>
      <w:r>
        <w:rPr>
          <w:rFonts w:ascii="Arial" w:cs="Arial" w:eastAsia="Arial" w:hAnsi="Arial"/>
          <w:sz w:val="17"/>
          <w:szCs w:val="17"/>
          <w:color w:val="auto"/>
          <w:vertAlign w:val="superscript"/>
        </w:rPr>
        <w:t>(8)</w:t>
      </w:r>
    </w:p>
    <w:p>
      <w:pPr>
        <w:spacing w:after="0" w:line="200" w:lineRule="exact"/>
        <w:rPr>
          <w:sz w:val="20"/>
          <w:szCs w:val="20"/>
          <w:color w:val="auto"/>
        </w:rPr>
      </w:pPr>
    </w:p>
    <w:p>
      <w:pPr>
        <w:sectPr>
          <w:pgSz w:w="11900" w:h="16838" w:orient="portrait"/>
          <w:cols w:equalWidth="0" w:num="2">
            <w:col w:w="10040" w:space="720"/>
            <w:col w:w="660"/>
          </w:cols>
          <w:pgMar w:left="240" w:top="459" w:right="239" w:bottom="1440" w:gutter="0" w:footer="0" w:header="0"/>
          <w:type w:val="continuous"/>
        </w:sectPr>
      </w:pPr>
    </w:p>
    <w:p>
      <w:pPr>
        <w:spacing w:after="0" w:line="4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March 31, 2012.</w:t>
      </w:r>
    </w:p>
    <w:p>
      <w:pPr>
        <w:spacing w:after="0" w:line="68" w:lineRule="exact"/>
        <w:rPr>
          <w:rFonts w:ascii="Arial" w:cs="Arial" w:eastAsia="Arial" w:hAnsi="Arial"/>
          <w:sz w:val="14"/>
          <w:szCs w:val="14"/>
          <w:color w:val="auto"/>
        </w:rPr>
      </w:pPr>
    </w:p>
    <w:p>
      <w:pPr>
        <w:ind w:left="580" w:right="4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March 31, 2012.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hanging="572"/>
        <w:spacing w:after="0" w:line="264"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2012, our unrealized capital gains exceeded our cumulative realized and unrealized capital losses and we accrued a capital gains incentive fee of $0.1 million in accordance with U.S. generally accepted accounting principles, or GAAP. However, “Incentive fees payable under the Investment Management Agreement” includes an accrual for capital gains incentive fee for the three months ended March 31, 2012 even though no capital gains incentive fee was payable under our Investment Management Agreement as of March 31, 2012. As we cannot predict our future net investment income or capital gains, the incentive fee paid in future periods, if any, may be substantially different than the fee earned during the three months ended March 31, 2012, and we cannot assure you that we will recognize capital gains for the calendar year ending December 31, 2012 in amounts consistent with the accrual for the same period.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hanging="572"/>
        <w:spacing w:after="0" w:line="228"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March 31, 2012, we had $47.8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580" w:right="20" w:hanging="572"/>
        <w:spacing w:after="0" w:line="28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580" w:hanging="572"/>
        <w:spacing w:after="0" w:line="230"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29 of this 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71"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3.22% sales load (underwriting discounts and commissions) and offering expenses totaling 0.32%, (2) total net annual expenses of 5.07%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rPr>
              <w:t>1 Year</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3 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10 Years</w:t>
            </w:r>
          </w:p>
        </w:tc>
      </w:tr>
      <w:tr>
        <w:trPr>
          <w:trHeight w:val="142"/>
        </w:trPr>
        <w:tc>
          <w:tcPr>
            <w:tcW w:w="4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expenses incurred</w:t>
            </w:r>
          </w:p>
        </w:tc>
        <w:tc>
          <w:tcPr>
            <w:tcW w:w="1100" w:type="dxa"/>
            <w:vAlign w:val="bottom"/>
            <w:tcBorders>
              <w:top w:val="single" w:sz="8" w:color="auto"/>
            </w:tcBorders>
            <w:shd w:val="clear" w:color="auto" w:fill="CCEEFF"/>
          </w:tcPr>
          <w:p>
            <w:pPr>
              <w:jc w:val="right"/>
              <w:ind w:right="932"/>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84</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182</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279</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w:t>
            </w:r>
          </w:p>
        </w:tc>
        <w:tc>
          <w:tcPr>
            <w:tcW w:w="80" w:type="dxa"/>
            <w:vAlign w:val="bottom"/>
            <w:tcBorders>
              <w:top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52" w:lineRule="exact"/>
        <w:rPr>
          <w:sz w:val="20"/>
          <w:szCs w:val="20"/>
          <w:color w:val="auto"/>
        </w:rPr>
      </w:pPr>
    </w:p>
    <w:p>
      <w:pPr>
        <w:ind w:right="160"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a new company with a limited operating history.</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were incorporated in October 2010 and commenced operations in March 2011. We are subject to all of the business risks and uncertainties associated with any new business, including the risk that we will not achieve our investment objective and that the value of your investment could decline substantially.</w:t>
      </w:r>
    </w:p>
    <w:p>
      <w:pPr>
        <w:spacing w:after="0" w:line="56" w:lineRule="exact"/>
        <w:rPr>
          <w:sz w:val="20"/>
          <w:szCs w:val="20"/>
          <w:color w:val="auto"/>
        </w:rPr>
      </w:pPr>
    </w:p>
    <w:p>
      <w:pPr>
        <w:ind w:right="360" w:firstLine="342"/>
        <w:spacing w:after="0" w:line="321" w:lineRule="auto"/>
        <w:rPr>
          <w:sz w:val="20"/>
          <w:szCs w:val="20"/>
          <w:color w:val="auto"/>
        </w:rPr>
      </w:pPr>
      <w:r>
        <w:rPr>
          <w:rFonts w:ascii="Arial" w:cs="Arial" w:eastAsia="Arial" w:hAnsi="Arial"/>
          <w:sz w:val="12"/>
          <w:szCs w:val="12"/>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1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Volatility or a prolonged disruption in the credit markets could materially damage our business.</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applicable regulations, such that our asset coverage, as defined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BDC and materially impair our business operations. A protracted disruption in the credit markets could also materially decrease demand for our investments.</w:t>
      </w:r>
    </w:p>
    <w:p>
      <w:pPr>
        <w:spacing w:after="0" w:line="12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used. A prolonged inability to raise capital may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unrealized losses we experience on our investment portfolio may be an indication of future realized losses, which could reduce our income available for distribution.</w:t>
      </w:r>
    </w:p>
    <w:p>
      <w:pPr>
        <w:spacing w:after="0" w:line="71"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incur credit risk when we loan money or commit to loan money to a portfolio company.</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39"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Following periods of volatility in the market price of a company’s securities, securities class action litigation has often been brought against that company.</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borrowers may default on their payments, which may have a materially negative effect on our financial performance.</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invest in Floating Rate Loans,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206" w:lineRule="exact"/>
        <w:rPr>
          <w:sz w:val="20"/>
          <w:szCs w:val="20"/>
          <w:color w:val="auto"/>
        </w:rPr>
      </w:pPr>
    </w:p>
    <w:p>
      <w:pPr>
        <w:ind w:right="360"/>
        <w:spacing w:after="0" w:line="241" w:lineRule="auto"/>
        <w:rPr>
          <w:sz w:val="20"/>
          <w:szCs w:val="20"/>
          <w:color w:val="auto"/>
        </w:rPr>
      </w:pPr>
      <w:r>
        <w:rPr>
          <w:rFonts w:ascii="Arial" w:cs="Arial" w:eastAsia="Arial" w:hAnsi="Arial"/>
          <w:sz w:val="14"/>
          <w:szCs w:val="14"/>
          <w:b w:val="1"/>
          <w:b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right="280" w:firstLine="456"/>
        <w:spacing w:after="0" w:line="273" w:lineRule="auto"/>
        <w:rPr>
          <w:sz w:val="20"/>
          <w:szCs w:val="20"/>
          <w:color w:val="auto"/>
        </w:rPr>
      </w:pPr>
      <w:r>
        <w:rPr>
          <w:rFonts w:ascii="Arial" w:cs="Arial" w:eastAsia="Arial" w:hAnsi="Arial"/>
          <w:sz w:val="12"/>
          <w:szCs w:val="12"/>
          <w:color w:val="auto"/>
        </w:rPr>
        <w:t>We depend on the diligence, skill and network of business contacts of the investment professionals of the Investment Adviser. We also depend, to a significant extent, on PennantPark Investment Advisers’ access to the investment information and deal flow generated by these investment professionals and any others that may be hired by the Investment Adviser. Managers of the Investment Adviser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financial condition and results of operation depends on our ability to manage future growth effectively.</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Our ability to achieve our investment objectives depend on our ability to grow, which depends, in turn, on the Investment Adviser’s ability to identify, invest in and monitor companies that meet our investment criteria. Accomplishing this result on a cost-effective basis is largely a function of the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operate in a highly competitive market for investment opportunities.</w:t>
      </w:r>
    </w:p>
    <w:p>
      <w:pPr>
        <w:spacing w:after="0" w:line="71"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replicate the historical performance of other investment companies with which our investment professionals have been affiliated.</w:t>
      </w:r>
    </w:p>
    <w:p>
      <w:pPr>
        <w:spacing w:after="0" w:line="71"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failure on our part to maintain our status as a business development company would reduce our operating flexibility.</w:t>
      </w:r>
    </w:p>
    <w:p>
      <w:pPr>
        <w:spacing w:after="0" w:line="71"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We have elected to be treated as a BDC. 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of RIC tax status would substantially reduce net assets and income available for debt service and dividends.</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have operated and intend to operate so as to qualify as a RIC under Subchapter M of the Code commencing with our first taxable year.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shareholders in the next year equal to 4% of the undistributed amount.</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have difficulty paying our required distributions if we recognize income before or without receiving cash representing such income.</w:t>
      </w:r>
    </w:p>
    <w:p>
      <w:pPr>
        <w:spacing w:after="0" w:line="71" w:lineRule="exact"/>
        <w:rPr>
          <w:sz w:val="20"/>
          <w:szCs w:val="20"/>
          <w:color w:val="auto"/>
        </w:rPr>
      </w:pPr>
    </w:p>
    <w:p>
      <w:pPr>
        <w:jc w:val="both"/>
        <w:ind w:right="160" w:firstLine="456"/>
        <w:spacing w:after="0" w:line="230"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original issue discount, or OID,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39" w:lineRule="exact"/>
        <w:rPr>
          <w:sz w:val="20"/>
          <w:szCs w:val="20"/>
          <w:color w:val="auto"/>
        </w:rPr>
      </w:pPr>
    </w:p>
    <w:p>
      <w:pPr>
        <w:ind w:right="300" w:firstLine="456"/>
        <w:spacing w:after="0" w:line="318"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7"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an entity-level tax on us.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governing our operation as a BDC will affect our ability to, and the way in which we, raise additional capital.</w:t>
      </w:r>
    </w:p>
    <w:p>
      <w:pPr>
        <w:spacing w:after="0" w:line="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42" w:lineRule="exact"/>
        <w:rPr>
          <w:sz w:val="20"/>
          <w:szCs w:val="20"/>
          <w:color w:val="auto"/>
        </w:rPr>
      </w:pPr>
    </w:p>
    <w:p>
      <w:pPr>
        <w:ind w:left="540" w:right="200" w:hanging="316"/>
        <w:spacing w:after="0" w:line="228"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would also be exposed to typical risks associated with leverage, including an increased risk of loss. If we issue preferred securities, they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59" w:lineRule="exact"/>
        <w:rPr>
          <w:rFonts w:ascii="Arial" w:cs="Arial" w:eastAsia="Arial" w:hAnsi="Arial"/>
          <w:sz w:val="14"/>
          <w:szCs w:val="14"/>
          <w:color w:val="auto"/>
        </w:rPr>
      </w:pPr>
    </w:p>
    <w:p>
      <w:pPr>
        <w:ind w:left="540" w:hanging="316"/>
        <w:spacing w:after="0" w:line="270"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 not 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0" w:lineRule="exact"/>
        <w:rPr>
          <w:rFonts w:ascii="Arial" w:cs="Arial" w:eastAsia="Arial" w:hAnsi="Arial"/>
          <w:sz w:val="12"/>
          <w:szCs w:val="12"/>
          <w:color w:val="auto"/>
        </w:rPr>
      </w:pPr>
    </w:p>
    <w:p>
      <w:pPr>
        <w:ind w:left="540" w:right="40" w:hanging="316"/>
        <w:spacing w:after="0" w:line="263"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 funding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currently use borrowed funds to make investments and are exposed to the typical risks associated with leverage.</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3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I may fail to meet certain asset coverage tests, which would have an adverse effect on the timing of payments to us, or otherwise fail to satisfy various covenants.</w:t>
      </w:r>
    </w:p>
    <w:p>
      <w:pPr>
        <w:spacing w:after="0" w:line="71"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7"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0"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maintain a minimum amount of shareholder’s equity;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5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Material net asset devaluation resulting from under performance or defaults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incur additional debt, it could increase the risk of investing in our shares.</w:t>
      </w:r>
    </w:p>
    <w:p>
      <w:pPr>
        <w:spacing w:after="0" w:line="71" w:lineRule="exact"/>
        <w:rPr>
          <w:sz w:val="20"/>
          <w:szCs w:val="20"/>
          <w:color w:val="auto"/>
        </w:rPr>
      </w:pPr>
    </w:p>
    <w:p>
      <w:pPr>
        <w:ind w:right="40" w:firstLine="456"/>
        <w:spacing w:after="0" w:line="226" w:lineRule="auto"/>
        <w:rPr>
          <w:sz w:val="20"/>
          <w:szCs w:val="20"/>
          <w:color w:val="auto"/>
        </w:rPr>
      </w:pPr>
      <w:r>
        <w:rPr>
          <w:rFonts w:ascii="Arial" w:cs="Arial" w:eastAsia="Arial" w:hAnsi="Arial"/>
          <w:sz w:val="14"/>
          <w:szCs w:val="14"/>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As of March 31, 2012, we had outstanding borrowings of $47.8 million under our Credit Facility with a weighted average annual interest rate on of 2.54% exclusive of the fees on the undrawn commitment of 0.50%. Accordingly, to cover the annual interest on our borrowings outstanding at March 31, 2012, at the then current rate, we would have to receive an annual yield of at least 0.84%.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March 31, 2012 of 31% of total assets (including such borrowed funds), at a weighted average rate at the time of 2.54%,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22"/>
                <w:szCs w:val="22"/>
                <w:color w:val="auto"/>
                <w:vertAlign w:val="superscript"/>
              </w:rPr>
              <w:t>(1)</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93"/>
        </w:trPr>
        <w:tc>
          <w:tcPr>
            <w:tcW w:w="556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22"/>
                <w:szCs w:val="22"/>
                <w:color w:val="auto"/>
                <w:vertAlign w:val="superscript"/>
              </w:rPr>
              <w:t>(2)</w:t>
            </w:r>
          </w:p>
        </w:tc>
        <w:tc>
          <w:tcPr>
            <w:tcW w:w="3480" w:type="dxa"/>
            <w:vAlign w:val="bottom"/>
          </w:tcPr>
          <w:p>
            <w:pPr>
              <w:jc w:val="right"/>
              <w:ind w:right="72"/>
              <w:spacing w:after="0"/>
              <w:rPr>
                <w:sz w:val="20"/>
                <w:szCs w:val="20"/>
                <w:color w:val="auto"/>
              </w:rPr>
            </w:pPr>
            <w:r>
              <w:rPr>
                <w:rFonts w:ascii="Arial" w:cs="Arial" w:eastAsia="Arial" w:hAnsi="Arial"/>
                <w:sz w:val="14"/>
                <w:szCs w:val="14"/>
                <w:color w:val="auto"/>
              </w:rPr>
              <w:t>(16.9)%</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(9.1)%</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6.6%</w:t>
            </w:r>
          </w:p>
        </w:tc>
        <w:tc>
          <w:tcPr>
            <w:tcW w:w="520" w:type="dxa"/>
            <w:vAlign w:val="bottom"/>
          </w:tcPr>
          <w:p>
            <w:pPr>
              <w:jc w:val="right"/>
              <w:spacing w:after="0"/>
              <w:rPr>
                <w:sz w:val="20"/>
                <w:szCs w:val="20"/>
                <w:color w:val="auto"/>
              </w:rPr>
            </w:pPr>
            <w:r>
              <w:rPr>
                <w:rFonts w:ascii="Arial" w:cs="Arial" w:eastAsia="Arial" w:hAnsi="Arial"/>
                <w:sz w:val="14"/>
                <w:szCs w:val="14"/>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exposed to risks associated with changes in interest rates that may affect our cost of capital and net investment income.</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4"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on any variable-rate borrowings,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6" w:lineRule="exact"/>
        <w:rPr>
          <w:sz w:val="20"/>
          <w:szCs w:val="20"/>
          <w:color w:val="auto"/>
        </w:rPr>
      </w:pPr>
    </w:p>
    <w:p>
      <w:pPr>
        <w:ind w:right="600"/>
        <w:spacing w:after="0" w:line="241" w:lineRule="auto"/>
        <w:rPr>
          <w:sz w:val="20"/>
          <w:szCs w:val="20"/>
          <w:color w:val="auto"/>
        </w:rPr>
      </w:pPr>
      <w:r>
        <w:rPr>
          <w:rFonts w:ascii="Arial" w:cs="Arial" w:eastAsia="Arial" w:hAnsi="Arial"/>
          <w:sz w:val="14"/>
          <w:szCs w:val="14"/>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57"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19" w:lineRule="exact"/>
        <w:rPr>
          <w:sz w:val="20"/>
          <w:szCs w:val="20"/>
          <w:color w:val="auto"/>
        </w:rPr>
      </w:pPr>
    </w:p>
    <w:p>
      <w:pPr>
        <w:ind w:right="660"/>
        <w:spacing w:after="0" w:line="241" w:lineRule="auto"/>
        <w:rPr>
          <w:sz w:val="20"/>
          <w:szCs w:val="20"/>
          <w:color w:val="auto"/>
        </w:rPr>
      </w:pPr>
      <w:r>
        <w:rPr>
          <w:rFonts w:ascii="Arial" w:cs="Arial" w:eastAsia="Arial" w:hAnsi="Arial"/>
          <w:sz w:val="14"/>
          <w:szCs w:val="14"/>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57"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interests in Funding I are subordinated.</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own 100% of the equity interests in Funding I. We consolidate Funding I in our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receive cash on our equity interests from Funding I.</w:t>
      </w:r>
    </w:p>
    <w:p>
      <w:pPr>
        <w:spacing w:after="0" w:line="71"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ability to sell investments held by Funding I is limited.</w:t>
      </w:r>
    </w:p>
    <w:p>
      <w:pPr>
        <w:spacing w:after="0" w:line="71"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The Credit Facility documents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issue preferred stock, debt securities or convertible debt securities the net asset value and market value of our common stock may become more volatile.</w:t>
      </w:r>
    </w:p>
    <w:p>
      <w:pPr>
        <w:spacing w:after="0" w:line="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3" w:lineRule="exact"/>
        <w:rPr>
          <w:sz w:val="20"/>
          <w:szCs w:val="20"/>
          <w:color w:val="auto"/>
        </w:rPr>
      </w:pPr>
    </w:p>
    <w:p>
      <w:pPr>
        <w:ind w:right="160" w:firstLine="456"/>
        <w:spacing w:after="0" w:line="227"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any preferred stock that we may issue will have the right to elect members of the board of directors and have class voting rights on certain matters.</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in the future issue securities for which there is no public market and for which we expect no public market to develop.</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are significant potential conflicts of interest which could impact our investment returns.</w:t>
      </w:r>
    </w:p>
    <w:p>
      <w:pPr>
        <w:spacing w:after="0" w:line="71"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The professionals of the Investment Adviser and Administrator serve as officers, directors or principals of entities that operate in the same or a related line of business as we do or of investment funds managed by affiliates of PennantPark Floating Rate Capital Ltd.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new affiliated funds are formed, our board of directors, adviser and administrator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PennantPark Investment Corporation, a publicly-traded BDC. Although the Investment Adviser endeavors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PennantPark Investment Corporation, and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4"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must reimburse this amount under certain circumstances.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2"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b w:val="1"/>
          <w:bCs w:val="1"/>
          <w:color w:val="auto"/>
        </w:rPr>
        <w:t>If we are required to repay in cash the amount paid to the underwriters of our initial public offering by the Investment Adviser, we may have to sell assets at a loss, and the amount that we have available for investment may be reduced, in order to pay the amount due.</w:t>
      </w:r>
    </w:p>
    <w:p>
      <w:pPr>
        <w:spacing w:after="0" w:line="57"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0" w:lineRule="exact"/>
        <w:rPr>
          <w:sz w:val="20"/>
          <w:szCs w:val="20"/>
          <w:color w:val="auto"/>
        </w:rPr>
      </w:pPr>
    </w:p>
    <w:p>
      <w:pPr>
        <w:ind w:right="400" w:firstLine="342"/>
        <w:spacing w:after="0" w:line="233" w:lineRule="auto"/>
        <w:rPr>
          <w:sz w:val="20"/>
          <w:szCs w:val="20"/>
          <w:color w:val="auto"/>
        </w:rPr>
      </w:pPr>
      <w:r>
        <w:rPr>
          <w:rFonts w:ascii="Arial" w:cs="Arial" w:eastAsia="Arial" w:hAnsi="Arial"/>
          <w:sz w:val="14"/>
          <w:szCs w:val="14"/>
          <w:color w:val="auto"/>
        </w:rPr>
        <w:t>If we are obligated to repay this amount to the Investment Adviser in cash while making distributions to our stockholders necessary to maintain our RIC status and/or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trading market or market value of any publicly issued debt securities may be volatile.</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58"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redemption or repayment features, if any,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There also may be a limited number of buyers for our debt securities. This too may materially adversely affect the market value of the debt securities or the trading market for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credit ratings may not reflect all risks of an investment in debt securities.</w:t>
      </w:r>
    </w:p>
    <w:p>
      <w:pPr>
        <w:spacing w:after="0" w:line="152"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relating to redemption may materially adversely affect the return on any debt securities.</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issue subscription rights or warrants for our common stock, your interest in us may be diluted as a result of such rights or warrants offering.</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experience fluctuations in our quarterly results.</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laws or regulations governing our operations may adversely affect our business.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any change in these laws or regulations could have a material adverse effect on our business. See “Regulation” for more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board of directors may change our investment objectives, operating policies and strategies without prior notice or stockholder approval.</w:t>
      </w:r>
    </w:p>
    <w:p>
      <w:pPr>
        <w:spacing w:after="0" w:line="7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Our board of directors have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69"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7"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We expect most of our investments may be recorded using broker/dealers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2"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We adjust the valuation of our portfolio quarterly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60" w:firstLine="456"/>
        <w:spacing w:after="0" w:line="270" w:lineRule="auto"/>
        <w:rPr>
          <w:sz w:val="20"/>
          <w:szCs w:val="20"/>
          <w:color w:val="auto"/>
        </w:rPr>
      </w:pPr>
      <w:r>
        <w:rPr>
          <w:rFonts w:ascii="Arial" w:cs="Arial" w:eastAsia="Arial" w:hAnsi="Arial"/>
          <w:sz w:val="12"/>
          <w:szCs w:val="12"/>
          <w:color w:val="auto"/>
        </w:rPr>
        <w:t>If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lack of liquidity in our investments may adversely affect our business.</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general disruption in the credit markets could materially damage our business.</w:t>
      </w:r>
    </w:p>
    <w:p>
      <w:pPr>
        <w:spacing w:after="0" w:line="7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rely in part on our over-the-counter securities to provide us with adequate liquidity, but even these securities did face liquidity constraints under recent market conditions.</w:t>
      </w:r>
    </w:p>
    <w:p>
      <w:pPr>
        <w:spacing w:after="0" w:line="94"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investments in prospective portfolio companies may be risky, and you could lose all or part of your investment.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invest primarily in Floating Rate Loans issued by U.S. middle-market companies.</w:t>
      </w:r>
    </w:p>
    <w:p>
      <w:pPr>
        <w:spacing w:after="0" w:line="150" w:lineRule="exact"/>
        <w:rPr>
          <w:sz w:val="20"/>
          <w:szCs w:val="20"/>
          <w:color w:val="auto"/>
        </w:rPr>
      </w:pPr>
    </w:p>
    <w:p>
      <w:pPr>
        <w:ind w:left="800" w:right="20"/>
        <w:spacing w:after="0" w:line="270" w:lineRule="auto"/>
        <w:rPr>
          <w:sz w:val="20"/>
          <w:szCs w:val="20"/>
          <w:color w:val="auto"/>
        </w:rPr>
      </w:pPr>
      <w:r>
        <w:rPr>
          <w:rFonts w:ascii="Arial" w:cs="Arial" w:eastAsia="Arial" w:hAnsi="Arial"/>
          <w:sz w:val="12"/>
          <w:szCs w:val="12"/>
          <w:i w:val="1"/>
          <w:iCs w:val="1"/>
          <w:color w:val="auto"/>
        </w:rPr>
        <w:t>Floating Rate Loans</w:t>
      </w:r>
      <w:r>
        <w:rPr>
          <w:rFonts w:ascii="Arial" w:cs="Arial" w:eastAsia="Arial" w:hAnsi="Arial"/>
          <w:sz w:val="12"/>
          <w:szCs w:val="12"/>
          <w:color w:val="auto"/>
        </w:rPr>
        <w:t>. The Floating Rate Loans we invest in are usually rated below investment grade or may also be unrated. Investments in Floating Rate Loans rated below investment grade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3"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540" w:right="12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3" w:lineRule="exact"/>
        <w:rPr>
          <w:rFonts w:ascii="Arial" w:cs="Arial" w:eastAsia="Arial" w:hAnsi="Arial"/>
          <w:sz w:val="14"/>
          <w:szCs w:val="14"/>
          <w:color w:val="auto"/>
        </w:rPr>
      </w:pPr>
    </w:p>
    <w:p>
      <w:pPr>
        <w:ind w:left="540" w:right="160" w:hanging="316"/>
        <w:spacing w:after="0" w:line="28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6" w:lineRule="exact"/>
        <w:rPr>
          <w:rFonts w:ascii="Arial" w:cs="Arial" w:eastAsia="Arial" w:hAnsi="Arial"/>
          <w:sz w:val="12"/>
          <w:szCs w:val="12"/>
          <w:color w:val="auto"/>
        </w:rPr>
      </w:pPr>
    </w:p>
    <w:p>
      <w:pPr>
        <w:ind w:left="540" w:hanging="316"/>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252" w:lineRule="exact"/>
        <w:rPr>
          <w:sz w:val="20"/>
          <w:szCs w:val="20"/>
          <w:color w:val="auto"/>
        </w:rPr>
      </w:pPr>
    </w:p>
    <w:p>
      <w:pPr>
        <w:ind w:right="200"/>
        <w:spacing w:after="0" w:line="241" w:lineRule="auto"/>
        <w:rPr>
          <w:sz w:val="20"/>
          <w:szCs w:val="20"/>
          <w:color w:val="auto"/>
        </w:rPr>
      </w:pPr>
      <w:r>
        <w:rPr>
          <w:rFonts w:ascii="Arial" w:cs="Arial" w:eastAsia="Arial" w:hAnsi="Arial"/>
          <w:sz w:val="14"/>
          <w:szCs w:val="14"/>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57"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39" w:lineRule="exact"/>
        <w:rPr>
          <w:sz w:val="20"/>
          <w:szCs w:val="20"/>
          <w:color w:val="auto"/>
        </w:rPr>
      </w:pPr>
    </w:p>
    <w:p>
      <w:pPr>
        <w:ind w:right="160" w:firstLine="456"/>
        <w:spacing w:after="0" w:line="273" w:lineRule="auto"/>
        <w:rPr>
          <w:sz w:val="20"/>
          <w:szCs w:val="20"/>
          <w:color w:val="auto"/>
        </w:rPr>
      </w:pPr>
      <w:r>
        <w:rPr>
          <w:rFonts w:ascii="Arial" w:cs="Arial" w:eastAsia="Arial" w:hAnsi="Arial"/>
          <w:sz w:val="12"/>
          <w:szCs w:val="12"/>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60"/>
        <w:spacing w:after="0" w:line="241" w:lineRule="auto"/>
        <w:rPr>
          <w:sz w:val="20"/>
          <w:szCs w:val="20"/>
          <w:color w:val="auto"/>
        </w:rPr>
      </w:pPr>
      <w:r>
        <w:rPr>
          <w:rFonts w:ascii="Arial" w:cs="Arial" w:eastAsia="Arial" w:hAnsi="Arial"/>
          <w:sz w:val="14"/>
          <w:szCs w:val="14"/>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7"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recessions or downturns could impair our portfolio companies and harm our operating results.</w:t>
      </w:r>
    </w:p>
    <w:p>
      <w:pPr>
        <w:spacing w:after="0" w:line="71"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fail to make follow-on investments in our portfolio companies, this could materially impair the value of our portfolio.</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50"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15" w:lineRule="exact"/>
        <w:rPr>
          <w:sz w:val="20"/>
          <w:szCs w:val="20"/>
          <w:color w:val="auto"/>
        </w:rPr>
      </w:pPr>
    </w:p>
    <w:p>
      <w:pPr>
        <w:ind w:right="660"/>
        <w:spacing w:after="0" w:line="241" w:lineRule="auto"/>
        <w:rPr>
          <w:sz w:val="20"/>
          <w:szCs w:val="20"/>
          <w:color w:val="auto"/>
        </w:rPr>
      </w:pPr>
      <w:r>
        <w:rPr>
          <w:rFonts w:ascii="Arial" w:cs="Arial" w:eastAsia="Arial" w:hAnsi="Arial"/>
          <w:sz w:val="14"/>
          <w:szCs w:val="14"/>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57"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37" w:lineRule="exact"/>
        <w:rPr>
          <w:sz w:val="20"/>
          <w:szCs w:val="20"/>
          <w:color w:val="auto"/>
        </w:rPr>
      </w:pPr>
    </w:p>
    <w:p>
      <w:pPr>
        <w:ind w:right="160"/>
        <w:spacing w:after="0" w:line="321" w:lineRule="auto"/>
        <w:rPr>
          <w:sz w:val="20"/>
          <w:szCs w:val="20"/>
          <w:color w:val="auto"/>
        </w:rPr>
      </w:pPr>
      <w:r>
        <w:rPr>
          <w:rFonts w:ascii="Arial" w:cs="Arial" w:eastAsia="Arial" w:hAnsi="Arial"/>
          <w:sz w:val="12"/>
          <w:szCs w:val="12"/>
          <w:b w:val="1"/>
          <w:b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1"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effect of global climate change may impact the operations of our portfolio companies.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portfolio companies may incur debt that ranks equally with, or senior to, our investments in such companies.</w:t>
      </w:r>
    </w:p>
    <w:p>
      <w:pPr>
        <w:spacing w:after="0" w:line="7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incentive fee may induce the Investment Adviser to make speculative investments.</w:t>
      </w:r>
    </w:p>
    <w:p>
      <w:pPr>
        <w:spacing w:after="0" w:line="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make investments that cause our shareholders to bear investment advisory fees and other expenses on such investments in addition to our management fees and expenses.</w:t>
      </w:r>
    </w:p>
    <w:p>
      <w:pPr>
        <w:spacing w:after="0" w:line="94"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obligated to pay our Investment Adviser incentive compensation even if we incur a loss.</w:t>
      </w:r>
    </w:p>
    <w:p>
      <w:pPr>
        <w:spacing w:after="0" w:line="71" w:lineRule="exact"/>
        <w:rPr>
          <w:sz w:val="20"/>
          <w:szCs w:val="20"/>
          <w:color w:val="auto"/>
        </w:rPr>
      </w:pPr>
    </w:p>
    <w:p>
      <w:pPr>
        <w:ind w:right="100" w:firstLine="342"/>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investments in foreign securities may involve significant risks in addition to the risks inherent in U.S. investments.</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expose ourselves to risks if we engage in hedging transactions.</w:t>
      </w:r>
    </w:p>
    <w:p>
      <w:pPr>
        <w:spacing w:after="0" w:line="71"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22"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is a risk that our stockholders may not receive distributions or that our distributions may not grow over time.</w:t>
      </w:r>
    </w:p>
    <w:p>
      <w:pPr>
        <w:spacing w:after="0" w:line="7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in our shares may involve an above average degree of risk.</w:t>
      </w:r>
    </w:p>
    <w:p>
      <w:pPr>
        <w:spacing w:after="0" w:line="71"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allocate the net proceeds from any offering of our securities in ways with which you may not agree.</w:t>
      </w:r>
    </w:p>
    <w:p>
      <w:pPr>
        <w:spacing w:after="0" w:line="7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shares may trade at discounts from net asset value or at premiums that are unsustainable over the long term.</w:t>
      </w:r>
    </w:p>
    <w:p>
      <w:pPr>
        <w:spacing w:after="0" w:line="71"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net asset value that is attributable to those shares. Our shares may trade above and below our net asset value, or NAV. Our shares traded on the NASDAQ Global Select Market at $10.55 and $11.75 as of September 30, 2011 and March 31, 2012, respectively. Our NAV was $13.44 and $14.12 as of September 30, 2011 and March 31,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market price of our common stock may fluctuate significantly.</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44"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loss of RIC status;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unable to invest the net proceeds raised from offerings on acceptable terms, which would harm our financial condition and operating results.</w:t>
      </w:r>
    </w:p>
    <w:p>
      <w:pPr>
        <w:spacing w:after="0" w:line="7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substantial amounts of our securities may have an adverse effect on the market price of our securities.</w:t>
      </w:r>
    </w:p>
    <w:p>
      <w:pPr>
        <w:spacing w:after="0" w:line="7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 may have current tax liabilities on distributions you reinvest in our common stock.</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is a risk that our common stockholders may receive our stock as dividends in which case they may be required to pay taxes in excess of the cash they receive.</w:t>
      </w:r>
    </w:p>
    <w:p>
      <w:pPr>
        <w:spacing w:after="0" w:line="71"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line="234" w:lineRule="auto"/>
        <w:rPr>
          <w:sz w:val="20"/>
          <w:szCs w:val="20"/>
          <w:color w:val="auto"/>
        </w:rPr>
      </w:pPr>
      <w:r>
        <w:rPr>
          <w:rFonts w:ascii="Arial" w:cs="Arial" w:eastAsia="Arial" w:hAnsi="Arial"/>
          <w:sz w:val="14"/>
          <w:szCs w:val="14"/>
          <w:b w:val="1"/>
          <w:b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220"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incur significant costs as a result of being a publicly traded company.</w:t>
      </w:r>
    </w:p>
    <w:p>
      <w:pPr>
        <w:spacing w:after="0" w:line="71"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 and the listing standards of the NASDAQ.</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Provisions of the Maryland General Corporation Law and of our charter and bylaws could deter takeover attempts and have an adverse impact on the price of our common stock.</w:t>
      </w:r>
    </w:p>
    <w:p>
      <w:pPr>
        <w:spacing w:after="0" w:line="94"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40"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40" w:lineRule="exact"/>
        <w:rPr>
          <w:sz w:val="20"/>
          <w:szCs w:val="20"/>
          <w:color w:val="auto"/>
        </w:rPr>
      </w:pPr>
    </w:p>
    <w:p>
      <w:pPr>
        <w:jc w:val="center"/>
        <w:ind w:left="300" w:right="400"/>
        <w:spacing w:after="0" w:line="459"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 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50"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3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USE OF PROCEEDS</w:t>
      </w:r>
    </w:p>
    <w:p>
      <w:pPr>
        <w:spacing w:after="0" w:line="15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94"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As of March 31, 2012, we had $47.8 million in borrowings outstanding under our $100.0 million Credit Facility. Borrowings under our Credit Facility bear interest at a commercial paper rate that approximates LIBOR plus 225 basis points per annum for the first three years, or the revolving period, and the rate resets to LIBOR plus 425 basis points for the remaining two years. At March 31, 2012, the interest rate at that time was 2.54%.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40"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SELECTED FINANCIAL DATA</w:t>
      </w:r>
    </w:p>
    <w:p>
      <w:pPr>
        <w:spacing w:after="0" w:line="15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six months ended March 31, 2012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 amounts in thousands, except per share data)</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Operations data:</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expenses before debt issuance costs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Net increase (decrease) in net assets resulting from operations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data: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(at period end)</w:t>
      </w:r>
    </w:p>
    <w:p>
      <w:pPr>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22"/>
          <w:szCs w:val="22"/>
          <w:color w:val="auto"/>
          <w:vertAlign w:val="superscript"/>
        </w:rPr>
        <w:t>(2)</w:t>
      </w:r>
    </w:p>
    <w:p>
      <w:pPr>
        <w:spacing w:after="0" w:line="205" w:lineRule="auto"/>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2"/>
          <w:szCs w:val="22"/>
          <w:color w:val="auto"/>
          <w:vertAlign w:val="superscript"/>
        </w:rPr>
        <w:t>(2)</w:t>
      </w:r>
    </w:p>
    <w:p>
      <w:pPr>
        <w:spacing w:after="0"/>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Distributions declared</w:t>
      </w:r>
      <w:r>
        <w:rPr>
          <w:rFonts w:ascii="Arial" w:cs="Arial" w:eastAsia="Arial" w:hAnsi="Arial"/>
          <w:sz w:val="22"/>
          <w:szCs w:val="22"/>
          <w:color w:val="auto"/>
          <w:vertAlign w:val="superscript"/>
        </w:rPr>
        <w:t>(2),(3)</w:t>
      </w:r>
    </w:p>
    <w:p>
      <w:pPr>
        <w:spacing w:after="0"/>
        <w:rPr>
          <w:sz w:val="20"/>
          <w:szCs w:val="20"/>
          <w:color w:val="auto"/>
        </w:rPr>
      </w:pPr>
      <w:r>
        <w:rPr>
          <w:rFonts w:ascii="Arial" w:cs="Arial" w:eastAsia="Arial" w:hAnsi="Arial"/>
          <w:sz w:val="12"/>
          <w:szCs w:val="12"/>
          <w:b w:val="1"/>
          <w:bCs w:val="1"/>
          <w:color w:val="auto"/>
        </w:rPr>
        <w:t>Consolidated Statement of Assets and Liabilities data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 period end):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portfolio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Borrowings outstanding</w:t>
      </w:r>
      <w:r>
        <w:rPr>
          <w:rFonts w:ascii="Arial" w:cs="Arial" w:eastAsia="Arial" w:hAnsi="Arial"/>
          <w:sz w:val="22"/>
          <w:szCs w:val="22"/>
          <w:color w:val="auto"/>
          <w:vertAlign w:val="superscript"/>
        </w:rPr>
        <w:t>(4)</w:t>
      </w:r>
    </w:p>
    <w:p>
      <w:pPr>
        <w:spacing w:after="0"/>
        <w:rPr>
          <w:sz w:val="20"/>
          <w:szCs w:val="20"/>
          <w:color w:val="auto"/>
        </w:rPr>
      </w:pPr>
      <w:r>
        <w:rPr>
          <w:rFonts w:ascii="Arial" w:cs="Arial" w:eastAsia="Arial" w:hAnsi="Arial"/>
          <w:sz w:val="12"/>
          <w:szCs w:val="12"/>
          <w:color w:val="auto"/>
        </w:rPr>
        <w:t>Payable for investments purchased and unfunded investments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Total net asset value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data: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(5)</w:t>
      </w:r>
    </w:p>
    <w:p>
      <w:pPr>
        <w:spacing w:after="0" w:line="224" w:lineRule="auto"/>
        <w:rPr>
          <w:sz w:val="20"/>
          <w:szCs w:val="20"/>
          <w:color w:val="auto"/>
        </w:rPr>
      </w:pPr>
      <w:r>
        <w:rPr>
          <w:rFonts w:ascii="Arial" w:cs="Arial" w:eastAsia="Arial" w:hAnsi="Arial"/>
          <w:sz w:val="14"/>
          <w:szCs w:val="14"/>
          <w:color w:val="auto"/>
        </w:rPr>
        <w:t>Number of portfolio companies (at period end)</w:t>
      </w:r>
      <w:r>
        <w:rPr>
          <w:rFonts w:ascii="Arial" w:cs="Arial" w:eastAsia="Arial" w:hAnsi="Arial"/>
          <w:sz w:val="22"/>
          <w:szCs w:val="22"/>
          <w:color w:val="auto"/>
          <w:vertAlign w:val="superscript"/>
        </w:rPr>
        <w:t>(6)</w:t>
      </w:r>
    </w:p>
    <w:p>
      <w:pPr>
        <w:spacing w:after="0" w:line="220" w:lineRule="auto"/>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For the period from</w:t>
            </w:r>
          </w:p>
        </w:tc>
      </w:tr>
      <w:tr>
        <w:trPr>
          <w:trHeight w:val="149"/>
        </w:trPr>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March 4, 2011</w:t>
            </w:r>
          </w:p>
        </w:tc>
      </w:tr>
      <w:tr>
        <w:trPr>
          <w:trHeight w:val="149"/>
        </w:trPr>
        <w:tc>
          <w:tcPr>
            <w:tcW w:w="2380" w:type="dxa"/>
            <w:vAlign w:val="bottom"/>
            <w:gridSpan w:val="3"/>
          </w:tcPr>
          <w:p>
            <w:pPr>
              <w:jc w:val="right"/>
              <w:ind w:right="1340"/>
              <w:spacing w:after="0" w:line="149" w:lineRule="exact"/>
              <w:rPr>
                <w:sz w:val="20"/>
                <w:szCs w:val="20"/>
                <w:color w:val="auto"/>
              </w:rPr>
            </w:pPr>
            <w:r>
              <w:rPr>
                <w:rFonts w:ascii="Arial" w:cs="Arial" w:eastAsia="Arial" w:hAnsi="Arial"/>
                <w:sz w:val="14"/>
                <w:szCs w:val="14"/>
                <w:b w:val="1"/>
                <w:bCs w:val="1"/>
                <w:color w:val="auto"/>
                <w:w w:val="85"/>
              </w:rPr>
              <w:t>Six Months ended</w:t>
            </w:r>
          </w:p>
        </w:tc>
        <w:tc>
          <w:tcPr>
            <w:tcW w:w="1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r>
      <w:tr>
        <w:trPr>
          <w:trHeight w:val="161"/>
        </w:trPr>
        <w:tc>
          <w:tcPr>
            <w:tcW w:w="238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4"/>
              </w:rPr>
              <w:t>March 31, 2012</w:t>
            </w:r>
          </w:p>
        </w:tc>
        <w:tc>
          <w:tcPr>
            <w:tcW w:w="1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through September 30, 2011</w:t>
            </w:r>
          </w:p>
        </w:tc>
      </w:tr>
      <w:tr>
        <w:trPr>
          <w:trHeight w:val="385"/>
        </w:trPr>
        <w:tc>
          <w:tcPr>
            <w:tcW w:w="3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5,411</w:t>
            </w:r>
          </w:p>
        </w:tc>
        <w:tc>
          <w:tcPr>
            <w:tcW w:w="1340" w:type="dxa"/>
            <w:vAlign w:val="bottom"/>
          </w:tcPr>
          <w:p>
            <w:pPr>
              <w:spacing w:after="0"/>
              <w:rPr>
                <w:sz w:val="24"/>
                <w:szCs w:val="24"/>
                <w:color w:val="auto"/>
              </w:rPr>
            </w:pPr>
          </w:p>
        </w:tc>
        <w:tc>
          <w:tcPr>
            <w:tcW w:w="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2,947</w:t>
            </w:r>
          </w:p>
        </w:tc>
        <w:tc>
          <w:tcPr>
            <w:tcW w:w="160" w:type="dxa"/>
            <w:vAlign w:val="bottom"/>
          </w:tcPr>
          <w:p>
            <w:pPr>
              <w:spacing w:after="0"/>
              <w:rPr>
                <w:sz w:val="24"/>
                <w:szCs w:val="24"/>
                <w:color w:val="auto"/>
              </w:rPr>
            </w:pPr>
          </w:p>
        </w:tc>
      </w:tr>
      <w:tr>
        <w:trPr>
          <w:trHeight w:val="260"/>
        </w:trPr>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2,491</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4"/>
                <w:szCs w:val="14"/>
                <w:color w:val="auto"/>
              </w:rPr>
              <w:t>1,260</w:t>
            </w:r>
            <w:r>
              <w:rPr>
                <w:rFonts w:ascii="Arial" w:cs="Arial" w:eastAsia="Arial" w:hAnsi="Arial"/>
                <w:sz w:val="22"/>
                <w:szCs w:val="22"/>
                <w:color w:val="auto"/>
                <w:vertAlign w:val="superscript"/>
              </w:rPr>
              <w:t>(1)</w:t>
            </w:r>
          </w:p>
        </w:tc>
      </w:tr>
      <w:tr>
        <w:trPr>
          <w:trHeight w:val="172"/>
        </w:trPr>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2,920</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4,710</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(3,793)</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7,630</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(3,473)</w:t>
            </w:r>
          </w:p>
        </w:tc>
      </w:tr>
      <w:tr>
        <w:trPr>
          <w:trHeight w:val="378"/>
        </w:trPr>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14.12</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13.44</w:t>
            </w:r>
          </w:p>
        </w:tc>
        <w:tc>
          <w:tcPr>
            <w:tcW w:w="1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0.43</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0.69</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(0.56)</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(0.51)</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0.44</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0.25</w:t>
            </w:r>
          </w:p>
        </w:tc>
        <w:tc>
          <w:tcPr>
            <w:tcW w:w="160" w:type="dxa"/>
            <w:vAlign w:val="bottom"/>
          </w:tcPr>
          <w:p>
            <w:pPr>
              <w:spacing w:after="0"/>
              <w:rPr>
                <w:sz w:val="18"/>
                <w:szCs w:val="18"/>
                <w:color w:val="auto"/>
              </w:rPr>
            </w:pPr>
          </w:p>
        </w:tc>
      </w:tr>
      <w:tr>
        <w:trPr>
          <w:trHeight w:val="581"/>
        </w:trPr>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151,174</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121,075</w:t>
            </w:r>
          </w:p>
        </w:tc>
        <w:tc>
          <w:tcPr>
            <w:tcW w:w="1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146,188</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110,724</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47,561</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24,650</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5,102</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3,313</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96,722</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92,072</w:t>
            </w:r>
          </w:p>
        </w:tc>
        <w:tc>
          <w:tcPr>
            <w:tcW w:w="1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4"/>
                <w:szCs w:val="14"/>
                <w:color w:val="auto"/>
              </w:rPr>
              <w:t>15.75%</w:t>
            </w:r>
          </w:p>
        </w:tc>
        <w:tc>
          <w:tcPr>
            <w:tcW w:w="2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(28.1)%</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4"/>
                <w:szCs w:val="14"/>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-3060700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-2786380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-2512060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-2237105</wp:posOffset>
            </wp:positionV>
            <wp:extent cx="72466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-1997075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-1722755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-1448435</wp:posOffset>
            </wp:positionV>
            <wp:extent cx="7246620"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-1079500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-805180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-530860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-256540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6340" w:space="720"/>
            <w:col w:w="4320"/>
          </w:cols>
          <w:pgMar w:left="240" w:top="459" w:right="279" w:bottom="1440" w:gutter="0" w:footer="0" w:header="0"/>
          <w:type w:val="continuous"/>
        </w:sectPr>
      </w:pPr>
    </w:p>
    <w:p>
      <w:pPr>
        <w:spacing w:after="0" w:line="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start-up and organizational costs. Total expenses after debt issuance costs are $2,626.</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Unaudited.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80"/>
          </w:cols>
          <w:pgMar w:left="240" w:top="459" w:right="2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net assets resulting from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net assets resulting from operations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per share at the end of the quarter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Market value per share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 (loss)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per share at the end of the quarter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Market value per share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28301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From March 4, 2011 (commencement of operations) through March 31, 2011, there was only a seed capital investment.</w:t>
      </w:r>
    </w:p>
    <w:p>
      <w:pPr>
        <w:spacing w:after="0" w:line="15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3"/>
              </w:rPr>
              <w:t>2012</w:t>
            </w:r>
          </w:p>
        </w:tc>
        <w:tc>
          <w:tcPr>
            <w:tcW w:w="900" w:type="dxa"/>
            <w:vAlign w:val="bottom"/>
            <w:tcBorders>
              <w:bottom w:val="single" w:sz="8" w:color="auto"/>
            </w:tcBorders>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r>
      <w:tr>
        <w:trPr>
          <w:trHeight w:val="209"/>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2,944</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2,467</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1,375</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2,980</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1,730</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4,525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3,105</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0.66</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0.45</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13.68</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10.30</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r>
      <w:tr>
        <w:trPr>
          <w:trHeight w:val="209"/>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2,048</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899</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1,203</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(883)</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(4,012)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(2,809)</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(664)</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(0.51)</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(0.10)</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13.44</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14.06</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10.55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12.69</w:t>
            </w:r>
          </w:p>
        </w:tc>
        <w:tc>
          <w:tcPr>
            <w:tcW w:w="20" w:type="dxa"/>
            <w:vAlign w:val="bottom"/>
          </w:tcPr>
          <w:p>
            <w:pPr>
              <w:spacing w:after="0"/>
              <w:rPr>
                <w:sz w:val="18"/>
                <w:szCs w:val="18"/>
                <w:color w:val="auto"/>
              </w:rPr>
            </w:pPr>
          </w:p>
        </w:tc>
      </w:tr>
    </w:tbl>
    <w:p>
      <w:pPr>
        <w:sectPr>
          <w:pgSz w:w="11900" w:h="16838" w:orient="portrait"/>
          <w:cols w:equalWidth="0" w:num="2">
            <w:col w:w="7940" w:space="720"/>
            <w:col w:w="268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will be invested in Floating Rate Loans and other instruments bearing a variable 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$1 million and $10 million, on average, although we expect that this investment size will vary proportionately with the size of our capital base.</w:t>
      </w:r>
    </w:p>
    <w:p>
      <w:pPr>
        <w:spacing w:after="0" w:line="36"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6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have elected to be treated, and intend to qualify annually, as a RIC under the Code.</w:t>
      </w:r>
    </w:p>
    <w:p>
      <w:pPr>
        <w:spacing w:after="0" w:line="36"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direct or indirect costs and expenses of our operations and transactions, including:</w:t>
      </w:r>
    </w:p>
    <w:p>
      <w:pPr>
        <w:spacing w:after="0" w:line="16"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ind w:left="540" w:right="20" w:hanging="316"/>
        <w:spacing w:after="0" w:line="233"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60" w:firstLine="456"/>
        <w:spacing w:after="0" w:line="318" w:lineRule="auto"/>
        <w:rPr>
          <w:sz w:val="20"/>
          <w:szCs w:val="20"/>
          <w:color w:val="auto"/>
        </w:rPr>
      </w:pPr>
      <w:r>
        <w:rPr>
          <w:rFonts w:ascii="Arial" w:cs="Arial" w:eastAsia="Arial" w:hAnsi="Arial"/>
          <w:sz w:val="12"/>
          <w:szCs w:val="12"/>
          <w:color w:val="auto"/>
        </w:rPr>
        <w:t>The SEC requires that estimated “Total Annual Expenses” be calculated as a percentage of net assets in the table on page 5 of this prospectus rather than as a percentage of total assets. Total assets include assets that have been funded with borrowed money (leverage). For reference, the table below illustrates our estimated “Total Annual Expenses” as a percentage of average total assets:</w:t>
      </w:r>
    </w:p>
    <w:p>
      <w:pPr>
        <w:spacing w:after="0" w:line="92"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20" w:type="dxa"/>
            <w:vAlign w:val="bottom"/>
          </w:tcPr>
          <w:p>
            <w:pPr>
              <w:ind w:left="1860"/>
              <w:spacing w:after="0"/>
              <w:rPr>
                <w:sz w:val="20"/>
                <w:szCs w:val="20"/>
                <w:color w:val="auto"/>
              </w:rPr>
            </w:pPr>
            <w:r>
              <w:rPr>
                <w:rFonts w:ascii="Arial" w:cs="Arial" w:eastAsia="Arial" w:hAnsi="Arial"/>
                <w:sz w:val="14"/>
                <w:szCs w:val="14"/>
                <w:b w:val="1"/>
                <w:bCs w:val="1"/>
                <w:color w:val="auto"/>
                <w:w w:val="94"/>
              </w:rPr>
              <w:t>Estimated Annual Expenses (as a Percentage of Average Total Assets)</w:t>
            </w: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9"/>
        </w:trPr>
        <w:tc>
          <w:tcPr>
            <w:tcW w:w="6340" w:type="dxa"/>
            <w:vAlign w:val="bottom"/>
            <w:gridSpan w:val="2"/>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1000" w:type="dxa"/>
            <w:vAlign w:val="bottom"/>
          </w:tcPr>
          <w:p>
            <w:pPr>
              <w:jc w:val="right"/>
              <w:spacing w:after="0"/>
              <w:rPr>
                <w:sz w:val="20"/>
                <w:szCs w:val="20"/>
                <w:color w:val="auto"/>
              </w:rPr>
            </w:pPr>
            <w:r>
              <w:rPr>
                <w:rFonts w:ascii="Arial" w:cs="Arial" w:eastAsia="Arial" w:hAnsi="Arial"/>
                <w:sz w:val="14"/>
                <w:szCs w:val="14"/>
                <w:color w:val="auto"/>
              </w:rPr>
              <w:t>0.22 %</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annual expenses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40" w:hanging="332"/>
        <w:spacing w:after="0" w:line="265"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gains incentive fees. As of March 31, 2012, our unrealized capital gains exceeded our cumulative realized and unrealized capital losses and we accrued a capital gains incentive fee of $0.1 million in accordance with GAAP. However, “Incentive fees payable under the Investment Management Agreement” includes an accrual for capital gains incentive fee for the three months ended March 31, 2012 even though no capital gains incentive fee was payable under our Investment Management Agreement as of March 31, 2012, and we cannot assure you that we will recognize capital gains for the calendar year ending December 31, 2012 in amounts consistent with the accrual for the same period. For more detailed information about the incentive fee, please see “Certain Relationships and Transactions— Investment Management Agreement” for more information.</w:t>
      </w:r>
    </w:p>
    <w:p>
      <w:pPr>
        <w:spacing w:after="0" w:line="42" w:lineRule="exact"/>
        <w:rPr>
          <w:rFonts w:ascii="Arial" w:cs="Arial" w:eastAsia="Arial" w:hAnsi="Arial"/>
          <w:sz w:val="12"/>
          <w:szCs w:val="12"/>
          <w:color w:val="auto"/>
        </w:rPr>
      </w:pPr>
    </w:p>
    <w:p>
      <w:pPr>
        <w:ind w:left="340" w:right="40" w:hanging="332"/>
        <w:spacing w:after="0" w:line="22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2012, we had $47.8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340" w:right="20" w:hanging="332"/>
        <w:spacing w:after="0" w:line="28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See the Consolidated Statement of Operations in our Consolidated Financial Statements.</w:t>
      </w:r>
    </w:p>
    <w:p>
      <w:pPr>
        <w:spacing w:after="0" w:line="29" w:lineRule="exact"/>
        <w:rPr>
          <w:rFonts w:ascii="Arial" w:cs="Arial" w:eastAsia="Arial" w:hAnsi="Arial"/>
          <w:sz w:val="12"/>
          <w:szCs w:val="12"/>
          <w:color w:val="auto"/>
        </w:rPr>
      </w:pPr>
    </w:p>
    <w:p>
      <w:pPr>
        <w:ind w:left="340" w:right="140" w:hanging="332"/>
        <w:spacing w:after="0" w:line="273"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March 31, 2012.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71"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The discussion of our financial condition and results of operation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6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60"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480" w:hanging="334"/>
        <w:spacing w:after="0" w:line="239"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senior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680" w:right="160" w:hanging="334"/>
        <w:spacing w:after="0" w:line="288" w:lineRule="auto"/>
        <w:tabs>
          <w:tab w:leader="none" w:pos="6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680" w:right="100" w:hanging="334"/>
        <w:spacing w:after="0" w:line="239"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640" w:hanging="334"/>
        <w:spacing w:after="0" w:line="239"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To the extent we invest in derivative instruments in the future, such instruments would be valued at fair value in accordance with our valuation policy.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w:t>
      </w:r>
    </w:p>
    <w:p>
      <w:pPr>
        <w:spacing w:after="0" w:line="23" w:lineRule="exact"/>
        <w:rPr>
          <w:sz w:val="20"/>
          <w:szCs w:val="20"/>
          <w:color w:val="auto"/>
        </w:rPr>
      </w:pPr>
    </w:p>
    <w:p>
      <w:pPr>
        <w:ind w:right="380" w:firstLine="8"/>
        <w:spacing w:after="0" w:line="297" w:lineRule="auto"/>
        <w:tabs>
          <w:tab w:leader="none" w:pos="27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Consistent with our valuation policy, we evaluate the source of inputs, including any markets in which our investments are trading, in determining fair value. See Note 2 to our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In accordance with Accounting Standards Update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u w:val="single" w:color="auto"/>
          <w:color w:val="auto"/>
        </w:rPr>
        <w:t>Asset Category</w:t>
      </w:r>
    </w:p>
    <w:p>
      <w:pPr>
        <w:spacing w:after="0" w:line="13" w:lineRule="exact"/>
        <w:rPr>
          <w:sz w:val="20"/>
          <w:szCs w:val="20"/>
          <w:color w:val="auto"/>
        </w:rPr>
      </w:pPr>
    </w:p>
    <w:p>
      <w:pPr>
        <w:ind w:left="680" w:hanging="215"/>
        <w:spacing w:after="0" w:line="222" w:lineRule="auto"/>
        <w:rPr>
          <w:sz w:val="20"/>
          <w:szCs w:val="20"/>
          <w:color w:val="auto"/>
        </w:rPr>
      </w:pPr>
      <w:r>
        <w:rPr>
          <w:rFonts w:ascii="Arial" w:cs="Arial" w:eastAsia="Arial" w:hAnsi="Arial"/>
          <w:sz w:val="14"/>
          <w:szCs w:val="14"/>
          <w:color w:val="auto"/>
        </w:rPr>
        <w:t>First lien, second lien, subordinated debt/corporate notes and preferred and common equity</w:t>
      </w:r>
    </w:p>
    <w:p>
      <w:pPr>
        <w:spacing w:after="0" w:line="1" w:lineRule="exact"/>
        <w:rPr>
          <w:sz w:val="20"/>
          <w:szCs w:val="20"/>
          <w:color w:val="auto"/>
        </w:rPr>
      </w:pPr>
    </w:p>
    <w:p>
      <w:pPr>
        <w:ind w:left="680" w:hanging="215"/>
        <w:spacing w:after="0" w:line="221" w:lineRule="auto"/>
        <w:rPr>
          <w:sz w:val="20"/>
          <w:szCs w:val="20"/>
          <w:color w:val="auto"/>
        </w:rPr>
      </w:pPr>
      <w:r>
        <w:rPr>
          <w:rFonts w:ascii="Arial" w:cs="Arial" w:eastAsia="Arial" w:hAnsi="Arial"/>
          <w:sz w:val="14"/>
          <w:szCs w:val="14"/>
          <w:color w:val="auto"/>
        </w:rPr>
        <w:t>First lien, second lien, subordinated debt/corporate notes and preferred and common equity</w:t>
      </w:r>
    </w:p>
    <w:p>
      <w:pPr>
        <w:ind w:left="460"/>
        <w:spacing w:after="0"/>
        <w:rPr>
          <w:sz w:val="20"/>
          <w:szCs w:val="20"/>
          <w:color w:val="auto"/>
        </w:rPr>
      </w:pPr>
      <w:r>
        <w:rPr>
          <w:rFonts w:ascii="Arial" w:cs="Arial" w:eastAsia="Arial" w:hAnsi="Arial"/>
          <w:sz w:val="14"/>
          <w:szCs w:val="14"/>
          <w:color w:val="auto"/>
        </w:rPr>
        <w:t>Long-Term Credit Facility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Range of</w:t>
            </w:r>
          </w:p>
        </w:tc>
      </w:tr>
      <w:tr>
        <w:trPr>
          <w:trHeight w:val="149"/>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Values/</w:t>
            </w:r>
          </w:p>
        </w:tc>
      </w:t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Valuation Techniques</w:t>
            </w: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Unobservable Inputs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Input</w:t>
            </w:r>
          </w:p>
        </w:tc>
      </w:tr>
      <w:tr>
        <w:trPr>
          <w:trHeight w:val="166"/>
        </w:trPr>
        <w:tc>
          <w:tcPr>
            <w:tcW w:w="6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90%</w:t>
            </w:r>
          </w:p>
        </w:tc>
        <w:tc>
          <w:tcPr>
            <w:tcW w:w="480" w:type="dxa"/>
            <w:vAlign w:val="bottom"/>
          </w:tcPr>
          <w:p>
            <w:pPr>
              <w:spacing w:after="0"/>
              <w:rPr>
                <w:sz w:val="14"/>
                <w:szCs w:val="14"/>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Market approach</w:t>
            </w:r>
          </w:p>
        </w:tc>
        <w:tc>
          <w:tcPr>
            <w:tcW w:w="50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Broker/Dealer bids</w:t>
            </w:r>
          </w:p>
        </w:tc>
        <w:tc>
          <w:tcPr>
            <w:tcW w:w="500" w:type="dxa"/>
            <w:vAlign w:val="bottom"/>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1 - 9</w:t>
            </w:r>
          </w:p>
        </w:tc>
      </w:tr>
      <w:tr>
        <w:trPr>
          <w:trHeight w:val="249"/>
        </w:trPr>
        <w:tc>
          <w:tcPr>
            <w:tcW w:w="60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480" w:type="dxa"/>
            <w:vAlign w:val="bottom"/>
          </w:tcPr>
          <w:p>
            <w:pPr>
              <w:spacing w:after="0"/>
              <w:rPr>
                <w:sz w:val="21"/>
                <w:szCs w:val="21"/>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Market comparable /</w:t>
            </w: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EBITDA</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7.6x – 10.7x</w:t>
            </w:r>
          </w:p>
        </w:tc>
      </w:tr>
      <w:tr>
        <w:trPr>
          <w:trHeight w:val="149"/>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Enterprise value</w:t>
            </w:r>
          </w:p>
        </w:tc>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0"/>
              </w:rPr>
              <w:t>multiples</w:t>
            </w:r>
          </w:p>
        </w:tc>
        <w:tc>
          <w:tcPr>
            <w:tcW w:w="680" w:type="dxa"/>
            <w:vAlign w:val="bottom"/>
          </w:tcPr>
          <w:p>
            <w:pPr>
              <w:spacing w:after="0"/>
              <w:rPr>
                <w:sz w:val="12"/>
                <w:szCs w:val="12"/>
                <w:color w:val="auto"/>
              </w:rPr>
            </w:pPr>
          </w:p>
        </w:tc>
      </w:tr>
      <w:tr>
        <w:trPr>
          <w:trHeight w:val="149"/>
        </w:trPr>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Market comparable /</w:t>
            </w:r>
          </w:p>
        </w:tc>
        <w:tc>
          <w:tcPr>
            <w:tcW w:w="17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7"/>
              </w:rPr>
              <w:t>Discount rate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7"/>
              </w:rPr>
              <w:t>3.5%</w:t>
            </w:r>
          </w:p>
        </w:tc>
      </w:tr>
      <w:tr>
        <w:trPr>
          <w:trHeight w:val="172"/>
        </w:trPr>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color w:val="auto"/>
                <w:w w:val="86"/>
              </w:rPr>
              <w:t>Income approach</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-573405</wp:posOffset>
            </wp:positionV>
            <wp:extent cx="666369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63690" cy="18859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-196215</wp:posOffset>
            </wp:positionV>
            <wp:extent cx="666369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3690" cy="18859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5020" w:space="720"/>
            <w:col w:w="5680"/>
          </w:cols>
          <w:pgMar w:left="240" w:top="459" w:right="239" w:bottom="1440" w:gutter="0" w:footer="0" w:header="0"/>
          <w:type w:val="continuous"/>
        </w:sectPr>
      </w:pPr>
    </w:p>
    <w:p>
      <w:pPr>
        <w:ind w:right="40" w:firstLine="456"/>
        <w:spacing w:after="0" w:line="266"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unrealized depreciation of $0.2 million and zero, respectively. We use one or more nationally recognized independent valuation services firm to measure the fair value of the Credit Facility in a manner consistent with the valuation process that the board of directors uses to value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are capitalized, and we then amortize such amounts as interest income or expense as applicable.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intend to elect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4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2"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As of March 31, 2012, our portfolio totaled $146.2 million and consisted of $126.3 million of senior secured loans, $7.1 million of second lien secured debt, $12.8 million of subordinated debt and preferred and common equity investments. Our portfolio consisted of 85% variable-rate investments (including 80% with a LIBOR or prime floor) and 15% fixed-rate investments. Overall, the portfolio had net unrealized depreciation of less than $0.1 million. Our overall portfolio consisted of 51 companies with an average investment size of $2.9 million, a weighted average yield on debt investments of 8.6%, and was invested 86% in senior secured loans, 5% in second lien secured debt and 9% in subordinated debt, preferred and common equity investments.</w:t>
      </w:r>
    </w:p>
    <w:p>
      <w:pPr>
        <w:spacing w:after="0" w:line="117"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$94.3 million of senior secured loans, $9.3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7"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2 existing portfolio companies with a weighted average yield on debt investments of 9.2%. Sales and repayments of investments for the six months ended March 31, 2012 totaled $41.6 million.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six months ended March 31, 2012.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Investment income for the three and six months ended March 31, 2012 was $2.9 million and $5.4 million, respectively, and was primarily attributable to $2.3 million and $4.3 million from senior secured loans, $0.3 million and $0.6 million from second lien secured debt investments and $0.3 million and $0.5 million from subordinated debt investments, respectively. We continue to find attractive investment opportunities and intend to continue to rotate out of lower yielding investments to higher yielding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ind w:right="380" w:firstLine="456"/>
        <w:spacing w:after="0" w:line="288" w:lineRule="auto"/>
        <w:rPr>
          <w:sz w:val="20"/>
          <w:szCs w:val="20"/>
          <w:color w:val="auto"/>
        </w:rPr>
      </w:pPr>
      <w:r>
        <w:rPr>
          <w:rFonts w:ascii="Arial" w:cs="Arial" w:eastAsia="Arial" w:hAnsi="Arial"/>
          <w:sz w:val="12"/>
          <w:szCs w:val="12"/>
          <w:color w:val="auto"/>
        </w:rPr>
        <w:t>Expenses for the three and six months ended March 31, 2012 totaled $1.4 million and $2.5 million, respectively. Base management fees for the same period totaled $0.4 million and $0.7 million, performance-based incentive fees totaled $0.2 million and $0.2 million, Credit Facility expenses totaled $0.3 million and $0.6 million and general and administrative expenses totaled $0.5 million and $1.0 million, respectively. We expect our Credit Facility expenses and management fees to continue to increase as a result of growth in our portfolio.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investment income totaled $1.5 million and $2.9 million, or $0.23 and $0.43 per share, for the three and six months ended March 31, 2012,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Sales and repayments of investments for the three and six months ended March 31, 2012 totaled $19.3 million and $41.6 million and realized gains totaled $0.1 million and $0.4 million, respectively, due to sales and repayments of our debt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For the three and six months ended March 31, 2012, we reported unrealized appreciation on investments of $3.0 million and $4.1 million, respectively. As of March 31, 2012 and September 30, 2011, net unrealized depreciation on investments totaled less than $0.1 million and $4.1 million, respectively.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For the three and six months ended March 31, 2012, our long-term Credit Facility had a change in unrealized (appreciation) depreciation of $(0.1) million and $0.2 million, respectively. As of March 31, 2012 and September 30, 2011, net unrealized depreciation on our long-term Credit Facility totaled $0.2 million and zero,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69"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Net increase in net assets resulting from operations totaled $4.5 million and $7.6 million, or $0.66 and $1.12 per share, respectively, for the three and six months ended March 31, 2012. This increase in net assets from operations was due to the continued growth in net investment income as a result of growth in our portfolio and appreciation on our investments.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Set forth below are our results of operations for the period from March 4, 2011 (commencement of operations) to September 30,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Income</w:t>
      </w:r>
    </w:p>
    <w:p>
      <w:pPr>
        <w:spacing w:after="0" w:line="71" w:lineRule="exact"/>
        <w:rPr>
          <w:sz w:val="20"/>
          <w:szCs w:val="20"/>
          <w:color w:val="auto"/>
        </w:rPr>
      </w:pPr>
    </w:p>
    <w:p>
      <w:pPr>
        <w:jc w:val="both"/>
        <w:ind w:right="140" w:firstLine="342"/>
        <w:spacing w:after="0" w:line="233" w:lineRule="auto"/>
        <w:rPr>
          <w:sz w:val="20"/>
          <w:szCs w:val="20"/>
          <w:color w:val="auto"/>
        </w:rPr>
      </w:pPr>
      <w:r>
        <w:rPr>
          <w:rFonts w:ascii="Arial" w:cs="Arial" w:eastAsia="Arial" w:hAnsi="Arial"/>
          <w:sz w:val="14"/>
          <w:szCs w:val="14"/>
          <w:color w:val="auto"/>
        </w:rPr>
        <w:t>Investment income for the period March 4, 2011 (commencement of operations) to September 30, 2011, was $2.9 million, and was attributable to $2.4 million from senior secured loan investments, $0.4 million from second lien secured debt investments and $0.1 million from subordinated debt investments. We continue to deploy capital from our new Credit Facility to grow both our portfolio and investment income over time.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40" w:firstLine="342"/>
        <w:spacing w:after="0" w:line="233"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Investment Income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investment income totaled $0.3 million or $0.05 per share for the period March 4, 2011 (commencement of operations) to September 30,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Realized Gains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Sales and repayments of long-term investments for the period March 4, 2011 (commencement of operations) to September 30, 2011 totaled $33.2 million and net realized gains totaled $0.3 million.</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Unrealized Appreciation or Depreciation on Investments and Credit Facility</w:t>
      </w:r>
    </w:p>
    <w:p>
      <w:pPr>
        <w:spacing w:after="0" w:line="71"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Net unrealized depreciation on investments totaled $4.1 million for the period March 4, 2011 (commencement of operations) to September 30, 2011. There was no change in unrealized (appreciation) depreciation on credit facility for the same period. Credit market conditions have weakened and while lowering our net asset value could increase our risk adjusted returns on new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71"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Net decrease in net assets resulting from operations totaled $3.5 million, or $0.51 per share for the period March 4, 2011 (commencement of operations) to September 30, 2011. The decrease in net assets is primarily the result of unrealized losses on our investments.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Our liquidity and capital resources are derived from our initial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11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On June 23, 2011, we entered into the Credit Facility with affiliates of SunTrust Bank, or the Lender, an asset-backed commercial paper conduit administered by STRH. The Credit Facility allows us to borrow up to $100.0 million and contains an accordion feature whereby the Credit Facility can be expanded to $600.0 million, subject to satisfaction of certain conditions. As of March 31, 2012 and September 30, 2011, we had $47.8 million and $24.7 million of outstanding borrowings under the Credit Facility, had an interest rate of 2.54% and 2.53%, excluding the 0.50% undrawn commitment fee.</w:t>
      </w:r>
    </w:p>
    <w:p>
      <w:pPr>
        <w:spacing w:after="0" w:line="111" w:lineRule="exact"/>
        <w:rPr>
          <w:sz w:val="20"/>
          <w:szCs w:val="20"/>
          <w:color w:val="auto"/>
        </w:rPr>
      </w:pPr>
    </w:p>
    <w:p>
      <w:pPr>
        <w:ind w:right="60" w:firstLine="342"/>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March 31, 2012, we were in compliance with our covenants relating to our Credit Facility.</w:t>
      </w:r>
    </w:p>
    <w:p>
      <w:pPr>
        <w:spacing w:after="0" w:line="120" w:lineRule="exact"/>
        <w:rPr>
          <w:sz w:val="20"/>
          <w:szCs w:val="20"/>
          <w:color w:val="auto"/>
        </w:rPr>
      </w:pPr>
    </w:p>
    <w:p>
      <w:pPr>
        <w:ind w:right="140" w:firstLine="342"/>
        <w:spacing w:after="0" w:line="22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40"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39" w:lineRule="exact"/>
        <w:rPr>
          <w:sz w:val="20"/>
          <w:szCs w:val="20"/>
          <w:color w:val="auto"/>
        </w:rPr>
      </w:pPr>
    </w:p>
    <w:p>
      <w:pPr>
        <w:ind w:right="200" w:firstLine="342"/>
        <w:spacing w:after="0" w:line="288" w:lineRule="auto"/>
        <w:rPr>
          <w:sz w:val="20"/>
          <w:szCs w:val="20"/>
          <w:color w:val="auto"/>
        </w:rPr>
      </w:pPr>
      <w:r>
        <w:rPr>
          <w:rFonts w:ascii="Arial" w:cs="Arial" w:eastAsia="Arial" w:hAnsi="Arial"/>
          <w:sz w:val="12"/>
          <w:szCs w:val="12"/>
          <w:color w:val="auto"/>
        </w:rPr>
        <w:t>We may raise equity or debt capital through both registered offerings and by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11"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At March 31, 2012, we had cash equivalents of $3.8 million available for investing and general corporate purposes. We believe our liquidity and capital resources are sufficient to take advantage of market opportunities.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Our operating activities used cash of $23.3 million for the six months ended March 31, 2012, and our financing activities provided net cash proceeds of $20.2 million for the same period. Our operating activities used cash primarily for net investing that was provided from net draws under the Credit Facility.</w:t>
      </w:r>
    </w:p>
    <w:p>
      <w:pPr>
        <w:spacing w:after="0" w:line="13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At September 30, 2011, we had cash equivalents of $7.0 million available for investing and general corporate purposes. We believe our liquidity and capital resources are sufficient to take advantage of market opportunities.</w:t>
      </w:r>
    </w:p>
    <w:p>
      <w:pPr>
        <w:spacing w:after="0" w:line="58"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the Credit Facility.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our significant contractual payment obligations including, but not limited to, borrowings under our Credit Facility maturing in June 2016 and other contractual obligations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Payments due by period (in millions)</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5 years</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tcPr>
          <w:p>
            <w:pPr>
              <w:spacing w:after="0"/>
              <w:rPr>
                <w:sz w:val="11"/>
                <w:szCs w:val="11"/>
                <w:color w:val="auto"/>
              </w:rPr>
            </w:pPr>
          </w:p>
        </w:tc>
        <w:tc>
          <w:tcPr>
            <w:tcW w:w="35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Credit Facility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line="217" w:lineRule="exact"/>
              <w:rPr>
                <w:sz w:val="20"/>
                <w:szCs w:val="20"/>
                <w:color w:val="auto"/>
              </w:rPr>
            </w:pPr>
            <w:r>
              <w:rPr>
                <w:rFonts w:ascii="Arial" w:cs="Arial" w:eastAsia="Arial" w:hAnsi="Arial"/>
                <w:sz w:val="14"/>
                <w:szCs w:val="14"/>
                <w:color w:val="auto"/>
              </w:rPr>
              <w:t>Unfunded investments</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contractual obligations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tcBorders>
              <w:bottom w:val="single" w:sz="8" w:color="auto"/>
            </w:tcBorders>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Unfunded debt investments described in the Consolidated Statements of Assets and Liabilities represent unfunded delayed draws on investments in subordinated debt investments.</w:t>
      </w:r>
    </w:p>
    <w:p>
      <w:pPr>
        <w:spacing w:after="0" w:line="92"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approved by the board of directors, including a majority of our independent directors, in March 2011, PennantPark Investment Advisers serves as our Investment Adviser in accordance with the terms of the Investment Management Agreement. Payments under our Investment Management Agreement in each reporting period are equal to: (1) a management fee equal to a percentage of the value of our gross assets and (2) an incentive fee based on our performance.</w:t>
      </w:r>
    </w:p>
    <w:p>
      <w:pPr>
        <w:spacing w:after="0" w:line="11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Under our Administration Agreement approved by the board of directors, including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0"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During the three and six months ended March 31, 2012, we declared distributions of $0.225 and $0.435 per share, respectively, for total distributions of $1.5 million and $3.0 million, respectively. During the period March 4, 2011 (commencement of operations) to September 30, 2011, we declared to stockholders distributions of $ 0.25 per share for total distributions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w:t>
      </w:r>
    </w:p>
    <w:p>
      <w:pPr>
        <w:spacing w:after="0" w:line="150"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jc w:val="both"/>
        <w:ind w:right="60" w:firstLine="456"/>
        <w:spacing w:after="0" w:line="239"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39" w:lineRule="exact"/>
        <w:rPr>
          <w:sz w:val="20"/>
          <w:szCs w:val="20"/>
          <w:color w:val="auto"/>
        </w:rPr>
      </w:pPr>
    </w:p>
    <w:p>
      <w:pPr>
        <w:jc w:val="both"/>
        <w:ind w:right="8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52"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are subject to financial market risks, including changes in interest rates. As of March 31, 2012, our portfolio consisted of 85% variable-rate investments (including 80% with a LIBOR or prime floor) and 15% fixed-rate investments. The variable-rate loans are usually based on a floating LIBOR rate and typically have durations of three months after which they reset to current market interest rates. Variable-rate investments subject to a floor generally reset by reference to the current market index after one to six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17"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Assuming that the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7"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52"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Information about our senior securities is shown in the following table as of March 31, 2012 and September 30, 2011. The information as of September 30,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Involuntary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Coverage</w:t>
            </w:r>
          </w:p>
        </w:tc>
        <w:tc>
          <w:tcPr>
            <w:tcW w:w="1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Preference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1800" w:type="dxa"/>
            <w:vAlign w:val="bottom"/>
            <w:gridSpan w:val="2"/>
          </w:tcPr>
          <w:p>
            <w:pPr>
              <w:jc w:val="center"/>
              <w:ind w:right="100"/>
              <w:spacing w:after="0" w:line="189" w:lineRule="exact"/>
              <w:rPr>
                <w:sz w:val="20"/>
                <w:szCs w:val="20"/>
                <w:color w:val="auto"/>
              </w:rPr>
            </w:pPr>
            <w:r>
              <w:rPr>
                <w:rFonts w:ascii="Arial" w:cs="Arial" w:eastAsia="Arial" w:hAnsi="Arial"/>
                <w:sz w:val="13"/>
                <w:szCs w:val="13"/>
                <w:b w:val="1"/>
                <w:bCs w:val="1"/>
                <w:color w:val="auto"/>
                <w:w w:val="93"/>
              </w:rPr>
              <w:t xml:space="preserve">Per Unit </w:t>
            </w:r>
            <w:r>
              <w:rPr>
                <w:rFonts w:ascii="Arial" w:cs="Arial" w:eastAsia="Arial" w:hAnsi="Arial"/>
                <w:sz w:val="21"/>
                <w:szCs w:val="21"/>
                <w:b w:val="1"/>
                <w:bCs w:val="1"/>
                <w:color w:val="auto"/>
                <w:w w:val="93"/>
                <w:vertAlign w:val="superscript"/>
              </w:rPr>
              <w:t>(3)</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Credit Facility</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Arial" w:cs="Arial" w:eastAsia="Arial" w:hAnsi="Arial"/>
                <w:sz w:val="14"/>
                <w:szCs w:val="14"/>
                <w:color w:val="auto"/>
              </w:rPr>
              <w:t>Fiscal 2012 (as of March 31, 2012)</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$47,800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3"/>
              </w:rPr>
              <w:t>$3,018</w:t>
            </w:r>
          </w:p>
        </w:tc>
        <w:tc>
          <w:tcPr>
            <w:tcW w:w="120" w:type="dxa"/>
            <w:vAlign w:val="bottom"/>
          </w:tcPr>
          <w:p>
            <w:pPr>
              <w:spacing w:after="0"/>
              <w:rPr>
                <w:sz w:val="14"/>
                <w:szCs w:val="14"/>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N/A</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Fiscal 2011 (as of September 30, 2011)</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$24,650</w:t>
            </w:r>
          </w:p>
        </w:tc>
        <w:tc>
          <w:tcPr>
            <w:tcW w:w="12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3"/>
              </w:rPr>
              <w:t>$4,735</w:t>
            </w:r>
          </w:p>
        </w:tc>
        <w:tc>
          <w:tcPr>
            <w:tcW w:w="12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N/A</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0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gridSpan w:val="2"/>
            <w:vMerge w:val="continue"/>
            <w:shd w:val="clear" w:color="auto" w:fill="CCEEFF"/>
          </w:tcPr>
          <w:p>
            <w:pPr>
              <w:spacing w:after="0"/>
              <w:rPr>
                <w:sz w:val="3"/>
                <w:szCs w:val="3"/>
                <w:color w:val="auto"/>
              </w:rPr>
            </w:pPr>
          </w:p>
        </w:tc>
        <w:tc>
          <w:tcPr>
            <w:tcW w:w="160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ind w:left="460" w:hanging="452"/>
        <w:spacing w:after="0" w:line="221"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to which such class of senior security would be entitled upon the involuntary liquidation of the issuer in preference to any security junior to it.</w:t>
      </w: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OBLIGATIONS AND INDEBTEDNESS</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connection with our initial public offering of our common stock, the Investment Adviser paid to the underwriters 2% of the sales load, or $2.1 million in the aggregate.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52"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NAV, and quarterly dividends per share since shares of our common stock began being regularly quoted on the NASDAQ Global Select Market. On July 24, 2012, the last reported closing price of our common stock was $12.14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Closing Sales Price</w:t>
            </w:r>
          </w:p>
        </w:tc>
        <w:tc>
          <w:tcPr>
            <w:tcW w:w="1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Discount of High Sales</w:t>
            </w:r>
          </w:p>
        </w:tc>
        <w:tc>
          <w:tcPr>
            <w:tcW w:w="1920" w:type="dxa"/>
            <w:vAlign w:val="bottom"/>
          </w:tcPr>
          <w:p>
            <w:pPr>
              <w:jc w:val="right"/>
              <w:ind w:right="433"/>
              <w:spacing w:after="0"/>
              <w:rPr>
                <w:sz w:val="20"/>
                <w:szCs w:val="20"/>
                <w:color w:val="auto"/>
              </w:rPr>
            </w:pPr>
            <w:r>
              <w:rPr>
                <w:rFonts w:ascii="Arial" w:cs="Arial" w:eastAsia="Arial" w:hAnsi="Arial"/>
                <w:sz w:val="14"/>
                <w:szCs w:val="14"/>
                <w:b w:val="1"/>
                <w:bCs w:val="1"/>
                <w:color w:val="auto"/>
                <w:w w:val="93"/>
              </w:rPr>
              <w:t>Discount of Low Sales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840" w:type="dxa"/>
            <w:vAlign w:val="bottom"/>
            <w:gridSpan w:val="2"/>
            <w:vMerge w:val="restart"/>
          </w:tcPr>
          <w:p>
            <w:pPr>
              <w:jc w:val="right"/>
              <w:ind w:right="820"/>
              <w:spacing w:after="0" w:line="135" w:lineRule="exact"/>
              <w:rPr>
                <w:sz w:val="20"/>
                <w:szCs w:val="20"/>
                <w:color w:val="auto"/>
              </w:rPr>
            </w:pPr>
            <w:r>
              <w:rPr>
                <w:rFonts w:ascii="Arial" w:cs="Arial" w:eastAsia="Arial" w:hAnsi="Arial"/>
                <w:sz w:val="14"/>
                <w:szCs w:val="14"/>
                <w:b w:val="1"/>
                <w:bCs w:val="1"/>
                <w:color w:val="auto"/>
              </w:rPr>
              <w:t>Price to</w:t>
            </w:r>
          </w:p>
        </w:tc>
        <w:tc>
          <w:tcPr>
            <w:tcW w:w="1920" w:type="dxa"/>
            <w:vAlign w:val="bottom"/>
            <w:vMerge w:val="restart"/>
          </w:tcPr>
          <w:p>
            <w:pPr>
              <w:jc w:val="right"/>
              <w:ind w:right="853"/>
              <w:spacing w:after="0" w:line="135" w:lineRule="exact"/>
              <w:rPr>
                <w:sz w:val="20"/>
                <w:szCs w:val="20"/>
                <w:color w:val="auto"/>
              </w:rPr>
            </w:pPr>
            <w:r>
              <w:rPr>
                <w:rFonts w:ascii="Arial" w:cs="Arial" w:eastAsia="Arial" w:hAnsi="Arial"/>
                <w:sz w:val="14"/>
                <w:szCs w:val="14"/>
                <w:b w:val="1"/>
                <w:bCs w:val="1"/>
                <w:color w:val="auto"/>
              </w:rPr>
              <w:t>Price to</w:t>
            </w:r>
          </w:p>
        </w:tc>
        <w:tc>
          <w:tcPr>
            <w:tcW w:w="8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restart"/>
          </w:tcPr>
          <w:p>
            <w:pPr>
              <w:jc w:val="right"/>
              <w:ind w:right="312"/>
              <w:spacing w:after="0" w:line="223" w:lineRule="exact"/>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22"/>
                <w:szCs w:val="22"/>
                <w:b w:val="1"/>
                <w:bCs w:val="1"/>
                <w:color w:val="auto"/>
                <w:vertAlign w:val="superscript"/>
              </w:rPr>
              <w:t>(1)</w:t>
            </w:r>
          </w:p>
        </w:tc>
        <w:tc>
          <w:tcPr>
            <w:tcW w:w="86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92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vMerge w:val="continue"/>
          </w:tcPr>
          <w:p>
            <w:pPr>
              <w:spacing w:after="0"/>
              <w:rPr>
                <w:sz w:val="15"/>
                <w:szCs w:val="15"/>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High</w:t>
            </w:r>
          </w:p>
        </w:tc>
        <w:tc>
          <w:tcPr>
            <w:tcW w:w="86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1840" w:type="dxa"/>
            <w:vAlign w:val="bottom"/>
            <w:gridSpan w:val="2"/>
          </w:tcPr>
          <w:p>
            <w:pPr>
              <w:jc w:val="right"/>
              <w:ind w:right="820"/>
              <w:spacing w:after="0" w:line="176" w:lineRule="exact"/>
              <w:rPr>
                <w:sz w:val="20"/>
                <w:szCs w:val="20"/>
                <w:color w:val="auto"/>
              </w:rPr>
            </w:pPr>
            <w:r>
              <w:rPr>
                <w:rFonts w:ascii="Arial" w:cs="Arial" w:eastAsia="Arial" w:hAnsi="Arial"/>
                <w:sz w:val="13"/>
                <w:szCs w:val="13"/>
                <w:b w:val="1"/>
                <w:bCs w:val="1"/>
                <w:color w:val="auto"/>
              </w:rPr>
              <w:t xml:space="preserve">NAV </w:t>
            </w:r>
            <w:r>
              <w:rPr>
                <w:rFonts w:ascii="Arial" w:cs="Arial" w:eastAsia="Arial" w:hAnsi="Arial"/>
                <w:sz w:val="20"/>
                <w:szCs w:val="20"/>
                <w:b w:val="1"/>
                <w:bCs w:val="1"/>
                <w:color w:val="auto"/>
                <w:vertAlign w:val="superscript"/>
              </w:rPr>
              <w:t>(2)</w:t>
            </w:r>
          </w:p>
        </w:tc>
        <w:tc>
          <w:tcPr>
            <w:tcW w:w="1920" w:type="dxa"/>
            <w:vAlign w:val="bottom"/>
          </w:tcPr>
          <w:p>
            <w:pPr>
              <w:jc w:val="right"/>
              <w:ind w:right="853"/>
              <w:spacing w:after="0" w:line="176" w:lineRule="exact"/>
              <w:rPr>
                <w:sz w:val="20"/>
                <w:szCs w:val="20"/>
                <w:color w:val="auto"/>
              </w:rPr>
            </w:pPr>
            <w:r>
              <w:rPr>
                <w:rFonts w:ascii="Arial" w:cs="Arial" w:eastAsia="Arial" w:hAnsi="Arial"/>
                <w:sz w:val="13"/>
                <w:szCs w:val="13"/>
                <w:b w:val="1"/>
                <w:bCs w:val="1"/>
                <w:color w:val="auto"/>
              </w:rPr>
              <w:t xml:space="preserve">NAV </w:t>
            </w:r>
            <w:r>
              <w:rPr>
                <w:rFonts w:ascii="Arial" w:cs="Arial" w:eastAsia="Arial" w:hAnsi="Arial"/>
                <w:sz w:val="20"/>
                <w:szCs w:val="20"/>
                <w:b w:val="1"/>
                <w:bCs w:val="1"/>
                <w:color w:val="auto"/>
                <w:vertAlign w:val="superscript"/>
              </w:rPr>
              <w:t>(2)</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142"/>
        </w:trPr>
        <w:tc>
          <w:tcPr>
            <w:tcW w:w="3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Ending September 30, 2012</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9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Fourth Fiscal Quarter (July 24, 2012)</w:t>
            </w:r>
          </w:p>
        </w:tc>
        <w:tc>
          <w:tcPr>
            <w:tcW w:w="11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N/A</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12.18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11.85</w:t>
            </w:r>
          </w:p>
        </w:tc>
        <w:tc>
          <w:tcPr>
            <w:tcW w:w="180" w:type="dxa"/>
            <w:vAlign w:val="bottom"/>
          </w:tcPr>
          <w:p>
            <w:pPr>
              <w:spacing w:after="0"/>
              <w:rPr>
                <w:sz w:val="12"/>
                <w:szCs w:val="12"/>
                <w:color w:val="auto"/>
              </w:rPr>
            </w:pPr>
          </w:p>
        </w:tc>
        <w:tc>
          <w:tcPr>
            <w:tcW w:w="1840" w:type="dxa"/>
            <w:vAlign w:val="bottom"/>
            <w:gridSpan w:val="2"/>
          </w:tcPr>
          <w:p>
            <w:pPr>
              <w:ind w:left="1340"/>
              <w:spacing w:after="0" w:line="149" w:lineRule="exact"/>
              <w:rPr>
                <w:sz w:val="20"/>
                <w:szCs w:val="20"/>
                <w:color w:val="auto"/>
              </w:rPr>
            </w:pPr>
            <w:r>
              <w:rPr>
                <w:rFonts w:ascii="Arial" w:cs="Arial" w:eastAsia="Arial" w:hAnsi="Arial"/>
                <w:sz w:val="14"/>
                <w:szCs w:val="14"/>
                <w:color w:val="auto"/>
              </w:rPr>
              <w:t>N/A%</w:t>
            </w:r>
          </w:p>
        </w:tc>
        <w:tc>
          <w:tcPr>
            <w:tcW w:w="1920" w:type="dxa"/>
            <w:vAlign w:val="bottom"/>
          </w:tcPr>
          <w:p>
            <w:pPr>
              <w:ind w:left="1320"/>
              <w:spacing w:after="0" w:line="149" w:lineRule="exact"/>
              <w:rPr>
                <w:sz w:val="20"/>
                <w:szCs w:val="20"/>
                <w:color w:val="auto"/>
              </w:rPr>
            </w:pPr>
            <w:r>
              <w:rPr>
                <w:rFonts w:ascii="Arial" w:cs="Arial" w:eastAsia="Arial" w:hAnsi="Arial"/>
                <w:sz w:val="14"/>
                <w:szCs w:val="14"/>
                <w:color w:val="auto"/>
              </w:rPr>
              <w:t>N/A%  $</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1"/>
                <w:szCs w:val="11"/>
                <w:color w:val="auto"/>
              </w:rPr>
              <w:t>0.080</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Fiscal Quarter</w:t>
            </w:r>
          </w:p>
        </w:tc>
        <w:tc>
          <w:tcPr>
            <w:tcW w:w="11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N/A</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11.93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1340"/>
              <w:spacing w:after="0" w:line="149" w:lineRule="exact"/>
              <w:rPr>
                <w:sz w:val="20"/>
                <w:szCs w:val="20"/>
                <w:color w:val="auto"/>
              </w:rPr>
            </w:pPr>
            <w:r>
              <w:rPr>
                <w:rFonts w:ascii="Arial" w:cs="Arial" w:eastAsia="Arial" w:hAnsi="Arial"/>
                <w:sz w:val="14"/>
                <w:szCs w:val="14"/>
                <w:color w:val="auto"/>
              </w:rPr>
              <w:t>N/A</w:t>
            </w:r>
          </w:p>
        </w:tc>
        <w:tc>
          <w:tcPr>
            <w:tcW w:w="1920" w:type="dxa"/>
            <w:vAlign w:val="bottom"/>
            <w:shd w:val="clear" w:color="auto" w:fill="CCEEFF"/>
          </w:tcPr>
          <w:p>
            <w:pPr>
              <w:ind w:left="1320"/>
              <w:spacing w:after="0" w:line="149" w:lineRule="exact"/>
              <w:rPr>
                <w:sz w:val="20"/>
                <w:szCs w:val="20"/>
                <w:color w:val="auto"/>
              </w:rPr>
            </w:pPr>
            <w:r>
              <w:rPr>
                <w:rFonts w:ascii="Arial" w:cs="Arial" w:eastAsia="Arial" w:hAnsi="Arial"/>
                <w:sz w:val="14"/>
                <w:szCs w:val="14"/>
                <w:color w:val="auto"/>
              </w:rPr>
              <w:t>N/A</w:t>
            </w:r>
          </w:p>
        </w:tc>
        <w:tc>
          <w:tcPr>
            <w:tcW w:w="76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0.235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Second Fiscal Quarter</w:t>
            </w:r>
          </w:p>
        </w:tc>
        <w:tc>
          <w:tcPr>
            <w:tcW w:w="11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14.12</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10.52</w:t>
            </w:r>
          </w:p>
        </w:tc>
        <w:tc>
          <w:tcPr>
            <w:tcW w:w="180" w:type="dxa"/>
            <w:vAlign w:val="bottom"/>
          </w:tcPr>
          <w:p>
            <w:pPr>
              <w:spacing w:after="0"/>
              <w:rPr>
                <w:sz w:val="12"/>
                <w:szCs w:val="12"/>
                <w:color w:val="auto"/>
              </w:rPr>
            </w:pPr>
          </w:p>
        </w:tc>
        <w:tc>
          <w:tcPr>
            <w:tcW w:w="1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19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(25)</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0.225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Fiscal Quarter</w:t>
            </w:r>
          </w:p>
        </w:tc>
        <w:tc>
          <w:tcPr>
            <w:tcW w:w="11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13.68</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11.03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w:t>
            </w: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92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(27)</w:t>
            </w:r>
          </w:p>
        </w:tc>
        <w:tc>
          <w:tcPr>
            <w:tcW w:w="76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0.210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Ending September 30, 2011</w:t>
            </w: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Fiscal Quarter</w:t>
            </w:r>
          </w:p>
        </w:tc>
        <w:tc>
          <w:tcPr>
            <w:tcW w:w="11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13.44</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12.85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w:t>
            </w: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92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(23)</w:t>
            </w:r>
          </w:p>
        </w:tc>
        <w:tc>
          <w:tcPr>
            <w:tcW w:w="76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960" w:type="dxa"/>
            <w:vAlign w:val="bottom"/>
            <w:gridSpan w:val="2"/>
          </w:tcPr>
          <w:p>
            <w:pPr>
              <w:spacing w:after="0"/>
              <w:rPr>
                <w:sz w:val="20"/>
                <w:szCs w:val="20"/>
                <w:color w:val="auto"/>
              </w:rPr>
            </w:pPr>
            <w:r>
              <w:rPr>
                <w:rFonts w:ascii="Arial" w:cs="Arial" w:eastAsia="Arial" w:hAnsi="Arial"/>
                <w:sz w:val="14"/>
                <w:szCs w:val="14"/>
                <w:color w:val="auto"/>
              </w:rPr>
              <w:t>Third Fiscal Quarter</w:t>
            </w:r>
            <w:r>
              <w:rPr>
                <w:rFonts w:ascii="Arial" w:cs="Arial" w:eastAsia="Arial" w:hAnsi="Arial"/>
                <w:sz w:val="22"/>
                <w:szCs w:val="22"/>
                <w:color w:val="auto"/>
                <w:vertAlign w:val="superscript"/>
              </w:rPr>
              <w:t>(4)</w:t>
            </w:r>
          </w:p>
        </w:tc>
        <w:tc>
          <w:tcPr>
            <w:tcW w:w="1160" w:type="dxa"/>
            <w:vAlign w:val="bottom"/>
          </w:tcPr>
          <w:p>
            <w:pPr>
              <w:jc w:val="right"/>
              <w:ind w:right="172"/>
              <w:spacing w:after="0"/>
              <w:rPr>
                <w:sz w:val="20"/>
                <w:szCs w:val="20"/>
                <w:color w:val="auto"/>
              </w:rPr>
            </w:pPr>
            <w:r>
              <w:rPr>
                <w:rFonts w:ascii="Arial" w:cs="Arial" w:eastAsia="Arial" w:hAnsi="Arial"/>
                <w:sz w:val="14"/>
                <w:szCs w:val="14"/>
                <w:color w:val="auto"/>
              </w:rPr>
              <w:t>14.06</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13.70</w:t>
            </w:r>
          </w:p>
        </w:tc>
        <w:tc>
          <w:tcPr>
            <w:tcW w:w="680" w:type="dxa"/>
            <w:vAlign w:val="bottom"/>
          </w:tcPr>
          <w:p>
            <w:pPr>
              <w:jc w:val="right"/>
              <w:spacing w:after="0"/>
              <w:rPr>
                <w:sz w:val="20"/>
                <w:szCs w:val="20"/>
                <w:color w:val="auto"/>
              </w:rPr>
            </w:pPr>
            <w:r>
              <w:rPr>
                <w:rFonts w:ascii="Arial" w:cs="Arial" w:eastAsia="Arial" w:hAnsi="Arial"/>
                <w:sz w:val="14"/>
                <w:szCs w:val="14"/>
                <w:color w:val="auto"/>
              </w:rPr>
              <w:t>12.27</w:t>
            </w:r>
          </w:p>
        </w:tc>
        <w:tc>
          <w:tcPr>
            <w:tcW w:w="180" w:type="dxa"/>
            <w:vAlign w:val="bottom"/>
          </w:tcPr>
          <w:p>
            <w:pPr>
              <w:spacing w:after="0"/>
              <w:rPr>
                <w:sz w:val="24"/>
                <w:szCs w:val="24"/>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(3)</w:t>
            </w:r>
          </w:p>
        </w:tc>
        <w:tc>
          <w:tcPr>
            <w:tcW w:w="1920" w:type="dxa"/>
            <w:vAlign w:val="bottom"/>
          </w:tcPr>
          <w:p>
            <w:pPr>
              <w:jc w:val="right"/>
              <w:ind w:right="253"/>
              <w:spacing w:after="0"/>
              <w:rPr>
                <w:sz w:val="20"/>
                <w:szCs w:val="20"/>
                <w:color w:val="auto"/>
              </w:rPr>
            </w:pPr>
            <w:r>
              <w:rPr>
                <w:rFonts w:ascii="Arial" w:cs="Arial" w:eastAsia="Arial" w:hAnsi="Arial"/>
                <w:sz w:val="14"/>
                <w:szCs w:val="14"/>
                <w:color w:val="auto"/>
              </w:rPr>
              <w:t>(13)</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0.050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460" w:right="500" w:hanging="452"/>
        <w:spacing w:after="0" w:line="225"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the discount (difference between NAV and relevant closing price) to the high or low closing sales price divided by the quarter end NAV.</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Dividend of $0.080 is payable on August 1, 2012 to stockholders of record as of July 20, 2012.</w:t>
      </w: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From April 9, 2011 (commencement of trading) to June 30, 2011.</w:t>
      </w:r>
    </w:p>
    <w:p>
      <w:pPr>
        <w:spacing w:after="0" w:line="138" w:lineRule="exact"/>
        <w:rPr>
          <w:sz w:val="20"/>
          <w:szCs w:val="20"/>
          <w:color w:val="auto"/>
        </w:rPr>
      </w:pPr>
    </w:p>
    <w:p>
      <w:pPr>
        <w:ind w:right="80" w:firstLine="342"/>
        <w:spacing w:after="0" w:line="278" w:lineRule="auto"/>
        <w:rPr>
          <w:sz w:val="20"/>
          <w:szCs w:val="20"/>
          <w:color w:val="auto"/>
        </w:rPr>
      </w:pPr>
      <w:r>
        <w:rPr>
          <w:rFonts w:ascii="Arial" w:cs="Arial" w:eastAsia="Arial" w:hAnsi="Arial"/>
          <w:sz w:val="12"/>
          <w:szCs w:val="12"/>
          <w:color w:val="auto"/>
        </w:rPr>
        <w:t>Shares of BDCs may trade at a market price that is less than the NAV that is attributable to those shares. Our shares have traded and may continue to trade below our NAV. Our shares traded on the NASDAQ Global Select Market at $11.75 and $10.55 as of March 31, 2012 and September 30, 2011, respectively. Our NAV was $14.12 and $13.44, as of March 31, 2012 and September 30,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8"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Whether the estimated offering price would closely approximate the market value of our shares, less distributing commissions or discounts, and would not be below current market price;</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investment opportunities available relative to the potential dilutive effect of additional capital at the time of the offering.</w:t>
      </w:r>
    </w:p>
    <w:p>
      <w:pPr>
        <w:spacing w:after="0" w:line="15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premium to NAV per share.</w:t>
      </w:r>
    </w:p>
    <w:p>
      <w:pPr>
        <w:spacing w:after="0" w:line="9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w:t>
      </w:r>
    </w:p>
    <w:p>
      <w:pPr>
        <w:spacing w:after="0" w:line="139" w:lineRule="exact"/>
        <w:rPr>
          <w:sz w:val="20"/>
          <w:szCs w:val="20"/>
          <w:color w:val="auto"/>
        </w:rPr>
      </w:pPr>
    </w:p>
    <w:p>
      <w:pPr>
        <w:ind w:firstLine="342"/>
        <w:spacing w:after="0" w:line="262"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3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Example 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10% Offering</w:t>
            </w:r>
          </w:p>
        </w:tc>
        <w:tc>
          <w:tcPr>
            <w:tcW w:w="10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at 10% Discount</w:t>
            </w: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i w:val="1"/>
                <w:iCs w:val="1"/>
                <w:color w:val="auto"/>
              </w:rPr>
              <w:t>Offering Price</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9.52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8.47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NAV</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1,100,000</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NAV per share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0.95%</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NAV held by stockholder A</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w w:val="93"/>
              </w:rPr>
              <w:t>Total investment by stockholder A (assumed to be $10.00 per share)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dilution to stockholder A (total NAV less total investment)</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NAV per share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89"/>
              </w:rPr>
              <w:t>Investment per share held by stockholder A (assumed to be $10.00 per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share on shares held prior to sale)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Dilution per share held by stockholder A (NAV per share less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97"/>
              </w:rPr>
              <w:t>Percentage dilution to stockholder A (dilution per share divided by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42</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Participate in the Offering</w:t>
      </w:r>
    </w:p>
    <w:p>
      <w:pPr>
        <w:spacing w:after="0" w:line="69"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w:t>
      </w:r>
    </w:p>
    <w:p>
      <w:pPr>
        <w:spacing w:after="0" w:line="1" w:lineRule="exact"/>
        <w:rPr>
          <w:sz w:val="20"/>
          <w:szCs w:val="20"/>
          <w:color w:val="auto"/>
        </w:rPr>
      </w:pPr>
    </w:p>
    <w:p>
      <w:pPr>
        <w:ind w:firstLine="8"/>
        <w:spacing w:after="0" w:line="277" w:lineRule="auto"/>
        <w:tabs>
          <w:tab w:leader="none" w:pos="191" w:val="left"/>
        </w:tabs>
        <w:numPr>
          <w:ilvl w:val="0"/>
          <w:numId w:val="23"/>
        </w:numPr>
        <w:rPr>
          <w:rFonts w:ascii="Arial" w:cs="Arial" w:eastAsia="Arial" w:hAnsi="Arial"/>
          <w:sz w:val="12"/>
          <w:szCs w:val="12"/>
          <w:color w:val="auto"/>
        </w:rPr>
      </w:pPr>
      <w:r>
        <w:rPr>
          <w:rFonts w:ascii="Arial" w:cs="Arial" w:eastAsia="Arial" w:hAnsi="Arial"/>
          <w:sz w:val="12"/>
          <w:szCs w:val="12"/>
          <w:color w:val="auto"/>
        </w:rPr>
        <w:t>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proceeds per share to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(dilution)/accretion to stockholder A (total NAV less total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per share held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(Dilution)/accretion per share held by stockholder A (NAV per share less investment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8" w:lineRule="exact"/>
        <w:rPr>
          <w:sz w:val="20"/>
          <w:szCs w:val="20"/>
          <w:color w:val="auto"/>
        </w:rPr>
      </w:pPr>
    </w:p>
    <w:p>
      <w:pPr>
        <w:ind w:left="440" w:right="60"/>
        <w:spacing w:after="0" w:line="239" w:lineRule="auto"/>
        <w:rPr>
          <w:sz w:val="20"/>
          <w:szCs w:val="20"/>
          <w:color w:val="auto"/>
        </w:rPr>
      </w:pPr>
      <w:r>
        <w:rPr>
          <w:rFonts w:ascii="Arial" w:cs="Arial" w:eastAsia="Arial" w:hAnsi="Arial"/>
          <w:sz w:val="14"/>
          <w:szCs w:val="14"/>
          <w:color w:val="auto"/>
        </w:rPr>
        <w:t>Percentage (dilution)/accretion to stockholder A (dilution/accretion per share divided by investment per share)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50% Participation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1,200,000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0.92%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1.08%</w:t>
            </w: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106,370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125,710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108,470</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125,410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(2,100)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9.86</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(0.19)</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bl>
    <w:p>
      <w:pPr>
        <w:sectPr>
          <w:pgSz w:w="11900" w:h="16838" w:orient="portrait"/>
          <w:cols w:equalWidth="0" w:num="2">
            <w:col w:w="6100" w:space="440"/>
            <w:col w:w="488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investment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 to stockholder A (total NAV less total investment)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per share held by stockholder A</w:t>
      </w:r>
    </w:p>
    <w:p>
      <w:pPr>
        <w:spacing w:after="0" w:line="55"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right="32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9"/>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Prior to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2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1,100,000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10.00 %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20.00 %</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0.17%</w:t>
            </w: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4,990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19,340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16,940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14.17 %</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44</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-2854960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-2580640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-2305685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-2031365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-1757045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-1482725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-1208405</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-934085</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-659130</wp:posOffset>
            </wp:positionV>
            <wp:extent cx="7246620" cy="231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4380" w:space="280"/>
            <w:col w:w="676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1"/>
        </w:trPr>
        <w:tc>
          <w:tcPr>
            <w:tcW w:w="6480" w:type="dxa"/>
            <w:vAlign w:val="bottom"/>
            <w:gridSpan w:val="2"/>
            <w:vMerge w:val="continue"/>
          </w:tcPr>
          <w:p>
            <w:pPr>
              <w:spacing w:after="0"/>
              <w:rPr>
                <w:sz w:val="14"/>
                <w:szCs w:val="14"/>
                <w:color w:val="auto"/>
              </w:rPr>
            </w:pPr>
          </w:p>
        </w:tc>
        <w:tc>
          <w:tcPr>
            <w:tcW w:w="2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Payment Dates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90"/>
        </w:trPr>
        <w:tc>
          <w:tcPr>
            <w:tcW w:w="55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Fiscal year ending September 30, 2012</w:t>
            </w: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July 20,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August 1, 2012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June 21, 2012</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2, 2012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0.080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May 22,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June 1, 2012</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April 20, 2012</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May 1, 2012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March 22,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April 1, 2012</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February 20, 2012</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March 1,2012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January 20,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February 1, 2012</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December 23,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January 3, 2012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November 21,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December 1, 2011</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October 21,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November 1, 2011</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0.750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5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Fiscal year ending September 30, 2011*</w:t>
            </w:r>
          </w:p>
        </w:tc>
        <w:tc>
          <w:tcPr>
            <w:tcW w:w="1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September 23,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October 3, 2011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August 22,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September 1, 2011</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July 22,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August 1, 2011</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June 24,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1, 2011</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0.050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0.250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43478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07"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note 7 to our Consolidated Financial Statements as of September 30, 2011.</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9"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 Park Floating Rate Capital Ltd.</w:t>
      </w:r>
    </w:p>
    <w:p>
      <w:pPr>
        <w:spacing w:after="0" w:line="7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5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BDC under the 1940 Act. In addition, for tax purposes we have elected to be treated, and intend to qualify annually, as a RIC under the Code.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for more information.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w:t>
      </w:r>
    </w:p>
    <w:p>
      <w:pPr>
        <w:spacing w:after="0" w:line="55" w:lineRule="exact"/>
        <w:rPr>
          <w:sz w:val="20"/>
          <w:szCs w:val="20"/>
          <w:color w:val="auto"/>
        </w:rPr>
      </w:pPr>
    </w:p>
    <w:p>
      <w:pPr>
        <w:jc w:val="both"/>
        <w:ind w:left="540" w:right="22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w:t>
      </w:r>
      <w:r>
        <w:rPr>
          <w:rFonts w:ascii="Arial" w:cs="Arial" w:eastAsia="Arial" w:hAnsi="Arial"/>
          <w:sz w:val="14"/>
          <w:szCs w:val="14"/>
          <w:b w:val="1"/>
          <w:bCs w:val="1"/>
          <w:color w:val="auto"/>
        </w:rPr>
        <w:t xml:space="preserve"> </w:t>
      </w:r>
      <w:r>
        <w:rPr>
          <w:rFonts w:ascii="Arial" w:cs="Arial" w:eastAsia="Arial" w:hAnsi="Arial"/>
          <w:sz w:val="14"/>
          <w:szCs w:val="14"/>
          <w:color w:val="auto"/>
        </w:rPr>
        <w:t>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rFonts w:ascii="Arial" w:cs="Arial" w:eastAsia="Arial" w:hAnsi="Arial"/>
          <w:sz w:val="14"/>
          <w:szCs w:val="14"/>
          <w:color w:val="auto"/>
        </w:rPr>
      </w:pPr>
    </w:p>
    <w:p>
      <w:pPr>
        <w:ind w:left="54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 CLO funds have withdrawn capital from the middle-market</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in opportunities for alternative funding sources.</w:t>
      </w:r>
    </w:p>
    <w:p>
      <w:pPr>
        <w:spacing w:after="0" w:line="54" w:lineRule="exact"/>
        <w:rPr>
          <w:rFonts w:ascii="Arial" w:cs="Arial" w:eastAsia="Arial" w:hAnsi="Arial"/>
          <w:sz w:val="14"/>
          <w:szCs w:val="14"/>
          <w:color w:val="auto"/>
        </w:rPr>
      </w:pPr>
    </w:p>
    <w:p>
      <w:pPr>
        <w:ind w:left="540" w:right="28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have reduced lending to middle-market and non-investment grade borrowers. As a result, there is less competition in our market, more conservative capital structures, higher yields and stronger covenants.</w:t>
      </w:r>
    </w:p>
    <w:p>
      <w:pPr>
        <w:spacing w:after="0" w:line="55" w:lineRule="exact"/>
        <w:rPr>
          <w:rFonts w:ascii="Arial" w:cs="Arial" w:eastAsia="Arial" w:hAnsi="Arial"/>
          <w:sz w:val="14"/>
          <w:szCs w:val="14"/>
          <w:color w:val="auto"/>
        </w:rPr>
      </w:pPr>
    </w:p>
    <w:p>
      <w:pPr>
        <w:ind w:left="540" w:right="100" w:hanging="316"/>
        <w:spacing w:after="0" w:line="23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5" w:lineRule="exact"/>
        <w:rPr>
          <w:rFonts w:ascii="Arial" w:cs="Arial" w:eastAsia="Arial" w:hAnsi="Arial"/>
          <w:sz w:val="14"/>
          <w:szCs w:val="14"/>
          <w:color w:val="auto"/>
        </w:rPr>
      </w:pPr>
    </w:p>
    <w:p>
      <w:pPr>
        <w:ind w:left="540" w:right="6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refinancing. </w:t>
      </w:r>
      <w:r>
        <w:rPr>
          <w:rFonts w:ascii="Arial" w:cs="Arial" w:eastAsia="Arial" w:hAnsi="Arial"/>
          <w:sz w:val="14"/>
          <w:szCs w:val="14"/>
          <w:color w:val="auto"/>
        </w:rPr>
        <w:t>A high volume of financings were completed between the years 2004 and 2007, which will come due in the next</w:t>
      </w:r>
      <w:r>
        <w:rPr>
          <w:rFonts w:ascii="Arial" w:cs="Arial" w:eastAsia="Arial" w:hAnsi="Arial"/>
          <w:sz w:val="14"/>
          <w:szCs w:val="14"/>
          <w:b w:val="1"/>
          <w:bCs w:val="1"/>
          <w:color w:val="auto"/>
        </w:rPr>
        <w:t xml:space="preserve"> </w:t>
      </w:r>
      <w:r>
        <w:rPr>
          <w:rFonts w:ascii="Arial" w:cs="Arial" w:eastAsia="Arial" w:hAnsi="Arial"/>
          <w:sz w:val="14"/>
          <w:szCs w:val="14"/>
          <w:color w:val="auto"/>
        </w:rPr>
        <w:t>few years. We believe this supply of opportunities coupled with a lack of demand offers attractive risk-adjusted returns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6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69"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3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69"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 Ability to Source and Evaluate Transactions through our Investment Adviser’s Research Capability and Established Network</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8"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e) Longer Investment Horizon with Attractive Publicly-Traded Model</w:t>
      </w:r>
    </w:p>
    <w:p>
      <w:pPr>
        <w:spacing w:after="0" w:line="69"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Unlike private equity and venture capital funds, we are not subject to standard periodic capital return requirements. Such requirements typically stipulate that funds raised by a private equity or venture capital firms,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36"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100" w:firstLine="342"/>
        <w:spacing w:after="0" w:line="265" w:lineRule="auto"/>
        <w:rPr>
          <w:sz w:val="20"/>
          <w:szCs w:val="20"/>
          <w:color w:val="auto"/>
        </w:rPr>
      </w:pPr>
      <w:r>
        <w:rPr>
          <w:rFonts w:ascii="Arial" w:cs="Arial" w:eastAsia="Arial" w:hAnsi="Arial"/>
          <w:sz w:val="12"/>
          <w:szCs w:val="12"/>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14"/>
          <w:szCs w:val="14"/>
          <w:color w:val="auto"/>
        </w:rPr>
        <w:t>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INVESTMENT OBJECTIVES AND POLICIES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Policy Overview</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Over time, we expect that our portfolio will continue to consist primarily of Floating Rate Loans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Selection Criteria</w:t>
      </w:r>
    </w:p>
    <w:p>
      <w:pPr>
        <w:spacing w:after="0" w:line="7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equity sponsorship</w:t>
      </w:r>
    </w:p>
    <w:p>
      <w:pPr>
        <w:spacing w:after="0" w:line="6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Diligence</w:t>
      </w:r>
    </w:p>
    <w:p>
      <w:pPr>
        <w:spacing w:after="0" w:line="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due diligence typically includes:</w:t>
      </w:r>
    </w:p>
    <w:p>
      <w:pPr>
        <w:spacing w:after="0" w:line="69"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50"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9" w:lineRule="exact"/>
        <w:rPr>
          <w:sz w:val="20"/>
          <w:szCs w:val="20"/>
          <w:color w:val="auto"/>
        </w:rPr>
      </w:pPr>
    </w:p>
    <w:p>
      <w:pPr>
        <w:ind w:right="160" w:firstLine="456"/>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0" w:lineRule="auto"/>
        <w:tabs>
          <w:tab w:leader="none" w:pos="191"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3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94"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274"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Structure</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94"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20" w:firstLine="342"/>
        <w:spacing w:after="0" w:line="288" w:lineRule="auto"/>
        <w:rPr>
          <w:sz w:val="20"/>
          <w:szCs w:val="20"/>
          <w:color w:val="auto"/>
        </w:rPr>
      </w:pPr>
      <w:r>
        <w:rPr>
          <w:rFonts w:ascii="Arial" w:cs="Arial" w:eastAsia="Arial" w:hAnsi="Arial"/>
          <w:sz w:val="12"/>
          <w:szCs w:val="12"/>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1"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8"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68" w:lineRule="exact"/>
        <w:rPr>
          <w:rFonts w:ascii="Arial" w:cs="Arial" w:eastAsia="Arial" w:hAnsi="Arial"/>
          <w:sz w:val="14"/>
          <w:szCs w:val="14"/>
          <w:color w:val="auto"/>
        </w:rPr>
      </w:pPr>
    </w:p>
    <w:p>
      <w:pPr>
        <w:jc w:val="both"/>
        <w:ind w:left="540" w:right="160" w:hanging="316"/>
        <w:spacing w:after="0" w:line="318" w:lineRule="auto"/>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4"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69"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Assessment of success in adhering to portfolio company’s business plan and compliance with covenants;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 and accomplishments;</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of portfolio companies.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6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6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Consolidated Portfolio</w:t>
      </w:r>
    </w:p>
    <w:p>
      <w:pPr>
        <w:spacing w:after="0" w:line="71"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60"/>
              <w:spacing w:after="0"/>
              <w:rPr>
                <w:sz w:val="20"/>
                <w:szCs w:val="20"/>
                <w:color w:val="auto"/>
              </w:rPr>
            </w:pPr>
            <w:r>
              <w:rPr>
                <w:rFonts w:ascii="Arial" w:cs="Arial" w:eastAsia="Arial" w:hAnsi="Arial"/>
                <w:sz w:val="14"/>
                <w:szCs w:val="14"/>
                <w:color w:val="auto"/>
              </w:rPr>
              <w:t>Aerospace and Defense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Energy / Utilities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60"/>
              <w:spacing w:after="0"/>
              <w:rPr>
                <w:sz w:val="20"/>
                <w:szCs w:val="20"/>
                <w:color w:val="auto"/>
              </w:rPr>
            </w:pPr>
            <w:r>
              <w:rPr>
                <w:rFonts w:ascii="Arial" w:cs="Arial" w:eastAsia="Arial" w:hAnsi="Arial"/>
                <w:sz w:val="14"/>
                <w:szCs w:val="14"/>
                <w:color w:val="auto"/>
              </w:rPr>
              <w:t>Auto Sector</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Environmental Services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Broadcasting and Entertainment</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Financial Services</w:t>
            </w: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  Buildings and Real Estate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Grocery</w:t>
            </w: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  Beverage, Food and Tobacco</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Healthcare, Education and Childcare</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High Tech Industries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Cable Television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w w:val="88"/>
              </w:rPr>
              <w:t>Home &amp; Office Furnishings, Housewares &amp; Durable Consumer Products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Cargo Transportation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Hotels, Motels, Inns and Gaming</w:t>
            </w: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  Chemicals, Plastics and Rubber</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Insurance</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Communications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Leisure, Amusement, Motion Picture, Entertainment</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Consumer Goods: Durable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Logistics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Consumer Goods: Non-Durable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Manufacturing / Basic Industries</w:t>
            </w:r>
          </w:p>
        </w:tc>
      </w:tr>
      <w:tr>
        <w:trPr>
          <w:trHeight w:val="257"/>
        </w:trPr>
        <w:tc>
          <w:tcPr>
            <w:tcW w:w="3860" w:type="dxa"/>
            <w:vAlign w:val="bottom"/>
            <w:gridSpan w:val="2"/>
          </w:tcPr>
          <w:p>
            <w:pPr>
              <w:spacing w:after="0"/>
              <w:rPr>
                <w:sz w:val="20"/>
                <w:szCs w:val="20"/>
                <w:color w:val="auto"/>
              </w:rPr>
            </w:pPr>
            <w:r>
              <w:rPr>
                <w:rFonts w:ascii="Arial" w:cs="Arial" w:eastAsia="Arial" w:hAnsi="Arial"/>
                <w:sz w:val="14"/>
                <w:szCs w:val="14"/>
                <w:color w:val="auto"/>
              </w:rPr>
              <w:t>•  Containers Packaging &amp; Glass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Media</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Distribution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Oil and Gas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Diversified/Conglomerate Manufacturing</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Personal, Food and Miscellaneous Services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Diversified/Conglomerate Services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Printing and Publishing</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Education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Retail Stores</w:t>
            </w:r>
          </w:p>
        </w:tc>
      </w:tr>
      <w:tr>
        <w:trPr>
          <w:trHeight w:val="257"/>
        </w:trPr>
        <w:tc>
          <w:tcPr>
            <w:tcW w:w="1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Telecommunications</w:t>
            </w:r>
          </w:p>
        </w:tc>
      </w:tr>
      <w:tr>
        <w:trPr>
          <w:trHeight w:val="297"/>
        </w:trPr>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00" w:type="dxa"/>
            <w:vAlign w:val="bottom"/>
          </w:tcPr>
          <w:p>
            <w:pPr>
              <w:ind w:left="1440"/>
              <w:spacing w:after="0"/>
              <w:rPr>
                <w:sz w:val="20"/>
                <w:szCs w:val="20"/>
                <w:color w:val="auto"/>
              </w:rPr>
            </w:pPr>
            <w:r>
              <w:rPr>
                <w:rFonts w:ascii="Arial" w:cs="Arial" w:eastAsia="Arial" w:hAnsi="Arial"/>
                <w:sz w:val="14"/>
                <w:szCs w:val="14"/>
                <w:color w:val="auto"/>
              </w:rPr>
              <w:t>52</w:t>
            </w:r>
          </w:p>
        </w:tc>
        <w:tc>
          <w:tcPr>
            <w:tcW w:w="40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equivalents) as of:</w:t>
      </w:r>
    </w:p>
    <w:p>
      <w:pPr>
        <w:sectPr>
          <w:pgSz w:w="11900" w:h="16838" w:orient="portrait"/>
          <w:cols w:equalWidth="0" w:num="1">
            <w:col w:w="11420"/>
          </w:cols>
          <w:pgMar w:left="240" w:top="459" w:right="23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0" w:type="dxa"/>
            <w:vAlign w:val="bottom"/>
          </w:tcPr>
          <w:p>
            <w:pPr>
              <w:spacing w:after="0"/>
              <w:rPr>
                <w:sz w:val="1"/>
                <w:szCs w:val="1"/>
                <w:color w:val="auto"/>
              </w:rPr>
            </w:pPr>
          </w:p>
        </w:tc>
      </w:tr>
      <w:tr>
        <w:trPr>
          <w:trHeight w:val="161"/>
        </w:trPr>
        <w:tc>
          <w:tcPr>
            <w:tcW w:w="4540" w:type="dxa"/>
            <w:vAlign w:val="bottom"/>
            <w:gridSpan w:val="3"/>
            <w:vMerge w:val="continue"/>
          </w:tcPr>
          <w:p>
            <w:pPr>
              <w:spacing w:after="0"/>
              <w:rPr>
                <w:sz w:val="14"/>
                <w:szCs w:val="14"/>
                <w:color w:val="auto"/>
              </w:rPr>
            </w:pP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Instant Web, Inc.</w:t>
            </w:r>
          </w:p>
        </w:tc>
        <w:tc>
          <w:tcPr>
            <w:tcW w:w="560" w:type="dxa"/>
            <w:vAlign w:val="bottom"/>
            <w:vMerge w:val="continue"/>
          </w:tcPr>
          <w:p>
            <w:pPr>
              <w:spacing w:after="0"/>
              <w:rPr>
                <w:sz w:val="14"/>
                <w:szCs w:val="14"/>
                <w:color w:val="auto"/>
              </w:rPr>
            </w:pPr>
          </w:p>
        </w:tc>
        <w:tc>
          <w:tcPr>
            <w:tcW w:w="1460" w:type="dxa"/>
            <w:vAlign w:val="bottom"/>
            <w:gridSpan w:val="2"/>
          </w:tcPr>
          <w:p>
            <w:pPr>
              <w:ind w:left="660"/>
              <w:spacing w:after="0"/>
              <w:rPr>
                <w:sz w:val="20"/>
                <w:szCs w:val="20"/>
                <w:color w:val="auto"/>
              </w:rPr>
            </w:pPr>
            <w:r>
              <w:rPr>
                <w:rFonts w:ascii="Arial" w:cs="Arial" w:eastAsia="Arial" w:hAnsi="Arial"/>
                <w:sz w:val="14"/>
                <w:szCs w:val="14"/>
                <w:color w:val="auto"/>
              </w:rPr>
              <w:t>4%</w:t>
            </w:r>
          </w:p>
        </w:tc>
        <w:tc>
          <w:tcPr>
            <w:tcW w:w="3740" w:type="dxa"/>
            <w:vAlign w:val="bottom"/>
          </w:tcPr>
          <w:p>
            <w:pPr>
              <w:spacing w:after="0"/>
              <w:rPr>
                <w:sz w:val="20"/>
                <w:szCs w:val="20"/>
                <w:color w:val="auto"/>
              </w:rPr>
            </w:pPr>
            <w:r>
              <w:rPr>
                <w:rFonts w:ascii="Arial" w:cs="Arial" w:eastAsia="Arial" w:hAnsi="Arial"/>
                <w:sz w:val="14"/>
                <w:szCs w:val="14"/>
                <w:color w:val="auto"/>
              </w:rPr>
              <w:t>Ernest Health, Inc.</w:t>
            </w:r>
          </w:p>
        </w:tc>
        <w:tc>
          <w:tcPr>
            <w:tcW w:w="0" w:type="dxa"/>
            <w:vAlign w:val="bottom"/>
          </w:tcPr>
          <w:p>
            <w:pPr>
              <w:spacing w:after="0"/>
              <w:rPr>
                <w:sz w:val="1"/>
                <w:szCs w:val="1"/>
                <w:color w:val="auto"/>
              </w:rPr>
            </w:pPr>
          </w:p>
        </w:tc>
      </w:tr>
      <w:tr>
        <w:trPr>
          <w:trHeight w:val="178"/>
        </w:trPr>
        <w:tc>
          <w:tcPr>
            <w:tcW w:w="45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4</w:t>
            </w:r>
          </w:p>
        </w:tc>
        <w:tc>
          <w:tcPr>
            <w:tcW w:w="7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Instant Web, Inc.</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Mood Media Corporation</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4</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K2 Pure Solutions NoCal, L.P.</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Trusthouse Services Group,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4</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Mood Media Corporation</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4"/>
                <w:szCs w:val="14"/>
                <w:color w:val="auto"/>
              </w:rPr>
              <w:t>KIK Custom Products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Trusthouse Services Group, Inc.</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C.H.I. Overhead Doors, Inc.</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4"/>
                <w:szCs w:val="14"/>
                <w:color w:val="auto"/>
              </w:rPr>
              <w:t>National Healing Corporation</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KIK Custom Products Inc.</w:t>
            </w: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Arial" w:cs="Arial" w:eastAsia="Arial" w:hAnsi="Arial"/>
                <w:sz w:val="14"/>
                <w:szCs w:val="14"/>
                <w:color w:val="auto"/>
              </w:rPr>
              <w:t>Rocket Software,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Triple Point Technology, Inc.</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Viamedia Services Corp.</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Viamedia Services Corp.</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Yonkers Racing Corporation</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Yonkers Racing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24662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w:t>
            </w: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March 31,</w:t>
            </w:r>
          </w:p>
        </w:tc>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61"/>
        </w:trPr>
        <w:tc>
          <w:tcPr>
            <w:tcW w:w="4520" w:type="dxa"/>
            <w:vAlign w:val="bottom"/>
            <w:gridSpan w:val="3"/>
            <w:vMerge w:val="continue"/>
          </w:tcPr>
          <w:p>
            <w:pPr>
              <w:spacing w:after="0"/>
              <w:rPr>
                <w:sz w:val="14"/>
                <w:szCs w:val="14"/>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Business Services</w:t>
            </w:r>
          </w:p>
        </w:tc>
        <w:tc>
          <w:tcPr>
            <w:tcW w:w="560" w:type="dxa"/>
            <w:vAlign w:val="bottom"/>
            <w:vMerge w:val="continue"/>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color w:val="auto"/>
              </w:rPr>
              <w:t>10%</w:t>
            </w:r>
          </w:p>
        </w:tc>
        <w:tc>
          <w:tcPr>
            <w:tcW w:w="3780" w:type="dxa"/>
            <w:vAlign w:val="bottom"/>
          </w:tcPr>
          <w:p>
            <w:pPr>
              <w:spacing w:after="0"/>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178"/>
        </w:trPr>
        <w:tc>
          <w:tcPr>
            <w:tcW w:w="4520" w:type="dxa"/>
            <w:vAlign w:val="bottom"/>
            <w:gridSpan w:val="3"/>
          </w:tcPr>
          <w:p>
            <w:pPr>
              <w:spacing w:after="0"/>
              <w:rPr>
                <w:sz w:val="20"/>
                <w:szCs w:val="20"/>
                <w:color w:val="auto"/>
              </w:rPr>
            </w:pPr>
            <w:r>
              <w:rPr>
                <w:rFonts w:ascii="Arial" w:cs="Arial" w:eastAsia="Arial" w:hAnsi="Arial"/>
                <w:sz w:val="14"/>
                <w:szCs w:val="14"/>
                <w:color w:val="auto"/>
              </w:rPr>
              <w:t>Beverage, Food and Tobacco</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Healthcare and Pharmaceuticals</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High Tech Industries</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Media: Advertising, Printing and Publishing</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Media: Advertising, Printing and Publishing</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Media: Diversified and Production</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Consumer Goods: Durable</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Telecommunications</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Media: Diversified and Production</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Consumer Goods: Non-Durable</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Beverage, Food and Tobacco</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Chemicals, Plastics and Rubber</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Healthcare and Pharmaceuticals</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Telecommunications</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Hotel, Gaming and Leisure</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Automotive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-942340</wp:posOffset>
            </wp:positionV>
            <wp:extent cx="724662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2011</w:t>
      </w:r>
    </w:p>
    <w:p>
      <w:pPr>
        <w:ind w:left="820"/>
        <w:spacing w:after="0"/>
        <w:rPr>
          <w:sz w:val="20"/>
          <w:szCs w:val="20"/>
          <w:color w:val="auto"/>
        </w:rPr>
      </w:pPr>
      <w:r>
        <w:rPr>
          <w:rFonts w:ascii="Arial" w:cs="Arial" w:eastAsia="Arial" w:hAnsi="Arial"/>
          <w:sz w:val="12"/>
          <w:szCs w:val="12"/>
          <w:color w:val="auto"/>
        </w:rPr>
        <w:t>6%</w:t>
      </w:r>
    </w:p>
    <w:p>
      <w:pPr>
        <w:spacing w:after="0" w:line="4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6</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8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188"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2011</w:t>
      </w:r>
    </w:p>
    <w:p>
      <w:pPr>
        <w:jc w:val="right"/>
        <w:ind w:right="40"/>
        <w:spacing w:after="0"/>
        <w:rPr>
          <w:sz w:val="20"/>
          <w:szCs w:val="20"/>
          <w:color w:val="auto"/>
        </w:rPr>
      </w:pPr>
      <w:r>
        <w:rPr>
          <w:rFonts w:ascii="Arial" w:cs="Arial" w:eastAsia="Arial" w:hAnsi="Arial"/>
          <w:sz w:val="14"/>
          <w:szCs w:val="14"/>
          <w:color w:val="auto"/>
        </w:rPr>
        <w:t>10%</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10</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10</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9</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8</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8</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7</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150" w:lineRule="exact"/>
        <w:rPr>
          <w:sz w:val="20"/>
          <w:szCs w:val="20"/>
          <w:color w:val="auto"/>
        </w:rPr>
      </w:pPr>
    </w:p>
    <w:p>
      <w:pPr>
        <w:sectPr>
          <w:pgSz w:w="11900" w:h="16838" w:orient="portrait"/>
          <w:cols w:equalWidth="0" w:num="2">
            <w:col w:w="9740" w:space="640"/>
            <w:col w:w="1040"/>
          </w:cols>
          <w:pgMar w:left="240" w:top="459" w:right="239" w:bottom="1440" w:gutter="0" w:footer="0" w:header="0"/>
          <w:type w:val="continuous"/>
        </w:sectPr>
      </w:pPr>
    </w:p>
    <w:p>
      <w:pPr>
        <w:ind w:firstLine="456"/>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Accordingly, they may have obligations to investors in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3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As of March 31, 2012, our portfolio consisted of 51 companies and was invested 86% in senior secured loans, 5% in second lien secured debt and 9% in subordinated debt and preferred and common equity investments.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March 31, 2012, there was no portfolio company in which we have made an investment that represents greater than 5% of our total assets.</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COMPANIES</w:t>
      </w:r>
    </w:p>
    <w:p>
      <w:pPr>
        <w:spacing w:after="0" w:line="152"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The following is a listing of each portfolio company or its affiliate, together referred to as portfolio companies, in which we had an investment at March 31, 2012.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or accretion. For additional information see our “Consolidated Schedule of Investments” in our Consolidated Financial Statements included elsewhere in this prospectus.</w:t>
      </w:r>
    </w:p>
    <w:p>
      <w:pPr>
        <w:spacing w:after="0" w:line="13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All of Funding I’s investments are pledged as collateral under our Credit Facility. Unless otherwise noted, we held no voting board membership on any of our portfolio companies.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Companies 5% or Less Owned</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Affinion Group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Airvana Network Solutions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 Alpha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Chelmsford, MA 01824</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Aspen Dental Management,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281 Sanders Creek Parkway</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East Syracuse, NY 13057</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Autoparts Holdings Limited</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39 Old Ridgebury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Danbury, CT 06810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Blue Coat Systems,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420 North Mary Ave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Sunnyvale, CA 94085</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 Overhead Doors,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1485 Sunrise Drive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Arthur, IL 61911</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DCS Business Services,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Livermore, CA 94551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First Lien Secured Debt 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DS Waters Of America,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Fundtech (US FT HOLDCO,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30 Montgomery St., Suite 501</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Jersey City, NJ 07302</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Global Tel*Link Corporation</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12021 Sunset Hills Road, Suite 100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Reston, VA 20190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Gundle/SLT Environmental,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19103 Gundle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Houston, TX 77073</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2"/>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Harmony Foods Corporation</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Beverage, Food and Tobacco</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2200 Delaware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Santa Cruz, CA 95060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HMK Intermediate Holding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1000 South Oyster Bay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Hicksville, NY 11801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IDQ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Insight Global,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4170 Ashford Dunwoody Road Suite 580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Atlanta, GA 30319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Instant Web, Inc.</w:t>
            </w:r>
          </w:p>
        </w:tc>
        <w:tc>
          <w:tcPr>
            <w:tcW w:w="252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9"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Soho Centre,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260 Queen 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 Toronto, 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KIK Custom Products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Macintosh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Concord, ON L4K 4L5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Canada</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Lonestar Intermediate Super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648 Grassmere Park,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Nasville, TN 37211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Medpace Intermediateco,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4620 Wesley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Cincinnati, OH 45212</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Mood Media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Toronto, ON M2P 2C2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MOSAID Technologies Incorporated</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 Hines Road, Suite 203</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Ottawa, Ontario, Canada</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K2K 2X1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Wound Care (National Healing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4850 T-Rex Avenue,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Boca Raton, FL 33431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25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jc w:val="center"/>
              <w:ind w:right="120"/>
              <w:spacing w:after="0" w:line="122"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Potter’s Holdings II, L.P.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300 Lindenwood Drive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Valleybrooke Corporate Center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Malvern, PA 19355-1740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Pro Mach,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6279 Tri-Ridge Boulevard Suite 410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Loveland, OH 45140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2911 Peach Street, PO Box 8036</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Wisconsin Rapids, WI</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54495-8036</w:t>
            </w: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ROC Finance LLC and ROC Finance 1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Hotels, Gaming and Leisure</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Campus Maritus, 1086</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Woodward Avenue, Detroit, MI 48226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Rocket Software,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High Tech Industries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275 Grove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Securus Technologies,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14651 Dallas Parkway, Suite 600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Dallas, TX 75254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Sensus USA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0"/>
              </w:rPr>
              <w:t>Utilities: Water</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8609 Six Forks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27615</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80" w:type="dxa"/>
            <w:vAlign w:val="bottom"/>
            <w:gridSpan w:val="2"/>
          </w:tcPr>
          <w:p>
            <w:pPr>
              <w:spacing w:after="0" w:line="122" w:lineRule="exact"/>
              <w:rPr>
                <w:sz w:val="20"/>
                <w:szCs w:val="20"/>
                <w:color w:val="auto"/>
              </w:rPr>
            </w:pPr>
            <w:r>
              <w:rPr>
                <w:rFonts w:ascii="Arial" w:cs="Arial" w:eastAsia="Arial" w:hAnsi="Arial"/>
                <w:sz w:val="14"/>
                <w:szCs w:val="14"/>
                <w:color w:val="auto"/>
              </w:rPr>
              <w:t>Seven Seas Cruises</w:t>
            </w:r>
          </w:p>
        </w:tc>
        <w:tc>
          <w:tcPr>
            <w:tcW w:w="252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4700" w:type="dxa"/>
            <w:vAlign w:val="bottom"/>
            <w:gridSpan w:val="3"/>
          </w:tcPr>
          <w:p>
            <w:pPr>
              <w:spacing w:after="0" w:line="165" w:lineRule="exact"/>
              <w:rPr>
                <w:sz w:val="20"/>
                <w:szCs w:val="20"/>
                <w:color w:val="auto"/>
              </w:rPr>
            </w:pPr>
            <w:r>
              <w:rPr>
                <w:rFonts w:ascii="Arial" w:cs="Arial" w:eastAsia="Arial" w:hAnsi="Arial"/>
                <w:sz w:val="12"/>
                <w:szCs w:val="12"/>
                <w:color w:val="auto"/>
              </w:rPr>
              <w:t>R.L., 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Miami, FL 33122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3"/>
              </w:rPr>
              <w:t>Aerospace and Defense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Tank Intermediate Holding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4365 Steiner Stret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Bonifacius, MN 55375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Tekelec Global,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5200 Paramount Parkway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Common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Morrisville, NC 27560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Terex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200 Nyala Farm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Westport, CT 06880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Triple Point Technology,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301 Riverside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Westport, CT 06880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Preferred Equity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Charlotte, NC 28217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Common Equity</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Unifrax I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2351 Whirlpool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Niagara Falls, NY 14305-2413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Univita Health,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Scottsdale, AZ 85253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U.S. HealthWorks Holding Company,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25124 Springfield Ct., Suite 200,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Valencia, CA 91355</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Valitas Health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12647 Olive Boulevard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Louis, MO 63141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Vantage Specialties,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Chemicals, Plastic and Rubber</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3938 Porett Drive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Gurnee, IL 60031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Viamedia Services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Lexington, KY 40503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Virtual Radiologic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W3 CO.</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ind w:left="540"/>
              <w:spacing w:after="0" w:line="131" w:lineRule="exact"/>
              <w:rPr>
                <w:sz w:val="20"/>
                <w:szCs w:val="20"/>
                <w:color w:val="auto"/>
              </w:rPr>
            </w:pPr>
            <w:r>
              <w:rPr>
                <w:rFonts w:ascii="Arial" w:cs="Arial" w:eastAsia="Arial" w:hAnsi="Arial"/>
                <w:sz w:val="14"/>
                <w:szCs w:val="14"/>
                <w:color w:val="auto"/>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11111 Wilcrest Green Drive, Suite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77042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Water Pik,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1730 East Prospect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Fort Collins, CO 80553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WCA Waste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Post Oak Blvd, 30th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Yonkers Racing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Hotels, Gaming and Leisure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810 Yonkers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Yonkers, NY 10704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517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(1) Voting ownership percentage refers only to common equity, preferred equity and warrants held, if any.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88"/>
              </w:rPr>
              <w:t>March 31, 2012</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September 30,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30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4"/>
                <w:szCs w:val="14"/>
                <w:color w:val="auto"/>
              </w:rPr>
              <w:t>10%</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Beverage, Food and Tobacco</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8</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High Tech Industries</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8</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Media: Advertising, Printing and Publishing</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7</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Media: Diversified and Production</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7</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Telecommunications</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7</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Non-Durable</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Healthcare and Pharmaceuticals</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Durable</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5</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Consumer Services</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5</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Capital Equipment</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4</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Automotive</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3</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Containers, Packaging and Glass</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3</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Environmental Industries</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3</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2</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All Other</w:t>
            </w:r>
          </w:p>
        </w:tc>
        <w:tc>
          <w:tcPr>
            <w:tcW w:w="4080" w:type="dxa"/>
            <w:vAlign w:val="bottom"/>
            <w:gridSpan w:val="2"/>
          </w:tcPr>
          <w:p>
            <w:pPr>
              <w:spacing w:after="0"/>
              <w:rPr>
                <w:sz w:val="12"/>
                <w:szCs w:val="12"/>
                <w:color w:val="auto"/>
              </w:rPr>
            </w:pPr>
          </w:p>
        </w:tc>
        <w:tc>
          <w:tcPr>
            <w:tcW w:w="2060" w:type="dxa"/>
            <w:vAlign w:val="bottom"/>
            <w:gridSpan w:val="2"/>
          </w:tcPr>
          <w:p>
            <w:pPr>
              <w:jc w:val="right"/>
              <w:ind w:right="1160"/>
              <w:spacing w:after="0" w:line="149" w:lineRule="exact"/>
              <w:rPr>
                <w:sz w:val="20"/>
                <w:szCs w:val="20"/>
                <w:color w:val="auto"/>
              </w:rPr>
            </w:pPr>
            <w:r>
              <w:rPr>
                <w:rFonts w:ascii="Arial" w:cs="Arial" w:eastAsia="Arial" w:hAnsi="Arial"/>
                <w:sz w:val="14"/>
                <w:szCs w:val="14"/>
                <w:color w:val="auto"/>
              </w:rPr>
              <w:t>4</w:t>
            </w: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080" w:type="dxa"/>
            <w:vAlign w:val="bottom"/>
            <w:gridSpan w:val="2"/>
            <w:shd w:val="clear" w:color="auto" w:fill="CCEEFF"/>
          </w:tcPr>
          <w:p>
            <w:pPr>
              <w:spacing w:after="0"/>
              <w:rPr>
                <w:sz w:val="12"/>
                <w:szCs w:val="12"/>
                <w:color w:val="auto"/>
              </w:rPr>
            </w:pPr>
          </w:p>
        </w:tc>
        <w:tc>
          <w:tcPr>
            <w:tcW w:w="2060" w:type="dxa"/>
            <w:vAlign w:val="bottom"/>
            <w:gridSpan w:val="2"/>
            <w:shd w:val="clear" w:color="auto" w:fill="CCEEFF"/>
          </w:tcPr>
          <w:p>
            <w:pPr>
              <w:jc w:val="right"/>
              <w:ind w:right="1040"/>
              <w:spacing w:after="0" w:line="149" w:lineRule="exact"/>
              <w:rPr>
                <w:sz w:val="20"/>
                <w:szCs w:val="20"/>
                <w:color w:val="auto"/>
              </w:rPr>
            </w:pPr>
            <w:r>
              <w:rPr>
                <w:rFonts w:ascii="Arial" w:cs="Arial" w:eastAsia="Arial" w:hAnsi="Arial"/>
                <w:sz w:val="14"/>
                <w:szCs w:val="14"/>
                <w:color w:val="auto"/>
              </w:rPr>
              <w:t>100%</w:t>
            </w:r>
          </w:p>
        </w:tc>
        <w:tc>
          <w:tcPr>
            <w:tcW w:w="1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80" w:type="dxa"/>
            <w:vAlign w:val="bottom"/>
            <w:vMerge w:val="restart"/>
          </w:tcPr>
          <w:p>
            <w:pPr>
              <w:jc w:val="right"/>
              <w:ind w:right="1252"/>
              <w:spacing w:after="0"/>
              <w:rPr>
                <w:sz w:val="20"/>
                <w:szCs w:val="20"/>
                <w:color w:val="auto"/>
              </w:rPr>
            </w:pPr>
            <w:r>
              <w:rPr>
                <w:rFonts w:ascii="Arial" w:cs="Arial" w:eastAsia="Arial" w:hAnsi="Arial"/>
                <w:sz w:val="14"/>
                <w:szCs w:val="14"/>
                <w:color w:val="auto"/>
              </w:rPr>
              <w:t>57</w:t>
            </w:r>
          </w:p>
        </w:tc>
        <w:tc>
          <w:tcPr>
            <w:tcW w:w="1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regarding the board of directors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Since</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Adam K. Bernstein</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Marshall Brozost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Jeffrey Flug</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Samuel L. Katz</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Chairman of the Board and Chief Executive Officer</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executive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Aviv Efrat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44"/>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Guy F. Talarico</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Compliance Officer</w:t>
            </w:r>
          </w:p>
        </w:tc>
      </w:tr>
      <w:tr>
        <w:trPr>
          <w:trHeight w:val="44"/>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executive offices are located at 590 Madison Avenue, 15th Floor, New York, New York 10022.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Composition and Leadership Structure</w:t>
      </w:r>
    </w:p>
    <w:p>
      <w:pPr>
        <w:spacing w:after="0" w:line="69"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Risk Oversight Role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w:t>
      </w:r>
    </w:p>
    <w:p>
      <w:pPr>
        <w:spacing w:after="0" w:line="1" w:lineRule="exact"/>
        <w:rPr>
          <w:sz w:val="20"/>
          <w:szCs w:val="20"/>
          <w:color w:val="auto"/>
        </w:rPr>
      </w:pPr>
    </w:p>
    <w:p>
      <w:pPr>
        <w:jc w:val="both"/>
        <w:ind w:right="80" w:firstLine="8"/>
        <w:spacing w:after="0" w:line="227" w:lineRule="auto"/>
        <w:tabs>
          <w:tab w:leader="none" w:pos="191"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on a periodic basis, generally quarterly.</w:t>
      </w:r>
    </w:p>
    <w:p>
      <w:pPr>
        <w:spacing w:after="0" w:line="58"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We believe that the board of directors’ role in risk oversight is effective and appropriate given the extensive regulation to which we are already subject ro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6"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6"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71"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section 2(a)(19) of the 1940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Adam K. Bernstein (48),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5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Marshall Brozost (44), Director. Mr. Brozost became a Director of PennantPark Floating Rate Capital Ltd. and PennantPark Investment Corporation in October 2010 and February 2007, respectively. Mr. Brozost is a Partner at Schulte Roth &amp; Zabel, LLP, where he practices in the real estate and private equity groups. Prior to Schulte Roth &amp; Zabel, which began in 2012,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58"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Jeffrey Flug (49), Director. Mr. Flug became a Director of PennantPark Floating Rate Capital Ltd. and PennantPark Investment Corporation in October 2010 and February 2007,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6"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Samuel L. Katz (46), Director. Mr. Katz became a Director of PennantPark Floating Rate Capital Ltd. and PennantPark Investment Corporation in October 2010 and February 2007,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Arthur H. Penn (48),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6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Aviv Efrat (48),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6" w:lineRule="exact"/>
        <w:rPr>
          <w:sz w:val="20"/>
          <w:szCs w:val="20"/>
          <w:color w:val="auto"/>
        </w:rPr>
      </w:pPr>
    </w:p>
    <w:p>
      <w:pPr>
        <w:ind w:right="240" w:firstLine="456"/>
        <w:spacing w:after="0" w:line="228" w:lineRule="auto"/>
        <w:rPr>
          <w:sz w:val="20"/>
          <w:szCs w:val="20"/>
          <w:color w:val="auto"/>
        </w:rPr>
      </w:pPr>
      <w:r>
        <w:rPr>
          <w:rFonts w:ascii="Arial" w:cs="Arial" w:eastAsia="Arial" w:hAnsi="Arial"/>
          <w:sz w:val="14"/>
          <w:szCs w:val="14"/>
          <w:color w:val="auto"/>
        </w:rPr>
        <w:t>Guy F. Talarico (56), Chief Compliance Officer. Mr. Talarico became the Chief Compliance Officer of PennantPark Floating Rate Capital Ltd. and PennantPark Investment Corporation in 2011 and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71" w:lineRule="exact"/>
        <w:rPr>
          <w:sz w:val="20"/>
          <w:szCs w:val="20"/>
          <w:color w:val="auto"/>
        </w:rPr>
      </w:pPr>
    </w:p>
    <w:p>
      <w:pPr>
        <w:ind w:right="380" w:firstLine="456"/>
        <w:spacing w:after="0" w:line="233" w:lineRule="auto"/>
        <w:rPr>
          <w:sz w:val="20"/>
          <w:szCs w:val="20"/>
          <w:color w:val="auto"/>
        </w:rPr>
      </w:pPr>
      <w:r>
        <w:rPr>
          <w:rFonts w:ascii="Arial" w:cs="Arial" w:eastAsia="Arial" w:hAnsi="Arial"/>
          <w:sz w:val="14"/>
          <w:szCs w:val="14"/>
          <w:color w:val="auto"/>
        </w:rPr>
        <w:t>For the partial fiscal year ended September 30, 2011, we held four board of directors’ meetings and two Audit Committee meetings.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meeting of stockholders.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 xml:space="preserve">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p>
    <w:p>
      <w:pPr>
        <w:spacing w:after="0" w:line="12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2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6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of Directors</w:t>
      </w:r>
    </w:p>
    <w:p>
      <w:pPr>
        <w:spacing w:after="0" w:line="6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table shows information regarding the compensation paid by the Company, to our directors for the partial fiscal year ended September 30, 2011. No compensation is paid directly by the Company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9"/>
              </w:rPr>
              <w:t>PennantPark Floating Rate Capital Ltd.</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4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5"/>
              </w:rPr>
              <w:t>Pension or</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6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spacing w:after="0"/>
              <w:rPr>
                <w:sz w:val="12"/>
                <w:szCs w:val="12"/>
                <w:color w:val="auto"/>
              </w:rPr>
            </w:pPr>
          </w:p>
        </w:tc>
        <w:tc>
          <w:tcPr>
            <w:tcW w:w="19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retirement</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800" w:type="dxa"/>
            <w:vAlign w:val="bottom"/>
          </w:tcPr>
          <w:p>
            <w:pPr>
              <w:spacing w:after="0"/>
              <w:rPr>
                <w:sz w:val="12"/>
                <w:szCs w:val="12"/>
                <w:color w:val="auto"/>
              </w:rPr>
            </w:pPr>
          </w:p>
        </w:tc>
        <w:tc>
          <w:tcPr>
            <w:tcW w:w="19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benefits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6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from the</w:t>
            </w:r>
          </w:p>
        </w:tc>
        <w:tc>
          <w:tcPr>
            <w:tcW w:w="800" w:type="dxa"/>
            <w:vAlign w:val="bottom"/>
          </w:tcPr>
          <w:p>
            <w:pPr>
              <w:spacing w:after="0"/>
              <w:rPr>
                <w:sz w:val="11"/>
                <w:szCs w:val="11"/>
                <w:color w:val="auto"/>
              </w:rPr>
            </w:pPr>
          </w:p>
        </w:tc>
        <w:tc>
          <w:tcPr>
            <w:tcW w:w="1940" w:type="dxa"/>
            <w:vAlign w:val="bottom"/>
            <w:gridSpan w:val="2"/>
          </w:tcPr>
          <w:p>
            <w:pPr>
              <w:jc w:val="center"/>
              <w:ind w:right="96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800" w:type="dxa"/>
            <w:vAlign w:val="bottom"/>
          </w:tcPr>
          <w:p>
            <w:pPr>
              <w:spacing w:after="0"/>
              <w:rPr>
                <w:sz w:val="15"/>
                <w:szCs w:val="15"/>
                <w:color w:val="auto"/>
              </w:rPr>
            </w:pPr>
          </w:p>
        </w:tc>
        <w:tc>
          <w:tcPr>
            <w:tcW w:w="1940" w:type="dxa"/>
            <w:vAlign w:val="bottom"/>
            <w:gridSpan w:val="2"/>
          </w:tcPr>
          <w:p>
            <w:pPr>
              <w:jc w:val="right"/>
              <w:ind w:right="96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director/officer</w:t>
            </w:r>
          </w:p>
        </w:tc>
      </w:tr>
      <w:tr>
        <w:trPr>
          <w:trHeight w:val="142"/>
        </w:trPr>
        <w:tc>
          <w:tcPr>
            <w:tcW w:w="6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7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6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Adam K. Bernstein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Marshall Brozost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shd w:val="clear" w:color="auto" w:fill="CCEEFF"/>
          </w:tcPr>
          <w:p>
            <w:pPr>
              <w:spacing w:after="0"/>
              <w:rPr>
                <w:sz w:val="12"/>
                <w:szCs w:val="12"/>
                <w:color w:val="auto"/>
              </w:rPr>
            </w:pPr>
          </w:p>
        </w:tc>
      </w:tr>
      <w:tr>
        <w:trPr>
          <w:trHeight w:val="149"/>
        </w:trPr>
        <w:tc>
          <w:tcPr>
            <w:tcW w:w="6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Jeffrey Flug</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Samuel L. Katz</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shd w:val="clear" w:color="auto" w:fill="CCEEFF"/>
          </w:tcPr>
          <w:p>
            <w:pPr>
              <w:spacing w:after="0"/>
              <w:rPr>
                <w:sz w:val="12"/>
                <w:szCs w:val="12"/>
                <w:color w:val="auto"/>
              </w:rPr>
            </w:pP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Arthur H. Penn</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None</w:t>
            </w: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Aviv Efrat</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None</w:t>
            </w: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Efrat is an employee of PennantPark Investment Administration, LLC.</w:t>
      </w:r>
    </w:p>
    <w:p>
      <w:pPr>
        <w:spacing w:after="0" w:line="138" w:lineRule="exact"/>
        <w:rPr>
          <w:sz w:val="20"/>
          <w:szCs w:val="20"/>
          <w:color w:val="auto"/>
        </w:rPr>
      </w:pPr>
    </w:p>
    <w:p>
      <w:pPr>
        <w:ind w:right="120" w:firstLine="342"/>
        <w:spacing w:after="0" w:line="270" w:lineRule="auto"/>
        <w:rPr>
          <w:sz w:val="20"/>
          <w:szCs w:val="20"/>
          <w:color w:val="auto"/>
        </w:rPr>
      </w:pPr>
      <w:r>
        <w:rPr>
          <w:rFonts w:ascii="Arial" w:cs="Arial" w:eastAsia="Arial" w:hAnsi="Arial"/>
          <w:sz w:val="12"/>
          <w:szCs w:val="12"/>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Managers, or Senior Investment Professionals, Biographical Information.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22"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managing our investments, as of March 31, 2012 our portfolio managers also managed investments on behalf of the following entity: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20" w:type="dxa"/>
            <w:vAlign w:val="bottom"/>
          </w:tcPr>
          <w:p>
            <w:pPr>
              <w:spacing w:after="0"/>
              <w:rPr>
                <w:sz w:val="15"/>
                <w:szCs w:val="15"/>
                <w:color w:val="auto"/>
              </w:rPr>
            </w:pPr>
          </w:p>
        </w:tc>
        <w:tc>
          <w:tcPr>
            <w:tcW w:w="5820" w:type="dxa"/>
            <w:vAlign w:val="bottom"/>
          </w:tcPr>
          <w:p>
            <w:pPr>
              <w:jc w:val="right"/>
              <w:ind w:right="4712"/>
              <w:spacing w:after="0"/>
              <w:rPr>
                <w:sz w:val="20"/>
                <w:szCs w:val="20"/>
                <w:color w:val="auto"/>
              </w:rPr>
            </w:pPr>
            <w:r>
              <w:rPr>
                <w:rFonts w:ascii="Arial" w:cs="Arial" w:eastAsia="Arial" w:hAnsi="Arial"/>
                <w:sz w:val="14"/>
                <w:szCs w:val="14"/>
                <w:b w:val="1"/>
                <w:bCs w:val="1"/>
                <w:color w:val="auto"/>
                <w:w w:val="85"/>
              </w:rPr>
              <w:t>Investment Focus</w:t>
            </w:r>
          </w:p>
        </w:tc>
        <w:tc>
          <w:tcPr>
            <w:tcW w:w="0" w:type="dxa"/>
            <w:vAlign w:val="bottom"/>
          </w:tcPr>
          <w:p>
            <w:pPr>
              <w:spacing w:after="0"/>
              <w:rPr>
                <w:sz w:val="1"/>
                <w:szCs w:val="1"/>
                <w:color w:val="auto"/>
              </w:rPr>
            </w:pPr>
          </w:p>
        </w:tc>
      </w:tr>
      <w:tr>
        <w:trPr>
          <w:trHeight w:val="28"/>
        </w:trPr>
        <w:tc>
          <w:tcPr>
            <w:tcW w:w="31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00" w:type="dxa"/>
            <w:vAlign w:val="bottom"/>
          </w:tcPr>
          <w:p>
            <w:pPr>
              <w:ind w:left="40"/>
              <w:spacing w:after="0" w:line="131" w:lineRule="exact"/>
              <w:rPr>
                <w:sz w:val="20"/>
                <w:szCs w:val="20"/>
                <w:color w:val="auto"/>
              </w:rPr>
            </w:pPr>
            <w:r>
              <w:rPr>
                <w:rFonts w:ascii="Arial" w:cs="Arial" w:eastAsia="Arial" w:hAnsi="Arial"/>
                <w:sz w:val="10"/>
                <w:szCs w:val="10"/>
                <w:color w:val="auto"/>
              </w:rPr>
              <w:t>PennantPark Investment Corporation</w:t>
            </w:r>
            <w:r>
              <w:rPr>
                <w:rFonts w:ascii="Arial" w:cs="Arial" w:eastAsia="Arial" w:hAnsi="Arial"/>
                <w:sz w:val="15"/>
                <w:szCs w:val="15"/>
                <w:color w:val="auto"/>
                <w:vertAlign w:val="superscript"/>
              </w:rPr>
              <w:t>(1)</w:t>
            </w:r>
          </w:p>
        </w:tc>
        <w:tc>
          <w:tcPr>
            <w:tcW w:w="100" w:type="dxa"/>
            <w:vAlign w:val="bottom"/>
            <w:vMerge w:val="continue"/>
          </w:tcPr>
          <w:p>
            <w:pPr>
              <w:spacing w:after="0"/>
              <w:rPr>
                <w:sz w:val="11"/>
                <w:szCs w:val="11"/>
                <w:color w:val="auto"/>
              </w:rPr>
            </w:pPr>
          </w:p>
        </w:tc>
        <w:tc>
          <w:tcPr>
            <w:tcW w:w="1260" w:type="dxa"/>
            <w:vAlign w:val="bottom"/>
          </w:tcPr>
          <w:p>
            <w:pPr>
              <w:ind w:left="40"/>
              <w:spacing w:after="0" w:line="131" w:lineRule="exact"/>
              <w:rPr>
                <w:sz w:val="20"/>
                <w:szCs w:val="20"/>
                <w:color w:val="auto"/>
              </w:rPr>
            </w:pPr>
            <w:r>
              <w:rPr>
                <w:rFonts w:ascii="Arial" w:cs="Arial" w:eastAsia="Arial" w:hAnsi="Arial"/>
                <w:sz w:val="14"/>
                <w:szCs w:val="14"/>
                <w:color w:val="auto"/>
                <w:w w:val="85"/>
              </w:rPr>
              <w:t>Business development</w:t>
            </w:r>
          </w:p>
        </w:tc>
        <w:tc>
          <w:tcPr>
            <w:tcW w:w="120" w:type="dxa"/>
            <w:vAlign w:val="bottom"/>
          </w:tcPr>
          <w:p>
            <w:pPr>
              <w:spacing w:after="0"/>
              <w:rPr>
                <w:sz w:val="11"/>
                <w:szCs w:val="11"/>
                <w:color w:val="auto"/>
              </w:rPr>
            </w:pPr>
          </w:p>
        </w:tc>
        <w:tc>
          <w:tcPr>
            <w:tcW w:w="5820" w:type="dxa"/>
            <w:vAlign w:val="bottom"/>
          </w:tcPr>
          <w:p>
            <w:pPr>
              <w:jc w:val="right"/>
              <w:ind w:right="272"/>
              <w:spacing w:after="0" w:line="131" w:lineRule="exact"/>
              <w:rPr>
                <w:sz w:val="20"/>
                <w:szCs w:val="20"/>
                <w:color w:val="auto"/>
              </w:rPr>
            </w:pPr>
            <w:r>
              <w:rPr>
                <w:rFonts w:ascii="Arial" w:cs="Arial" w:eastAsia="Arial" w:hAnsi="Arial"/>
                <w:sz w:val="14"/>
                <w:szCs w:val="14"/>
                <w:color w:val="auto"/>
                <w:w w:val="88"/>
              </w:rPr>
              <w:t>Primarily in U.S. middle-market companies in the form of senior secured loans, mezzanine debt and</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company</w:t>
            </w:r>
          </w:p>
        </w:tc>
        <w:tc>
          <w:tcPr>
            <w:tcW w:w="5940" w:type="dxa"/>
            <w:vAlign w:val="bottom"/>
            <w:gridSpan w:val="2"/>
          </w:tcPr>
          <w:p>
            <w:pPr>
              <w:jc w:val="right"/>
              <w:ind w:right="4712"/>
              <w:spacing w:after="0"/>
              <w:rPr>
                <w:sz w:val="20"/>
                <w:szCs w:val="20"/>
                <w:color w:val="auto"/>
              </w:rPr>
            </w:pPr>
            <w:r>
              <w:rPr>
                <w:rFonts w:ascii="Arial" w:cs="Arial" w:eastAsia="Arial" w:hAnsi="Arial"/>
                <w:sz w:val="14"/>
                <w:szCs w:val="14"/>
                <w:color w:val="auto"/>
                <w:w w:val="95"/>
              </w:rPr>
              <w:t>equity investments.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59" w:lineRule="exact"/>
        <w:rPr>
          <w:sz w:val="20"/>
          <w:szCs w:val="20"/>
          <w:color w:val="auto"/>
        </w:rPr>
      </w:pPr>
    </w:p>
    <w:p>
      <w:pPr>
        <w:ind w:left="5640" w:right="1260" w:hanging="5632"/>
        <w:spacing w:after="0" w:line="459" w:lineRule="auto"/>
        <w:tabs>
          <w:tab w:leader="none" w:pos="21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management and incentive fees for PennantPark Investment Corporation are based on the gross assets and performance of PennantPark Investment Corporation. 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ind w:right="80" w:firstLine="37"/>
        <w:spacing w:after="0" w:line="306" w:lineRule="auto"/>
        <w:rPr>
          <w:sz w:val="20"/>
          <w:szCs w:val="20"/>
          <w:color w:val="auto"/>
        </w:rPr>
      </w:pPr>
      <w:r>
        <w:rPr>
          <w:rFonts w:ascii="Arial" w:cs="Arial" w:eastAsia="Arial" w:hAnsi="Arial"/>
          <w:sz w:val="11"/>
          <w:szCs w:val="11"/>
          <w:b w:val="1"/>
          <w:bCs w:val="1"/>
          <w:color w:val="auto"/>
        </w:rPr>
        <w:t>Gross Assets ($ in millions)</w:t>
      </w:r>
    </w:p>
    <w:p>
      <w:pPr>
        <w:ind w:left="480"/>
        <w:spacing w:after="0"/>
        <w:rPr>
          <w:sz w:val="20"/>
          <w:szCs w:val="20"/>
          <w:color w:val="auto"/>
        </w:rPr>
      </w:pPr>
      <w:r>
        <w:rPr>
          <w:rFonts w:ascii="Arial" w:cs="Arial" w:eastAsia="Arial" w:hAnsi="Arial"/>
          <w:sz w:val="12"/>
          <w:szCs w:val="12"/>
          <w:color w:val="auto"/>
        </w:rPr>
        <w:t>$936</w:t>
      </w:r>
    </w:p>
    <w:p>
      <w:pPr>
        <w:sectPr>
          <w:pgSz w:w="11900" w:h="16838" w:orient="portrait"/>
          <w:cols w:equalWidth="0" w:num="2">
            <w:col w:w="10400" w:space="160"/>
            <w:col w:w="86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CONTROL PERSONS AND PRINCIPAL STOCKHOLDERS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table sets forth, as of July 24, 2012,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ind w:right="47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940" w:type="dxa"/>
            <w:vAlign w:val="bottom"/>
            <w:gridSpan w:val="2"/>
          </w:tcPr>
          <w:p>
            <w:pPr>
              <w:ind w:left="700"/>
              <w:spacing w:after="0" w:line="149" w:lineRule="exact"/>
              <w:rPr>
                <w:sz w:val="20"/>
                <w:szCs w:val="20"/>
                <w:color w:val="auto"/>
              </w:rPr>
            </w:pPr>
            <w:r>
              <w:rPr>
                <w:rFonts w:ascii="Arial" w:cs="Arial" w:eastAsia="Arial" w:hAnsi="Arial"/>
                <w:sz w:val="14"/>
                <w:szCs w:val="14"/>
                <w:b w:val="1"/>
                <w:bCs w:val="1"/>
                <w:color w:val="auto"/>
              </w:rPr>
              <w:t>Shares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2"/>
        </w:trPr>
        <w:tc>
          <w:tcPr>
            <w:tcW w:w="562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owned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Morgan Stanley and Co. Inc.</w:t>
            </w:r>
          </w:p>
        </w:tc>
        <w:tc>
          <w:tcPr>
            <w:tcW w:w="12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1585 Broadway</w:t>
            </w:r>
          </w:p>
        </w:tc>
        <w:tc>
          <w:tcPr>
            <w:tcW w:w="204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447,729</w:t>
            </w: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10036-8293</w:t>
            </w:r>
          </w:p>
        </w:tc>
        <w:tc>
          <w:tcPr>
            <w:tcW w:w="1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00" w:type="dxa"/>
            <w:vAlign w:val="bottom"/>
            <w:gridSpan w:val="2"/>
          </w:tcPr>
          <w:p>
            <w:pPr>
              <w:spacing w:after="0" w:line="138" w:lineRule="exact"/>
              <w:rPr>
                <w:sz w:val="20"/>
                <w:szCs w:val="20"/>
                <w:color w:val="auto"/>
              </w:rPr>
            </w:pPr>
            <w:r>
              <w:rPr>
                <w:rFonts w:ascii="Arial" w:cs="Arial" w:eastAsia="Arial" w:hAnsi="Arial"/>
                <w:sz w:val="14"/>
                <w:szCs w:val="14"/>
                <w:color w:val="auto"/>
              </w:rPr>
              <w:t>Sherleigh Associates</w:t>
            </w:r>
          </w:p>
        </w:tc>
        <w:tc>
          <w:tcPr>
            <w:tcW w:w="2040" w:type="dxa"/>
            <w:vAlign w:val="bottom"/>
            <w:gridSpan w:val="2"/>
            <w:vMerge w:val="restart"/>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vMerge w:val="restart"/>
          </w:tcPr>
          <w:p>
            <w:pPr>
              <w:jc w:val="right"/>
              <w:spacing w:after="0"/>
              <w:rPr>
                <w:sz w:val="20"/>
                <w:szCs w:val="20"/>
                <w:color w:val="auto"/>
              </w:rPr>
            </w:pPr>
            <w:r>
              <w:rPr>
                <w:rFonts w:ascii="Arial" w:cs="Arial" w:eastAsia="Arial" w:hAnsi="Arial"/>
                <w:sz w:val="14"/>
                <w:szCs w:val="14"/>
                <w:color w:val="auto"/>
              </w:rPr>
              <w:t>354,893</w:t>
            </w:r>
          </w:p>
        </w:tc>
        <w:tc>
          <w:tcPr>
            <w:tcW w:w="120" w:type="dxa"/>
            <w:vAlign w:val="bottom"/>
          </w:tcPr>
          <w:p>
            <w:pPr>
              <w:spacing w:after="0"/>
              <w:rPr>
                <w:sz w:val="11"/>
                <w:szCs w:val="11"/>
                <w:color w:val="auto"/>
              </w:rPr>
            </w:pPr>
          </w:p>
        </w:tc>
        <w:tc>
          <w:tcPr>
            <w:tcW w:w="1820" w:type="dxa"/>
            <w:vAlign w:val="bottom"/>
            <w:vMerge w:val="restart"/>
          </w:tcPr>
          <w:p>
            <w:pPr>
              <w:jc w:val="right"/>
              <w:ind w:right="72"/>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18"/>
        </w:trPr>
        <w:tc>
          <w:tcPr>
            <w:tcW w:w="5620" w:type="dxa"/>
            <w:vAlign w:val="bottom"/>
            <w:gridSpan w:val="3"/>
            <w:vMerge w:val="restart"/>
          </w:tcPr>
          <w:p>
            <w:pPr>
              <w:spacing w:after="0"/>
              <w:rPr>
                <w:sz w:val="20"/>
                <w:szCs w:val="20"/>
                <w:color w:val="auto"/>
              </w:rPr>
            </w:pPr>
            <w:r>
              <w:rPr>
                <w:rFonts w:ascii="Arial" w:cs="Arial" w:eastAsia="Arial" w:hAnsi="Arial"/>
                <w:sz w:val="14"/>
                <w:szCs w:val="14"/>
                <w:color w:val="auto"/>
              </w:rPr>
              <w:t>Profit Sharing Plan</w:t>
            </w:r>
          </w:p>
        </w:tc>
        <w:tc>
          <w:tcPr>
            <w:tcW w:w="2040" w:type="dxa"/>
            <w:vAlign w:val="bottom"/>
            <w:gridSpan w:val="2"/>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620" w:type="dxa"/>
            <w:vAlign w:val="bottom"/>
            <w:gridSpan w:val="3"/>
            <w:vMerge w:val="continue"/>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Adam K. Bernstein</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Marshall Brozost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Jeffrey Flug</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Samuel L. Katz</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line="197"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(3),(4)</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Aviv Efrat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All directors and executive officer as a group (6 persons)</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40,917</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5176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667 shares held by PennantPark Investment Advisers, LLC.</w:t>
      </w:r>
    </w:p>
    <w:p>
      <w:pPr>
        <w:spacing w:after="0" w:line="10" w:lineRule="exact"/>
        <w:rPr>
          <w:rFonts w:ascii="Arial" w:cs="Arial" w:eastAsia="Arial" w:hAnsi="Arial"/>
          <w:sz w:val="12"/>
          <w:szCs w:val="12"/>
          <w:color w:val="auto"/>
        </w:rPr>
      </w:pPr>
    </w:p>
    <w:p>
      <w:pPr>
        <w:ind w:left="420" w:right="100" w:hanging="412"/>
        <w:spacing w:after="0" w:line="225"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46"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 Range of Securities Beneficially Owned by Directors, Officers and Senior Investment Professionals</w:t>
      </w:r>
    </w:p>
    <w:p>
      <w:pPr>
        <w:spacing w:after="0" w:line="15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The following table sets forth the dollar range of our common stock beneficially owned by each of our directors, officers and senior investment professionals as of July 24, 2012. Information as to the beneficial ownerships is based on information furnished to us by such persons. We are not part of a “family of investment companies,” as that term is defined in the 1940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600" w:type="dxa"/>
            <w:vAlign w:val="bottom"/>
          </w:tcPr>
          <w:p>
            <w:pPr>
              <w:spacing w:after="0"/>
              <w:rPr>
                <w:sz w:val="22"/>
                <w:szCs w:val="22"/>
                <w:color w:val="auto"/>
              </w:rPr>
            </w:pPr>
          </w:p>
        </w:tc>
        <w:tc>
          <w:tcPr>
            <w:tcW w:w="4320" w:type="dxa"/>
            <w:vAlign w:val="bottom"/>
            <w:gridSpan w:val="7"/>
          </w:tcPr>
          <w:p>
            <w:pPr>
              <w:jc w:val="right"/>
              <w:ind w:right="412"/>
              <w:spacing w:after="0"/>
              <w:rPr>
                <w:sz w:val="20"/>
                <w:szCs w:val="20"/>
                <w:color w:val="auto"/>
              </w:rPr>
            </w:pPr>
            <w:r>
              <w:rPr>
                <w:rFonts w:ascii="Arial" w:cs="Arial" w:eastAsia="Arial" w:hAnsi="Arial"/>
                <w:sz w:val="14"/>
                <w:szCs w:val="14"/>
                <w:b w:val="1"/>
                <w:bCs w:val="1"/>
                <w:color w:val="auto"/>
              </w:rPr>
              <w:t>Dollar Range of the Common Stock of each Company</w:t>
            </w:r>
            <w:r>
              <w:rPr>
                <w:rFonts w:ascii="Arial" w:cs="Arial" w:eastAsia="Arial" w:hAnsi="Arial"/>
                <w:sz w:val="22"/>
                <w:szCs w:val="22"/>
                <w:b w:val="1"/>
                <w:bCs w:val="1"/>
                <w:color w:val="auto"/>
                <w:vertAlign w:val="superscript"/>
              </w:rPr>
              <w:t>(1)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20" w:type="dxa"/>
            <w:vAlign w:val="bottom"/>
          </w:tcPr>
          <w:p>
            <w:pPr>
              <w:spacing w:after="0"/>
              <w:rPr>
                <w:sz w:val="11"/>
                <w:szCs w:val="11"/>
                <w:color w:val="auto"/>
              </w:rPr>
            </w:pPr>
          </w:p>
        </w:tc>
        <w:tc>
          <w:tcPr>
            <w:tcW w:w="1840" w:type="dxa"/>
            <w:vAlign w:val="bottom"/>
            <w:tcBorders>
              <w:top w:val="single" w:sz="8" w:color="auto"/>
            </w:tcBorders>
            <w:gridSpan w:val="3"/>
          </w:tcPr>
          <w:p>
            <w:pPr>
              <w:jc w:val="center"/>
              <w:ind w:right="540"/>
              <w:spacing w:after="0" w:line="136" w:lineRule="exact"/>
              <w:rPr>
                <w:sz w:val="20"/>
                <w:szCs w:val="20"/>
                <w:color w:val="auto"/>
              </w:rPr>
            </w:pPr>
            <w:r>
              <w:rPr>
                <w:rFonts w:ascii="Arial" w:cs="Arial" w:eastAsia="Arial" w:hAnsi="Arial"/>
                <w:sz w:val="14"/>
                <w:szCs w:val="14"/>
                <w:b w:val="1"/>
                <w:bCs w:val="1"/>
                <w:color w:val="auto"/>
                <w:w w:val="87"/>
              </w:rPr>
              <w:t>PennantPark Floating</w:t>
            </w:r>
          </w:p>
        </w:tc>
        <w:tc>
          <w:tcPr>
            <w:tcW w:w="2000" w:type="dxa"/>
            <w:vAlign w:val="bottom"/>
            <w:tcBorders>
              <w:top w:val="single" w:sz="8" w:color="auto"/>
            </w:tcBorders>
            <w:gridSpan w:val="4"/>
          </w:tcPr>
          <w:p>
            <w:pPr>
              <w:jc w:val="center"/>
              <w:ind w:right="560"/>
              <w:spacing w:after="0" w:line="136" w:lineRule="exact"/>
              <w:rPr>
                <w:sz w:val="20"/>
                <w:szCs w:val="20"/>
                <w:color w:val="auto"/>
              </w:rPr>
            </w:pPr>
            <w:r>
              <w:rPr>
                <w:rFonts w:ascii="Arial" w:cs="Arial" w:eastAsia="Arial" w:hAnsi="Arial"/>
                <w:sz w:val="14"/>
                <w:szCs w:val="14"/>
                <w:b w:val="1"/>
                <w:bCs w:val="1"/>
                <w:color w:val="auto"/>
                <w:w w:val="88"/>
              </w:rPr>
              <w:t>PennantPark Investment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Independent Directors</w:t>
            </w:r>
          </w:p>
        </w:tc>
        <w:tc>
          <w:tcPr>
            <w:tcW w:w="18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Rate Capital Ltd.</w:t>
            </w:r>
          </w:p>
        </w:tc>
        <w:tc>
          <w:tcPr>
            <w:tcW w:w="20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Corporation</w:t>
            </w:r>
          </w:p>
        </w:tc>
        <w:tc>
          <w:tcPr>
            <w:tcW w:w="10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top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1"/>
                <w:szCs w:val="11"/>
                <w:color w:val="auto"/>
              </w:rPr>
              <w:t>Adam K. Bernstein</w:t>
            </w:r>
            <w:r>
              <w:rPr>
                <w:rFonts w:ascii="Arial" w:cs="Arial" w:eastAsia="Arial" w:hAnsi="Arial"/>
                <w:sz w:val="16"/>
                <w:szCs w:val="16"/>
                <w:color w:val="auto"/>
                <w:vertAlign w:val="superscript"/>
              </w:rPr>
              <w:t>(2)</w:t>
            </w:r>
          </w:p>
        </w:tc>
        <w:tc>
          <w:tcPr>
            <w:tcW w:w="130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$ 50,001 - $ 100,000</w:t>
            </w:r>
          </w:p>
        </w:tc>
        <w:tc>
          <w:tcPr>
            <w:tcW w:w="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$500,001 - $</w:t>
            </w:r>
          </w:p>
        </w:tc>
        <w:tc>
          <w:tcPr>
            <w:tcW w:w="6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86"/>
              </w:rPr>
              <w:t>1,000,000</w:t>
            </w:r>
          </w:p>
        </w:tc>
        <w:tc>
          <w:tcPr>
            <w:tcW w:w="54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gridSpan w:val="2"/>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Marshall Brozost</w:t>
            </w:r>
          </w:p>
        </w:tc>
        <w:tc>
          <w:tcPr>
            <w:tcW w:w="184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89"/>
              </w:rPr>
              <w:t>None</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$100,001 - $</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2"/>
                <w:szCs w:val="12"/>
                <w:color w:val="auto"/>
              </w:rPr>
            </w:pPr>
          </w:p>
        </w:tc>
        <w:tc>
          <w:tcPr>
            <w:tcW w:w="1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$100,001 - $  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Jeffrey Flug</w:t>
            </w:r>
          </w:p>
        </w:tc>
        <w:tc>
          <w:tcPr>
            <w:tcW w:w="1840" w:type="dxa"/>
            <w:vAlign w:val="bottom"/>
            <w:gridSpan w:val="3"/>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89"/>
              </w:rPr>
              <w:t>None</w:t>
            </w:r>
          </w:p>
        </w:tc>
        <w:tc>
          <w:tcPr>
            <w:tcW w:w="2000" w:type="dxa"/>
            <w:vAlign w:val="bottom"/>
            <w:gridSpan w:val="4"/>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86"/>
              </w:rPr>
              <w:t>Over $1,000,000</w:t>
            </w:r>
          </w:p>
        </w:tc>
        <w:tc>
          <w:tcPr>
            <w:tcW w:w="180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$ 100,001-$ 500,000</w:t>
            </w:r>
          </w:p>
        </w:tc>
        <w:tc>
          <w:tcPr>
            <w:tcW w:w="540" w:type="dxa"/>
            <w:vAlign w:val="bottom"/>
          </w:tcPr>
          <w:p>
            <w:pPr>
              <w:spacing w:after="0"/>
              <w:rPr>
                <w:sz w:val="14"/>
                <w:szCs w:val="14"/>
                <w:color w:val="auto"/>
              </w:rPr>
            </w:pPr>
          </w:p>
        </w:tc>
        <w:tc>
          <w:tcPr>
            <w:tcW w:w="2000" w:type="dxa"/>
            <w:vAlign w:val="bottom"/>
            <w:gridSpan w:val="4"/>
          </w:tcPr>
          <w:p>
            <w:pPr>
              <w:jc w:val="center"/>
              <w:ind w:right="540"/>
              <w:spacing w:after="0"/>
              <w:rPr>
                <w:sz w:val="20"/>
                <w:szCs w:val="20"/>
                <w:color w:val="auto"/>
              </w:rPr>
            </w:pPr>
            <w:r>
              <w:rPr>
                <w:rFonts w:ascii="Arial" w:cs="Arial" w:eastAsia="Arial" w:hAnsi="Arial"/>
                <w:sz w:val="14"/>
                <w:szCs w:val="14"/>
                <w:color w:val="auto"/>
                <w:w w:val="86"/>
              </w:rPr>
              <w:t>Over $1,000,000</w:t>
            </w:r>
          </w:p>
        </w:tc>
        <w:tc>
          <w:tcPr>
            <w:tcW w:w="1800" w:type="dxa"/>
            <w:vAlign w:val="bottom"/>
            <w:gridSpan w:val="2"/>
          </w:tcPr>
          <w:p>
            <w:pPr>
              <w:jc w:val="right"/>
              <w:ind w:right="37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(3),(4)</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$1 - $10,000</w:t>
            </w:r>
          </w:p>
        </w:tc>
        <w:tc>
          <w:tcPr>
            <w:tcW w:w="540" w:type="dxa"/>
            <w:vAlign w:val="bottom"/>
          </w:tcPr>
          <w:p>
            <w:pPr>
              <w:spacing w:after="0"/>
              <w:rPr>
                <w:sz w:val="22"/>
                <w:szCs w:val="22"/>
                <w:color w:val="auto"/>
              </w:rPr>
            </w:pPr>
          </w:p>
        </w:tc>
        <w:tc>
          <w:tcPr>
            <w:tcW w:w="2000" w:type="dxa"/>
            <w:vAlign w:val="bottom"/>
            <w:gridSpan w:val="4"/>
          </w:tcPr>
          <w:p>
            <w:pPr>
              <w:jc w:val="center"/>
              <w:ind w:right="540"/>
              <w:spacing w:after="0"/>
              <w:rPr>
                <w:sz w:val="20"/>
                <w:szCs w:val="20"/>
                <w:color w:val="auto"/>
              </w:rPr>
            </w:pPr>
            <w:r>
              <w:rPr>
                <w:rFonts w:ascii="Arial" w:cs="Arial" w:eastAsia="Arial" w:hAnsi="Arial"/>
                <w:sz w:val="14"/>
                <w:szCs w:val="14"/>
                <w:color w:val="auto"/>
                <w:w w:val="86"/>
              </w:rPr>
              <w:t>Over $1,000,000</w:t>
            </w:r>
          </w:p>
        </w:tc>
        <w:tc>
          <w:tcPr>
            <w:tcW w:w="1800" w:type="dxa"/>
            <w:vAlign w:val="bottom"/>
            <w:gridSpan w:val="2"/>
          </w:tcPr>
          <w:p>
            <w:pPr>
              <w:jc w:val="right"/>
              <w:ind w:right="37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600" w:type="dxa"/>
            <w:vAlign w:val="bottom"/>
          </w:tcPr>
          <w:p>
            <w:pPr>
              <w:jc w:val="right"/>
              <w:spacing w:after="0"/>
              <w:rPr>
                <w:sz w:val="20"/>
                <w:szCs w:val="20"/>
                <w:color w:val="auto"/>
              </w:rPr>
            </w:pPr>
            <w:r>
              <w:rPr>
                <w:rFonts w:ascii="Arial" w:cs="Arial" w:eastAsia="Arial" w:hAnsi="Arial"/>
                <w:sz w:val="14"/>
                <w:szCs w:val="14"/>
                <w:color w:val="auto"/>
              </w:rPr>
              <w:t>$ 50,001</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84"/>
              </w:rPr>
              <w:t>- $ 100,000</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$100,001</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 $</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4"/>
                <w:szCs w:val="14"/>
                <w:color w:val="auto"/>
              </w:rPr>
            </w:pPr>
          </w:p>
        </w:tc>
        <w:tc>
          <w:tcPr>
            <w:tcW w:w="1800" w:type="dxa"/>
            <w:vAlign w:val="bottom"/>
            <w:gridSpan w:val="2"/>
          </w:tcPr>
          <w:p>
            <w:pPr>
              <w:jc w:val="right"/>
              <w:ind w:right="192"/>
              <w:spacing w:after="0"/>
              <w:rPr>
                <w:sz w:val="20"/>
                <w:szCs w:val="20"/>
                <w:color w:val="auto"/>
              </w:rPr>
            </w:pPr>
            <w:r>
              <w:rPr>
                <w:rFonts w:ascii="Arial" w:cs="Arial" w:eastAsia="Arial" w:hAnsi="Arial"/>
                <w:sz w:val="14"/>
                <w:szCs w:val="14"/>
                <w:color w:val="auto"/>
              </w:rPr>
              <w:t>$500,001 - $ 1,000,000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Investment Professionals</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Jose A. Briones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5"/>
              </w:rPr>
              <w:t>$100,001</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4"/>
              </w:rPr>
              <w:t>- $ 500,000</w:t>
            </w:r>
          </w:p>
        </w:tc>
        <w:tc>
          <w:tcPr>
            <w:tcW w:w="5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$100,001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85"/>
              </w:rPr>
              <w:t>- $</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$100,001 - $</w:t>
            </w: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86"/>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Salvatore Giannetti III</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$100,001</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4"/>
              </w:rPr>
              <w:t>- $ 500,000</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$100,001 - $</w:t>
            </w:r>
          </w:p>
        </w:tc>
        <w:tc>
          <w:tcPr>
            <w:tcW w:w="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6"/>
              </w:rPr>
              <w:t>500,000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P. Whitridge Williams, Jr.</w:t>
            </w:r>
          </w:p>
        </w:tc>
        <w:tc>
          <w:tcPr>
            <w:tcW w:w="600" w:type="dxa"/>
            <w:vAlign w:val="bottom"/>
          </w:tcPr>
          <w:p>
            <w:pPr>
              <w:jc w:val="right"/>
              <w:spacing w:after="0"/>
              <w:rPr>
                <w:sz w:val="20"/>
                <w:szCs w:val="20"/>
                <w:color w:val="auto"/>
              </w:rPr>
            </w:pPr>
            <w:r>
              <w:rPr>
                <w:rFonts w:ascii="Arial" w:cs="Arial" w:eastAsia="Arial" w:hAnsi="Arial"/>
                <w:sz w:val="14"/>
                <w:szCs w:val="14"/>
                <w:color w:val="auto"/>
                <w:w w:val="95"/>
              </w:rPr>
              <w:t>$100,001</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84"/>
              </w:rPr>
              <w:t>- $ 500,000</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9"/>
              </w:rPr>
              <w:t>$500,001</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 $</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86"/>
              </w:rPr>
              <w:t>1,000,000</w:t>
            </w:r>
          </w:p>
        </w:tc>
        <w:tc>
          <w:tcPr>
            <w:tcW w:w="540" w:type="dxa"/>
            <w:vAlign w:val="bottom"/>
          </w:tcPr>
          <w:p>
            <w:pPr>
              <w:spacing w:after="0"/>
              <w:rPr>
                <w:sz w:val="14"/>
                <w:szCs w:val="14"/>
                <w:color w:val="auto"/>
              </w:rPr>
            </w:pPr>
          </w:p>
        </w:tc>
        <w:tc>
          <w:tcPr>
            <w:tcW w:w="1800" w:type="dxa"/>
            <w:vAlign w:val="bottom"/>
            <w:gridSpan w:val="2"/>
          </w:tcPr>
          <w:p>
            <w:pPr>
              <w:jc w:val="right"/>
              <w:ind w:right="192"/>
              <w:spacing w:after="0"/>
              <w:rPr>
                <w:sz w:val="20"/>
                <w:szCs w:val="20"/>
                <w:color w:val="auto"/>
              </w:rPr>
            </w:pPr>
            <w:r>
              <w:rPr>
                <w:rFonts w:ascii="Arial" w:cs="Arial" w:eastAsia="Arial" w:hAnsi="Arial"/>
                <w:sz w:val="14"/>
                <w:szCs w:val="14"/>
                <w:color w:val="auto"/>
              </w:rPr>
              <w:t>$500,001 - $ 1,000,000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3152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7"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line="221"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ind w:left="220" w:hanging="212"/>
        <w:spacing w:after="0" w:line="225"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Management Agreement</w:t>
      </w:r>
    </w:p>
    <w:p>
      <w:pPr>
        <w:spacing w:after="0" w:line="71" w:lineRule="exact"/>
        <w:rPr>
          <w:sz w:val="20"/>
          <w:szCs w:val="20"/>
          <w:color w:val="auto"/>
        </w:rPr>
      </w:pPr>
    </w:p>
    <w:p>
      <w:pPr>
        <w:jc w:val="both"/>
        <w:ind w:right="60" w:firstLine="456"/>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closes and monitors the investments we make.</w:t>
      </w:r>
    </w:p>
    <w:p>
      <w:pPr>
        <w:spacing w:after="0" w:line="15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components-a base management fee and an incentive fee, collectively, Management Fees.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69" w:lineRule="exact"/>
        <w:rPr>
          <w:sz w:val="20"/>
          <w:szCs w:val="20"/>
          <w:color w:val="auto"/>
        </w:rPr>
      </w:pPr>
    </w:p>
    <w:p>
      <w:pPr>
        <w:ind w:right="60" w:firstLine="456"/>
        <w:spacing w:after="0" w:line="265"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and for the period March 4, 2011 (commencement of operations) to September 30, 2011, the Investment Adviser earned base management fees of $0.4 million, $0.7 million and $0.4 million, respectively, from us.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December 31, 2011 = $160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December 31, 2011 = $10 million</w:t>
      </w:r>
    </w:p>
    <w:p>
      <w:pPr>
        <w:ind w:left="460"/>
        <w:spacing w:after="0"/>
        <w:rPr>
          <w:sz w:val="20"/>
          <w:szCs w:val="20"/>
          <w:color w:val="auto"/>
        </w:rPr>
      </w:pPr>
      <w:r>
        <w:rPr>
          <w:rFonts w:ascii="Arial" w:cs="Arial" w:eastAsia="Arial" w:hAnsi="Arial"/>
          <w:sz w:val="14"/>
          <w:szCs w:val="14"/>
          <w:color w:val="auto"/>
        </w:rPr>
        <w:t>Adjusted gross assets as of December 31, 2011 = $150 million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March 31, 2012 = $200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March 31, 2012 = $20 million</w:t>
      </w:r>
    </w:p>
    <w:p>
      <w:pPr>
        <w:ind w:left="460"/>
        <w:spacing w:after="0"/>
        <w:rPr>
          <w:sz w:val="20"/>
          <w:szCs w:val="20"/>
          <w:color w:val="auto"/>
        </w:rPr>
      </w:pPr>
      <w:r>
        <w:rPr>
          <w:rFonts w:ascii="Arial" w:cs="Arial" w:eastAsia="Arial" w:hAnsi="Arial"/>
          <w:sz w:val="14"/>
          <w:szCs w:val="14"/>
          <w:color w:val="auto"/>
        </w:rPr>
        <w:t>Adjusted gross assets as of March 31, 2012 = $180 million</w:t>
      </w:r>
    </w:p>
    <w:p>
      <w:pPr>
        <w:spacing w:after="0" w:line="138" w:lineRule="exact"/>
        <w:rPr>
          <w:sz w:val="20"/>
          <w:szCs w:val="20"/>
          <w:color w:val="auto"/>
        </w:rPr>
      </w:pPr>
    </w:p>
    <w:p>
      <w:pPr>
        <w:ind w:left="460" w:right="40"/>
        <w:spacing w:after="0" w:line="239" w:lineRule="auto"/>
        <w:rPr>
          <w:sz w:val="20"/>
          <w:szCs w:val="20"/>
          <w:color w:val="auto"/>
        </w:rPr>
      </w:pPr>
      <w:r>
        <w:rPr>
          <w:rFonts w:ascii="Arial" w:cs="Arial" w:eastAsia="Arial" w:hAnsi="Arial"/>
          <w:sz w:val="14"/>
          <w:szCs w:val="14"/>
          <w:color w:val="auto"/>
        </w:rPr>
        <w:t>Average value of adjusted gross assets as of March 31, 2012 at the end of the two most recently completed calendar quarters, and appropriately adjusted for any share issuances or repurchases during the current calendar quarter = ($150 million + $180 million) / 2 = $165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following is a graphical representation of calculation of quarterly incentive fee based on Net Investment Income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222885</wp:posOffset>
            </wp:positionV>
            <wp:extent cx="2195195"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951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138"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1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and for the period from March 4, 2011 (commencement of operations) to September 30, 2011 resulted in no accrual.</w:t>
      </w:r>
    </w:p>
    <w:p>
      <w:pPr>
        <w:spacing w:after="0" w:line="122"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 For the period from March 4, 2011 (commencement of operations) to September 30, 2011, our unrealized and realized capital gains did not exceed our cumulative realized and unrealized losses and resulted in no accrual under GAAP.</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1.25%</w:t>
      </w:r>
    </w:p>
    <w:p>
      <w:pPr>
        <w:ind w:left="460"/>
        <w:spacing w:after="0" w:line="180" w:lineRule="auto"/>
        <w:rPr>
          <w:sz w:val="20"/>
          <w:szCs w:val="20"/>
          <w:color w:val="auto"/>
        </w:rPr>
      </w:pPr>
      <w:r>
        <w:rPr>
          <w:rFonts w:ascii="Arial" w:cs="Arial" w:eastAsia="Arial" w:hAnsi="Arial"/>
          <w:sz w:val="13"/>
          <w:szCs w:val="13"/>
          <w:color w:val="auto"/>
        </w:rPr>
        <w:t>Hurdle</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net investment income does not exceed hurdle; therefore there is no incentive fee.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2.70%</w:t>
      </w:r>
    </w:p>
    <w:p>
      <w:pPr>
        <w:ind w:left="460"/>
        <w:spacing w:after="0" w:line="223" w:lineRule="auto"/>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90" w:lineRule="exact"/>
        <w:rPr>
          <w:sz w:val="20"/>
          <w:szCs w:val="20"/>
          <w:color w:val="auto"/>
        </w:rPr>
      </w:pPr>
    </w:p>
    <w:p>
      <w:pPr>
        <w:ind w:left="920"/>
        <w:spacing w:after="0"/>
        <w:tabs>
          <w:tab w:leader="none" w:pos="2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2"/>
          <w:szCs w:val="12"/>
          <w:color w:val="auto"/>
        </w:rPr>
        <w:t>= 50% X Pre-Incentive Fee Net Investment Income, subject to “catch-up”</w:t>
      </w:r>
    </w:p>
    <w:p>
      <w:pPr>
        <w:spacing w:after="0" w:line="15" w:lineRule="exact"/>
        <w:rPr>
          <w:sz w:val="20"/>
          <w:szCs w:val="20"/>
          <w:color w:val="auto"/>
        </w:rPr>
      </w:pPr>
    </w:p>
    <w:p>
      <w:pPr>
        <w:ind w:left="2580" w:hanging="101"/>
        <w:spacing w:after="0"/>
        <w:tabs>
          <w:tab w:leader="none" w:pos="2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28" w:lineRule="exact"/>
        <w:rPr>
          <w:rFonts w:ascii="Arial" w:cs="Arial" w:eastAsia="Arial" w:hAnsi="Arial"/>
          <w:sz w:val="14"/>
          <w:szCs w:val="14"/>
          <w:color w:val="auto"/>
        </w:rPr>
      </w:pPr>
    </w:p>
    <w:p>
      <w:pPr>
        <w:ind w:left="2580" w:hanging="101"/>
        <w:spacing w:after="0"/>
        <w:tabs>
          <w:tab w:leader="none" w:pos="2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0.25%</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 (including interest, distributions, fees, etc.) = 4.00%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0.20%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2914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1" w:hanging="101"/>
        <w:spacing w:after="0"/>
        <w:tabs>
          <w:tab w:leader="none" w:pos="101" w:val="left"/>
        </w:tabs>
        <w:numPr>
          <w:ilvl w:val="0"/>
          <w:numId w:val="39"/>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1"/>
          <w:szCs w:val="21"/>
          <w:color w:val="auto"/>
          <w:vertAlign w:val="superscript"/>
        </w:rPr>
        <w:t>(4)</w:t>
      </w:r>
    </w:p>
    <w:p>
      <w:pPr>
        <w:ind w:left="1" w:right="4220" w:hanging="1"/>
        <w:spacing w:after="0" w:line="295" w:lineRule="auto"/>
        <w:tabs>
          <w:tab w:leader="none" w:pos="111" w:val="left"/>
        </w:tabs>
        <w:numPr>
          <w:ilvl w:val="0"/>
          <w:numId w:val="39"/>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=2.9167%-1.75% =1.1667%</w:t>
      </w:r>
    </w:p>
    <w:p>
      <w:pPr>
        <w:spacing w:after="0" w:line="159" w:lineRule="exact"/>
        <w:rPr>
          <w:rFonts w:ascii="Arial" w:cs="Arial" w:eastAsia="Arial" w:hAnsi="Arial"/>
          <w:sz w:val="14"/>
          <w:szCs w:val="14"/>
          <w:color w:val="auto"/>
        </w:rPr>
      </w:pPr>
    </w:p>
    <w:p>
      <w:pPr>
        <w:ind w:left="1" w:right="6180"/>
        <w:spacing w:after="0" w:line="281" w:lineRule="auto"/>
        <w:rPr>
          <w:rFonts w:ascii="Arial" w:cs="Arial" w:eastAsia="Arial" w:hAnsi="Arial"/>
          <w:sz w:val="14"/>
          <w:szCs w:val="14"/>
          <w:color w:val="auto"/>
        </w:rPr>
      </w:pPr>
      <w:r>
        <w:rPr>
          <w:rFonts w:ascii="Arial" w:cs="Arial" w:eastAsia="Arial" w:hAnsi="Arial"/>
          <w:sz w:val="14"/>
          <w:szCs w:val="14"/>
          <w:color w:val="auto"/>
        </w:rPr>
        <w:t>=(50% X 1.1667%) + (20% X (3.55% -2.9167%)) =0.5833% + (20% X 0.6333%)</w:t>
      </w:r>
    </w:p>
    <w:p>
      <w:pPr>
        <w:spacing w:after="0" w:line="1" w:lineRule="exact"/>
        <w:rPr>
          <w:rFonts w:ascii="Arial" w:cs="Arial" w:eastAsia="Arial" w:hAnsi="Arial"/>
          <w:sz w:val="14"/>
          <w:szCs w:val="14"/>
          <w:color w:val="auto"/>
        </w:rPr>
      </w:pPr>
    </w:p>
    <w:p>
      <w:pPr>
        <w:ind w:left="1" w:right="7700"/>
        <w:spacing w:after="0" w:line="298" w:lineRule="auto"/>
        <w:rPr>
          <w:rFonts w:ascii="Arial" w:cs="Arial" w:eastAsia="Arial" w:hAnsi="Arial"/>
          <w:sz w:val="14"/>
          <w:szCs w:val="14"/>
          <w:color w:val="auto"/>
        </w:rPr>
      </w:pPr>
      <w:r>
        <w:rPr>
          <w:rFonts w:ascii="Arial" w:cs="Arial" w:eastAsia="Arial" w:hAnsi="Arial"/>
          <w:sz w:val="14"/>
          <w:szCs w:val="14"/>
          <w:color w:val="auto"/>
        </w:rPr>
        <w:t>=0.5833% + 0.1267% =0.71%</w:t>
      </w:r>
    </w:p>
    <w:p>
      <w:pPr>
        <w:spacing w:after="0" w:line="200" w:lineRule="exact"/>
        <w:rPr>
          <w:sz w:val="20"/>
          <w:szCs w:val="20"/>
          <w:color w:val="auto"/>
        </w:rPr>
      </w:pPr>
    </w:p>
    <w:p>
      <w:pPr>
        <w:sectPr>
          <w:pgSz w:w="11900" w:h="16838" w:orient="portrait"/>
          <w:cols w:equalWidth="0" w:num="2">
            <w:col w:w="1759" w:space="720"/>
            <w:col w:w="8881"/>
          </w:cols>
          <w:pgMar w:left="240" w:top="459" w:right="299" w:bottom="1440" w:gutter="0" w:footer="0" w:header="0"/>
          <w:type w:val="continuous"/>
        </w:sectPr>
      </w:pPr>
    </w:p>
    <w:p>
      <w:pPr>
        <w:spacing w:after="0" w:line="102" w:lineRule="exact"/>
        <w:rPr>
          <w:sz w:val="20"/>
          <w:szCs w:val="20"/>
          <w:color w:val="auto"/>
        </w:rPr>
      </w:pPr>
    </w:p>
    <w:p>
      <w:pPr>
        <w:ind w:left="380" w:hanging="325"/>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ind w:left="460"/>
        <w:spacing w:after="0" w:line="221" w:lineRule="auto"/>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ind w:left="460"/>
        <w:spacing w:after="0" w:line="221" w:lineRule="auto"/>
        <w:rPr>
          <w:sz w:val="20"/>
          <w:szCs w:val="20"/>
          <w:color w:val="auto"/>
        </w:rPr>
      </w:pPr>
      <w:r>
        <w:rPr>
          <w:rFonts w:ascii="Arial" w:cs="Arial" w:eastAsia="Arial" w:hAnsi="Arial"/>
          <w:sz w:val="14"/>
          <w:szCs w:val="14"/>
          <w:color w:val="auto"/>
        </w:rPr>
        <w:t>Year 3: FMV of Investment B determined to be $25 million</w:t>
      </w:r>
    </w:p>
    <w:p>
      <w:pPr>
        <w:ind w:left="460"/>
        <w:spacing w:after="0"/>
        <w:rPr>
          <w:sz w:val="20"/>
          <w:szCs w:val="20"/>
          <w:color w:val="auto"/>
        </w:rPr>
      </w:pPr>
      <w:r>
        <w:rPr>
          <w:rFonts w:ascii="Arial" w:cs="Arial" w:eastAsia="Arial" w:hAnsi="Arial"/>
          <w:sz w:val="14"/>
          <w:szCs w:val="14"/>
          <w:color w:val="auto"/>
        </w:rPr>
        <w:t>Year 4: Investment B sold for $31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2: $6 million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3: None</w:t>
      </w:r>
    </w:p>
    <w:p>
      <w:pPr>
        <w:spacing w:after="0" w:line="69" w:lineRule="exact"/>
        <w:rPr>
          <w:sz w:val="20"/>
          <w:szCs w:val="20"/>
          <w:color w:val="auto"/>
        </w:rPr>
      </w:pPr>
    </w:p>
    <w:p>
      <w:pPr>
        <w:ind w:left="460" w:right="2220"/>
        <w:spacing w:after="0" w:line="239"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4: $200,000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360"/>
          </w:cols>
          <w:pgMar w:left="240" w:top="459" w:right="2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Assumptions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FMV of Investment B determined to be $35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Investment B sold for $20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$5 million capital gains incentive fee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22"/>
          <w:szCs w:val="22"/>
          <w:color w:val="auto"/>
          <w:vertAlign w:val="superscript"/>
        </w:rPr>
        <w:t>( 1)</w:t>
      </w:r>
    </w:p>
    <w:p>
      <w:pPr>
        <w:ind w:left="360"/>
        <w:spacing w:after="0" w:line="230"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None</w:t>
      </w:r>
    </w:p>
    <w:p>
      <w:pPr>
        <w:spacing w:after="0" w:line="69" w:lineRule="exact"/>
        <w:rPr>
          <w:sz w:val="20"/>
          <w:szCs w:val="20"/>
          <w:color w:val="auto"/>
        </w:rPr>
      </w:pPr>
    </w:p>
    <w:p>
      <w:pPr>
        <w:ind w:left="360" w:right="180"/>
        <w:spacing w:after="0" w:line="239"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6" w:lineRule="exact"/>
        <w:rPr>
          <w:sz w:val="20"/>
          <w:szCs w:val="20"/>
          <w:color w:val="auto"/>
        </w:rPr>
      </w:pPr>
    </w:p>
    <w:p>
      <w:pPr>
        <w:ind w:left="580" w:right="40" w:hanging="572"/>
        <w:spacing w:after="0" w:line="195" w:lineRule="auto"/>
        <w:tabs>
          <w:tab w:leader="none" w:pos="5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Duration and Termination</w:t>
      </w:r>
    </w:p>
    <w:p>
      <w:pPr>
        <w:spacing w:after="0" w:line="7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The Investment Management Agreement was approved by our board of directors, including a majority of our directors who are not interested persons of us, in March 2011. Unless terminated earlier as described below, the Investment Management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w:t>
      </w:r>
    </w:p>
    <w:p>
      <w:pPr>
        <w:spacing w:after="0" w:line="111"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6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six months ended March 31, 2012 and for the period March 4, 2011 (commencement of operations) to September 30, 2011, the Investment Adviser and Administrator were reimbursed $0.1 million, $0.1 million and $0.1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6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The Administration Agreement was approved by our board of directors, including a majority of our independent directors who are not interested persons of us, in March 2011. Unless terminated earlier as described below, our Administration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Administration Agreement may be terminated by either party without penalty upon not more than 60 days’ written notice to the other.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load advance</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DETERMINATION OF NET ASSET VALUE</w:t>
      </w:r>
    </w:p>
    <w:p>
      <w:pPr>
        <w:spacing w:after="0" w:line="71"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net asset value per share of our outstanding shares of common stock is determined quarterly by dividing the value of total assets minus liabilities by the total number of shares outstanding.</w:t>
      </w:r>
    </w:p>
    <w:p>
      <w:pPr>
        <w:spacing w:after="0" w:line="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8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80" w:hanging="334"/>
        <w:spacing w:after="0" w:line="233"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right="14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44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the extent we invest in derivative instruments in the future, such instruments would be valued at fair value in accordance with our valuation policy.</w:t>
      </w:r>
    </w:p>
    <w:p>
      <w:pPr>
        <w:spacing w:after="0" w:line="15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7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0" w:lineRule="exact"/>
        <w:rPr>
          <w:sz w:val="20"/>
          <w:szCs w:val="20"/>
          <w:color w:val="auto"/>
        </w:rPr>
      </w:pPr>
    </w:p>
    <w:p>
      <w:pPr>
        <w:ind w:left="540" w:hanging="316"/>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net asset value of our common stock disclosed in the most recent periodic report that we filed with the SEC;</w:t>
      </w:r>
    </w:p>
    <w:p>
      <w:pPr>
        <w:spacing w:after="0" w:line="55" w:lineRule="exact"/>
        <w:rPr>
          <w:rFonts w:ascii="Arial" w:cs="Arial" w:eastAsia="Arial" w:hAnsi="Arial"/>
          <w:sz w:val="14"/>
          <w:szCs w:val="14"/>
          <w:color w:val="auto"/>
        </w:rPr>
      </w:pPr>
    </w:p>
    <w:p>
      <w:pPr>
        <w:ind w:left="540" w:right="160" w:hanging="316"/>
        <w:spacing w:after="0" w:line="233"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4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7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REINVESTMENT PLAN</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Those stockholders whose shares are held by a broker or other financial intermediary may receive dividends and other distributions in cash by notifying their broker or other financial intermediary of their election.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 xml:space="preserve">Participants may terminate their accounts under the plan by notifying the plan administrator via its website at </w:t>
      </w:r>
      <w:r>
        <w:rPr>
          <w:rFonts w:ascii="Arial" w:cs="Arial" w:eastAsia="Arial" w:hAnsi="Arial"/>
          <w:sz w:val="14"/>
          <w:szCs w:val="14"/>
          <w:i w:val="1"/>
          <w:iCs w:val="1"/>
          <w:u w:val="single" w:color="auto"/>
          <w:color w:val="auto"/>
        </w:rPr>
        <w:t>www.amstock.com</w:t>
      </w:r>
      <w:r>
        <w:rPr>
          <w:rFonts w:ascii="Arial" w:cs="Arial" w:eastAsia="Arial" w:hAnsi="Arial"/>
          <w:sz w:val="14"/>
          <w:szCs w:val="14"/>
          <w:color w:val="auto"/>
        </w:rPr>
        <w:t xml:space="preserve"> or by filling out the transaction request form located at bottom of their statement and sending it to the plan administrator.</w:t>
      </w:r>
    </w:p>
    <w:p>
      <w:pPr>
        <w:spacing w:after="0" w:line="139"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P.O. Box 922, Wall Street Station, New York, New York 10269, or by the plan administrator’s Interactive Voice Response System at 1-877-322-4951.</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CAPITAL STOCK</w:t>
      </w:r>
    </w:p>
    <w:p>
      <w:pPr>
        <w:spacing w:after="0" w:line="15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Stock</w:t>
      </w:r>
    </w:p>
    <w:p>
      <w:pPr>
        <w:spacing w:after="0" w:line="71"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As of July 24, 2012,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last reported closing market price of our common stock on July 24, 2012 was $12.14 per share. As of July 24, 2011, we had 4 stockholders of record.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2"/>
          </w:tcPr>
          <w:p>
            <w:pPr>
              <w:ind w:left="460"/>
              <w:spacing w:after="0"/>
              <w:rPr>
                <w:sz w:val="20"/>
                <w:szCs w:val="20"/>
                <w:color w:val="auto"/>
              </w:rPr>
            </w:pPr>
            <w:r>
              <w:rPr>
                <w:rFonts w:ascii="Arial" w:cs="Arial" w:eastAsia="Arial" w:hAnsi="Arial"/>
                <w:sz w:val="14"/>
                <w:szCs w:val="14"/>
                <w:color w:val="auto"/>
              </w:rPr>
              <w:t>The following are our outstanding classes of securities as of July 24, 2012:</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6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$0.001 per share</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6,850,667</w:t>
            </w:r>
          </w:p>
        </w:tc>
      </w:tr>
      <w:tr>
        <w:trPr>
          <w:trHeight w:val="44"/>
        </w:trPr>
        <w:tc>
          <w:tcPr>
            <w:tcW w:w="5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7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36"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42" w:lineRule="exact"/>
        <w:rPr>
          <w:sz w:val="20"/>
          <w:szCs w:val="20"/>
          <w:color w:val="auto"/>
        </w:rPr>
      </w:pPr>
    </w:p>
    <w:p>
      <w:pPr>
        <w:ind w:right="100" w:firstLine="456"/>
        <w:spacing w:after="0" w:line="262" w:lineRule="auto"/>
        <w:rPr>
          <w:sz w:val="20"/>
          <w:szCs w:val="20"/>
          <w:color w:val="auto"/>
        </w:rPr>
      </w:pPr>
      <w:r>
        <w:rPr>
          <w:rFonts w:ascii="Arial" w:cs="Arial" w:eastAsia="Arial" w:hAnsi="Arial"/>
          <w:sz w:val="12"/>
          <w:szCs w:val="12"/>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w:t>
      </w:r>
    </w:p>
    <w:p>
      <w:pPr>
        <w:spacing w:after="0" w:line="2" w:lineRule="exact"/>
        <w:rPr>
          <w:sz w:val="20"/>
          <w:szCs w:val="20"/>
          <w:color w:val="auto"/>
        </w:rPr>
      </w:pPr>
    </w:p>
    <w:p>
      <w:pPr>
        <w:ind w:right="40" w:firstLine="8"/>
        <w:spacing w:after="0" w:line="268" w:lineRule="auto"/>
        <w:tabs>
          <w:tab w:leader="none" w:pos="184"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the Maryland General Corporation Law and our Charter and Bylaws</w:t>
      </w:r>
    </w:p>
    <w:p>
      <w:pPr>
        <w:spacing w:after="0" w:line="71"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6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terms of the first, second and third classes will expire in 2013, 2013, and 2014, respectively, and in each case, those directors will serve until their successors are duly elected and qualify. Beginning in 2013, upon expiration of their current terms, directors of each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charter and bylaws provide that the affirmative vote of the holders of a majority of the outstanding shares of stock entitled to vote in the election of directors is required to elect a director. Pursuant to the charter, our board of directors may amend the bylaws to alter the vote required to elect directors.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6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69"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provisions for stockholder nominations and stockholder proposals</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charter and bylaws provide that the board of directors will have the exclusive power to adopt, alter or repeal any provision of our bylaws and to make new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6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6"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2" w:lineRule="exact"/>
        <w:rPr>
          <w:sz w:val="20"/>
          <w:szCs w:val="20"/>
          <w:color w:val="auto"/>
        </w:rPr>
      </w:pPr>
    </w:p>
    <w:p>
      <w:pPr>
        <w:ind w:right="340" w:firstLine="456"/>
        <w:spacing w:after="0" w:line="233"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58"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4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8"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person who beneficially owns 10% or more of the voting power of the corporation’s shares; or</w:t>
      </w:r>
    </w:p>
    <w:p>
      <w:pPr>
        <w:spacing w:after="0" w:line="55"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8"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8"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69"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PREFERRED STOCK</w:t>
      </w:r>
    </w:p>
    <w:p>
      <w:pPr>
        <w:spacing w:after="0" w:line="15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9"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55" w:lineRule="exact"/>
        <w:rPr>
          <w:rFonts w:ascii="Arial" w:cs="Arial" w:eastAsia="Arial" w:hAnsi="Arial"/>
          <w:sz w:val="14"/>
          <w:szCs w:val="14"/>
          <w:color w:val="auto"/>
        </w:rPr>
      </w:pPr>
    </w:p>
    <w:p>
      <w:pPr>
        <w:ind w:left="540" w:right="40" w:hanging="316"/>
        <w:spacing w:after="0" w:line="239"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rights and preferences, if any, of holders of shares of such series upon our liquidation, dissolution or winding up of our affairs;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provisions relating to the redemption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50"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69"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if applicable, the designation and terms of the securities with which the warrants are issued and the number of warrants issued with each such security or each principal amount of such security;</w:t>
      </w:r>
    </w:p>
    <w:p>
      <w:pPr>
        <w:spacing w:after="0" w:line="78" w:lineRule="exact"/>
        <w:rPr>
          <w:rFonts w:ascii="Arial" w:cs="Arial" w:eastAsia="Arial" w:hAnsi="Arial"/>
          <w:sz w:val="12"/>
          <w:szCs w:val="12"/>
          <w:color w:val="auto"/>
        </w:rPr>
      </w:pPr>
    </w:p>
    <w:p>
      <w:pPr>
        <w:ind w:left="540" w:right="30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3" w:lineRule="exact"/>
        <w:rPr>
          <w:rFonts w:ascii="Arial" w:cs="Arial" w:eastAsia="Arial" w:hAnsi="Arial"/>
          <w:sz w:val="14"/>
          <w:szCs w:val="14"/>
          <w:color w:val="auto"/>
        </w:rPr>
      </w:pPr>
    </w:p>
    <w:p>
      <w:pPr>
        <w:ind w:left="540" w:right="20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date on which the right to exercise such warrants shall commence and the date on which such right will expire;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9"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shall expire (subject to any extension);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of Subscription Rights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DEBT SECURITIES</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7"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prospectus supplement, which will accompany this prospectus, will describe the particular series of debt securities being offered by including:</w:t>
      </w:r>
    </w:p>
    <w:p>
      <w:pPr>
        <w:spacing w:after="0" w:line="55" w:lineRule="exact"/>
        <w:rPr>
          <w:sz w:val="20"/>
          <w:szCs w:val="20"/>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rate or rates (which may be either fixed or variable) and/or the method of determining such rate or rates of interest,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14"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w:t>
      </w:r>
    </w:p>
    <w:p>
      <w:pPr>
        <w:spacing w:after="0" w:line="1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and Exchange</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Book-Entry Holders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1"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Holders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3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2"/>
          <w:szCs w:val="12"/>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Holders</w:t>
      </w:r>
    </w:p>
    <w:p>
      <w:pPr>
        <w:spacing w:after="0" w:line="6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9"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whether and how you can instruct it to send you debt securities registered in your own name so you can be a holder, if that is permitted in the future for a particular series of debt securities;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Securities</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9" w:lineRule="exact"/>
        <w:rPr>
          <w:sz w:val="20"/>
          <w:szCs w:val="20"/>
          <w:color w:val="auto"/>
        </w:rPr>
      </w:pPr>
    </w:p>
    <w:p>
      <w:pPr>
        <w:jc w:val="both"/>
        <w:ind w:right="200" w:firstLine="456"/>
        <w:spacing w:after="0" w:line="233" w:lineRule="auto"/>
        <w:rPr>
          <w:sz w:val="20"/>
          <w:szCs w:val="20"/>
          <w:color w:val="auto"/>
        </w:rPr>
      </w:pPr>
      <w:r>
        <w:rPr>
          <w:rFonts w:ascii="Arial" w:cs="Arial" w:eastAsia="Arial" w:hAnsi="Arial"/>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69" w:lineRule="exact"/>
        <w:rPr>
          <w:sz w:val="20"/>
          <w:szCs w:val="20"/>
          <w:color w:val="auto"/>
        </w:rPr>
      </w:pPr>
    </w:p>
    <w:p>
      <w:pPr>
        <w:ind w:left="540" w:right="34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43" w:lineRule="exact"/>
        <w:rPr>
          <w:rFonts w:ascii="Arial" w:cs="Arial" w:eastAsia="Arial" w:hAnsi="Arial"/>
          <w:sz w:val="14"/>
          <w:szCs w:val="14"/>
          <w:color w:val="auto"/>
        </w:rPr>
      </w:pPr>
    </w:p>
    <w:p>
      <w:pPr>
        <w:ind w:left="540" w:right="28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 investor may not be able to sell interests in the debt securities to some insurance companies and other institutions that are required by law to own their securities in non-book-entry form;</w:t>
      </w:r>
    </w:p>
    <w:p>
      <w:pPr>
        <w:spacing w:after="0" w:line="78" w:lineRule="exact"/>
        <w:rPr>
          <w:rFonts w:ascii="Arial" w:cs="Arial" w:eastAsia="Arial" w:hAnsi="Arial"/>
          <w:sz w:val="12"/>
          <w:szCs w:val="12"/>
          <w:color w:val="auto"/>
        </w:rPr>
      </w:pPr>
    </w:p>
    <w:p>
      <w:pPr>
        <w:ind w:left="540" w:right="2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3" w:lineRule="exact"/>
        <w:rPr>
          <w:rFonts w:ascii="Arial" w:cs="Arial" w:eastAsia="Arial" w:hAnsi="Arial"/>
          <w:sz w:val="14"/>
          <w:szCs w:val="14"/>
          <w:color w:val="auto"/>
        </w:rPr>
      </w:pPr>
    </w:p>
    <w:p>
      <w:pPr>
        <w:ind w:left="540" w:right="260" w:hanging="316"/>
        <w:spacing w:after="0" w:line="317" w:lineRule="auto"/>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if we redeem less than all the debt securities of a particular series being redeemed, DTC’s practice is to determine by lot the amount to be redeemed from each of its participants holding that series;</w:t>
      </w:r>
    </w:p>
    <w:p>
      <w:pPr>
        <w:spacing w:after="0" w:line="78" w:lineRule="exact"/>
        <w:rPr>
          <w:rFonts w:ascii="Arial" w:cs="Arial" w:eastAsia="Arial" w:hAnsi="Arial"/>
          <w:sz w:val="12"/>
          <w:szCs w:val="12"/>
          <w:color w:val="auto"/>
        </w:rPr>
      </w:pPr>
    </w:p>
    <w:p>
      <w:pPr>
        <w:ind w:left="540" w:right="40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3" w:lineRule="exact"/>
        <w:rPr>
          <w:rFonts w:ascii="Arial" w:cs="Arial" w:eastAsia="Arial" w:hAnsi="Arial"/>
          <w:sz w:val="14"/>
          <w:szCs w:val="14"/>
          <w:color w:val="auto"/>
        </w:rPr>
      </w:pPr>
    </w:p>
    <w:p>
      <w:pPr>
        <w:ind w:left="540" w:right="46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3" w:lineRule="exact"/>
        <w:rPr>
          <w:rFonts w:ascii="Arial" w:cs="Arial" w:eastAsia="Arial" w:hAnsi="Arial"/>
          <w:sz w:val="14"/>
          <w:szCs w:val="14"/>
          <w:color w:val="auto"/>
        </w:rPr>
      </w:pPr>
    </w:p>
    <w:p>
      <w:pPr>
        <w:ind w:left="540" w:right="100" w:hanging="316"/>
        <w:spacing w:after="0" w:line="233"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69"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if the depositary notifies us that it is unwilling, unable or no longer qualified to continue as depositary for that global security, and we are unable to appoint another institution to act as depositary;</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2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and Paying Agents</w:t>
      </w:r>
    </w:p>
    <w:p>
      <w:pPr>
        <w:spacing w:after="0" w:line="71"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Global Securities</w:t>
      </w:r>
    </w:p>
    <w:p>
      <w:pPr>
        <w:spacing w:after="0" w:line="69" w:lineRule="exact"/>
        <w:rPr>
          <w:sz w:val="20"/>
          <w:szCs w:val="20"/>
          <w:color w:val="auto"/>
        </w:rPr>
      </w:pPr>
    </w:p>
    <w:p>
      <w:pPr>
        <w:jc w:val="both"/>
        <w:ind w:right="420" w:firstLine="456"/>
        <w:spacing w:after="0" w:line="233"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Certificated Securities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When Offices Are Closed</w:t>
      </w:r>
    </w:p>
    <w:p>
      <w:pPr>
        <w:spacing w:after="0" w:line="6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of Default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69"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within five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 and we do not cure this default within five days;</w:t>
      </w:r>
    </w:p>
    <w:p>
      <w:pPr>
        <w:spacing w:after="0" w:line="55" w:lineRule="exact"/>
        <w:rPr>
          <w:rFonts w:ascii="Arial" w:cs="Arial" w:eastAsia="Arial" w:hAnsi="Arial"/>
          <w:sz w:val="14"/>
          <w:szCs w:val="14"/>
          <w:color w:val="auto"/>
        </w:rPr>
      </w:pPr>
    </w:p>
    <w:p>
      <w:pPr>
        <w:ind w:left="540" w:right="80" w:hanging="316"/>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50"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Remedies if an Event of Default Occurs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456"/>
        <w:spacing w:after="0" w:line="278" w:lineRule="auto"/>
        <w:rPr>
          <w:sz w:val="20"/>
          <w:szCs w:val="20"/>
          <w:color w:val="auto"/>
        </w:rPr>
      </w:pPr>
      <w:r>
        <w:rPr>
          <w:rFonts w:ascii="Arial" w:cs="Arial" w:eastAsia="Arial" w:hAnsi="Arial"/>
          <w:sz w:val="12"/>
          <w:szCs w:val="12"/>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7"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8"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55" w:lineRule="exact"/>
        <w:rPr>
          <w:rFonts w:ascii="Arial" w:cs="Arial" w:eastAsia="Arial" w:hAnsi="Arial"/>
          <w:sz w:val="14"/>
          <w:szCs w:val="14"/>
          <w:color w:val="auto"/>
        </w:rPr>
      </w:pPr>
    </w:p>
    <w:p>
      <w:pPr>
        <w:ind w:left="540" w:right="36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However, you are entitled at any time to bring a lawsuit for the payment of money due on your debt securities on or after the due date.</w:t>
      </w:r>
    </w:p>
    <w:p>
      <w:pPr>
        <w:spacing w:after="0" w:line="148"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Waiver of Default</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or Consolidation</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8" w:lineRule="exact"/>
        <w:rPr>
          <w:sz w:val="20"/>
          <w:szCs w:val="20"/>
          <w:color w:val="auto"/>
        </w:rPr>
      </w:pPr>
    </w:p>
    <w:p>
      <w:pPr>
        <w:ind w:left="540" w:right="40" w:hanging="316"/>
        <w:spacing w:after="0" w:line="278" w:lineRule="auto"/>
        <w:tabs>
          <w:tab w:leader="none" w:pos="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5" w:lineRule="exact"/>
        <w:rPr>
          <w:rFonts w:ascii="Arial" w:cs="Arial" w:eastAsia="Arial" w:hAnsi="Arial"/>
          <w:sz w:val="12"/>
          <w:szCs w:val="12"/>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immediately after the transaction no event of default will exist;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must satisfy any other requirements specified in the prospectus supplement relating to a particular series of debt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or Waiver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Your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55"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at any time after a change of control has occurred, reduce the premium payable upon a change of control;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the place or currency of payment on a debt security (except as otherwise described in the prospectus or prospectus supplement);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Not Requiring Approval</w:t>
      </w:r>
    </w:p>
    <w:p>
      <w:pPr>
        <w:spacing w:after="0" w:line="6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Majority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55" w:lineRule="exact"/>
        <w:rPr>
          <w:sz w:val="20"/>
          <w:szCs w:val="20"/>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each case, the required approval must be given by written consent.</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 Modification or Waiver—Changes Requiring Your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24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Concerning Voting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69" w:lineRule="exact"/>
        <w:rPr>
          <w:sz w:val="20"/>
          <w:szCs w:val="20"/>
          <w:color w:val="auto"/>
        </w:rPr>
      </w:pPr>
    </w:p>
    <w:p>
      <w:pPr>
        <w:ind w:left="540" w:right="40" w:hanging="316"/>
        <w:spacing w:after="0" w:line="239"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for debt securities whose principal amount is not known (for example, because it is based on an index), we will use a special rule for that debt security described in the prospectus supplement; and</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5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8" w:lineRule="exact"/>
        <w:rPr>
          <w:sz w:val="20"/>
          <w:szCs w:val="20"/>
          <w:color w:val="auto"/>
        </w:rPr>
      </w:pPr>
    </w:p>
    <w:p>
      <w:pPr>
        <w:ind w:right="460"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Defeasance</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Covenant Defeasance</w:t>
      </w:r>
    </w:p>
    <w:p>
      <w:pPr>
        <w:spacing w:after="0" w:line="6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540" w:right="100" w:hanging="316"/>
        <w:spacing w:after="0" w:line="317" w:lineRule="auto"/>
        <w:tabs>
          <w:tab w:leader="none" w:pos="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ind w:left="540" w:right="120" w:hanging="316"/>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 Defeasance</w:t>
      </w:r>
    </w:p>
    <w:p>
      <w:pPr>
        <w:spacing w:after="0" w:line="6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540" w:right="100" w:hanging="316"/>
        <w:spacing w:after="0" w:line="317"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ind w:left="540" w:right="80" w:hanging="316"/>
        <w:spacing w:after="0" w:line="278"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2" w:lineRule="exact"/>
        <w:rPr>
          <w:rFonts w:ascii="Arial" w:cs="Arial" w:eastAsia="Arial" w:hAnsi="Arial"/>
          <w:sz w:val="12"/>
          <w:szCs w:val="12"/>
          <w:color w:val="auto"/>
        </w:rPr>
      </w:pPr>
    </w:p>
    <w:p>
      <w:pPr>
        <w:ind w:left="540" w:right="540" w:hanging="316"/>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55" w:lineRule="exact"/>
        <w:rPr>
          <w:sz w:val="20"/>
          <w:szCs w:val="20"/>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unless we indicate otherwise in the prospectus supplement, in denominations of $1,000 and amounts that are multiples of $1,000.</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39"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Trustee</w:t>
      </w:r>
    </w:p>
    <w:p>
      <w:pPr>
        <w:spacing w:after="0" w:line="7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Indenture Provisions—Subordination</w:t>
      </w:r>
    </w:p>
    <w:p>
      <w:pPr>
        <w:spacing w:after="0" w:line="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 reason of this subordination, in the event of a distribution of our assets upon our insolvency, certain of our senior creditors may recover more, ratably, than holders of any subordinated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indenture provides that these subordination provisions will not apply to money and securities held in trust under the defeasance provisions of the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69" w:lineRule="exact"/>
        <w:rPr>
          <w:sz w:val="20"/>
          <w:szCs w:val="20"/>
          <w:color w:val="auto"/>
        </w:rPr>
      </w:pPr>
    </w:p>
    <w:p>
      <w:pPr>
        <w:ind w:left="540" w:right="100" w:hanging="316"/>
        <w:spacing w:after="0" w:line="233"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4" w:lineRule="exact"/>
        <w:rPr>
          <w:rFonts w:ascii="Arial" w:cs="Arial" w:eastAsia="Arial" w:hAnsi="Arial"/>
          <w:sz w:val="14"/>
          <w:szCs w:val="14"/>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Trustee under the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use American Stock Transfer &amp; Trust Company, LLC to serve as the trustee under the indenture.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REGULATION</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2" w:lineRule="exact"/>
        <w:rPr>
          <w:sz w:val="20"/>
          <w:szCs w:val="20"/>
          <w:color w:val="auto"/>
        </w:rPr>
      </w:pPr>
    </w:p>
    <w:p>
      <w:pPr>
        <w:ind w:left="680" w:right="20" w:hanging="334"/>
        <w:spacing w:after="0" w:line="233"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4" w:lineRule="exact"/>
        <w:rPr>
          <w:rFonts w:ascii="Arial" w:cs="Arial" w:eastAsia="Arial" w:hAnsi="Arial"/>
          <w:sz w:val="14"/>
          <w:szCs w:val="14"/>
          <w:color w:val="auto"/>
        </w:rPr>
      </w:pPr>
    </w:p>
    <w:p>
      <w:pPr>
        <w:ind w:left="1380" w:hanging="346"/>
        <w:spacing w:after="0"/>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1380" w:hanging="346"/>
        <w:spacing w:after="0" w:line="239" w:lineRule="auto"/>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3" w:lineRule="exact"/>
        <w:rPr>
          <w:rFonts w:ascii="Arial" w:cs="Arial" w:eastAsia="Arial" w:hAnsi="Arial"/>
          <w:sz w:val="14"/>
          <w:szCs w:val="14"/>
          <w:color w:val="auto"/>
        </w:rPr>
      </w:pPr>
    </w:p>
    <w:p>
      <w:pPr>
        <w:ind w:left="1380" w:right="520" w:hanging="346"/>
        <w:spacing w:after="0" w:line="239" w:lineRule="auto"/>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80" w:right="60" w:hanging="334"/>
        <w:spacing w:after="0" w:line="233"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4" w:lineRule="exact"/>
        <w:rPr>
          <w:rFonts w:ascii="Arial" w:cs="Arial" w:eastAsia="Arial" w:hAnsi="Arial"/>
          <w:sz w:val="14"/>
          <w:szCs w:val="14"/>
          <w:color w:val="auto"/>
        </w:rPr>
      </w:pPr>
    </w:p>
    <w:p>
      <w:pPr>
        <w:ind w:left="680" w:right="60" w:hanging="334"/>
        <w:spacing w:after="0" w:line="239"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78" w:lineRule="exact"/>
        <w:rPr>
          <w:rFonts w:ascii="Arial" w:cs="Arial" w:eastAsia="Arial" w:hAnsi="Arial"/>
          <w:sz w:val="12"/>
          <w:szCs w:val="12"/>
          <w:color w:val="auto"/>
        </w:rPr>
      </w:pPr>
    </w:p>
    <w:p>
      <w:pPr>
        <w:ind w:left="680" w:hanging="334"/>
        <w:spacing w:after="0"/>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Managerial Assistance to Portfolio Companies</w:t>
      </w:r>
    </w:p>
    <w:p>
      <w:pPr>
        <w:spacing w:after="0" w:line="71"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7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Code of Ethics and Code of Conduct</w:t>
      </w:r>
    </w:p>
    <w:p>
      <w:pPr>
        <w:spacing w:after="0" w:line="7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71" w:lineRule="exact"/>
        <w:rPr>
          <w:sz w:val="20"/>
          <w:szCs w:val="20"/>
          <w:color w:val="auto"/>
        </w:rPr>
      </w:pPr>
    </w:p>
    <w:p>
      <w:pPr>
        <w:ind w:right="200" w:firstLine="456"/>
        <w:spacing w:after="0" w:line="233"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Policies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proxy voting decisions are made by the senior officers who are responsible for monitoring each of clients’ investments. To ensure that our vote is not the product of a conflict of interest, we require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that: (1) anyone involved in the decision making process disclose to our Chief Compliance Officer any potential conflict that he or she is aware of and any contact that he or she has had with any interested party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regarding a proxy vote; and (2) employees involved in the decision making process or vote administration are prohibited from revealing how we intend to vote on a proposal in order to reduce any attempted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Voting Records</w:t>
      </w:r>
    </w:p>
    <w:p>
      <w:pPr>
        <w:spacing w:after="0" w:line="69" w:lineRule="exact"/>
        <w:rPr>
          <w:sz w:val="20"/>
          <w:szCs w:val="20"/>
          <w:color w:val="auto"/>
        </w:rPr>
      </w:pPr>
    </w:p>
    <w:p>
      <w:pPr>
        <w:ind w:right="140" w:firstLine="456"/>
        <w:spacing w:after="0" w:line="248" w:lineRule="auto"/>
        <w:rPr>
          <w:sz w:val="20"/>
          <w:szCs w:val="20"/>
          <w:color w:val="auto"/>
        </w:rPr>
      </w:pPr>
      <w:r>
        <w:rPr>
          <w:rFonts w:ascii="Arial" w:cs="Arial" w:eastAsia="Arial" w:hAnsi="Arial"/>
          <w:sz w:val="14"/>
          <w:szCs w:val="14"/>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Protection Principles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electronic request at the following email address: publicinfo@sec.gov, or by writing the SEC’s Public Reference Section, 100 F Street, N.E., 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Sarbanes-Oxley Act imposes several regulatory requirements on publicly held companies and their insiders. Many of these requirements affect us.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example:</w:t>
      </w:r>
    </w:p>
    <w:p>
      <w:pPr>
        <w:spacing w:after="0" w:line="69" w:lineRule="exact"/>
        <w:rPr>
          <w:sz w:val="20"/>
          <w:szCs w:val="20"/>
          <w:color w:val="auto"/>
        </w:rPr>
      </w:pPr>
    </w:p>
    <w:p>
      <w:pPr>
        <w:ind w:left="540" w:hanging="316"/>
        <w:spacing w:after="0"/>
        <w:tabs>
          <w:tab w:leader="none" w:pos="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43" w:lineRule="exact"/>
        <w:rPr>
          <w:rFonts w:ascii="Arial" w:cs="Arial" w:eastAsia="Arial" w:hAnsi="Arial"/>
          <w:sz w:val="14"/>
          <w:szCs w:val="14"/>
          <w:color w:val="auto"/>
        </w:rPr>
      </w:pPr>
    </w:p>
    <w:p>
      <w:pPr>
        <w:ind w:left="540" w:hanging="316"/>
        <w:spacing w:after="0" w:line="233" w:lineRule="auto"/>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2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55"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 corporation, or other entity treated as a corporation for U.S. federal income tax purposes, created or organized in or under the laws of the United States or any state thereof or the District of Columbia;</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trust or an estate, the income of which is subject to U.S. federal income taxation regardless of its source; or</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 trust over whose administration a court within the United States has primary supervision and all substantial decisions of which are under the control of one or more U.S. fiduciaries.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9"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71"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5"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55" w:lineRule="exact"/>
        <w:rPr>
          <w:rFonts w:ascii="Arial" w:cs="Arial" w:eastAsia="Arial" w:hAnsi="Arial"/>
          <w:sz w:val="14"/>
          <w:szCs w:val="14"/>
          <w:color w:val="auto"/>
        </w:rPr>
      </w:pPr>
    </w:p>
    <w:p>
      <w:pPr>
        <w:ind w:left="540" w:right="240" w:hanging="316"/>
        <w:spacing w:after="0" w:line="317" w:lineRule="auto"/>
        <w:tabs>
          <w:tab w:leader="none" w:pos="5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diversify our holdings so that at the end of each quarter of the taxable year:</w:t>
      </w:r>
    </w:p>
    <w:p>
      <w:pPr>
        <w:spacing w:after="0" w:line="55" w:lineRule="exact"/>
        <w:rPr>
          <w:rFonts w:ascii="Arial" w:cs="Arial" w:eastAsia="Arial" w:hAnsi="Arial"/>
          <w:sz w:val="14"/>
          <w:szCs w:val="14"/>
          <w:color w:val="auto"/>
        </w:rPr>
      </w:pPr>
    </w:p>
    <w:p>
      <w:pPr>
        <w:ind w:left="1380" w:right="280" w:hanging="346"/>
        <w:spacing w:after="0" w:line="317" w:lineRule="auto"/>
        <w:tabs>
          <w:tab w:leader="none" w:pos="1380" w:val="left"/>
        </w:tabs>
        <w:numPr>
          <w:ilvl w:val="1"/>
          <w:numId w:val="69"/>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380" w:hanging="346"/>
        <w:spacing w:after="0" w:line="233" w:lineRule="auto"/>
        <w:tabs>
          <w:tab w:leader="none" w:pos="13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40"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7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U.S. Stockholders</w:t>
      </w:r>
    </w:p>
    <w:p>
      <w:pPr>
        <w:spacing w:after="0" w:line="71" w:lineRule="exact"/>
        <w:rPr>
          <w:sz w:val="20"/>
          <w:szCs w:val="20"/>
          <w:color w:val="auto"/>
        </w:rPr>
      </w:pPr>
    </w:p>
    <w:p>
      <w:pPr>
        <w:ind w:right="60" w:firstLine="456"/>
        <w:spacing w:after="0" w:line="265" w:lineRule="auto"/>
        <w:rPr>
          <w:sz w:val="20"/>
          <w:szCs w:val="20"/>
          <w:color w:val="auto"/>
        </w:rPr>
      </w:pPr>
      <w:r>
        <w:rPr>
          <w:rFonts w:ascii="Arial" w:cs="Arial" w:eastAsia="Arial" w:hAnsi="Arial"/>
          <w:sz w:val="12"/>
          <w:szCs w:val="12"/>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reported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Although we currently intend to distribute any long-term capital gains at least annually, we may in the future decide to retain some or all of our long-term capital gains, but report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8"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3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of 35% on ordinary income currently payable by individuals through 2012. After 2012, these maximum individual tax rates currently are scheduled to increase to 20% (for long-term capital gain) and 39.6% (for ordinary income). Furthermore, for taxable years beginning after December 31, 2012, an additional 3.8% Medicare tax will be imposed on certain net investment income (including interest, dividends, annuities, royalties, rents and net capital gains) of a U.S. stockholder that is an individual, estate or trust, to the extent that such person’s “modified adjusted gross income” (in the case of an individual) or “adjusted gross income” (in the case of an estate or trust) exceeds a threshold amount.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8"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Non-U.S. Stockholders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9"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and, in the case of a corporate Non-U.S. stockholder, an additional “branch profits” tax at a 30% rate (or a lower rate if provided for by an applicable treaty). In that case, a withholding agent will not be required to withhold federal tax if the Non-U.S. stockholder complies with applicable certification and disclosure requirements. A Non-U.S. stockholder will also be subject to backup withholding unless the stockholder complies with certain certification requirements. Special certification requirements apply to a Non-U.S. stockholder that is a foreign partnership or a foreign trust, and such entities are urged to consult their own tax advisors.</w:t>
      </w:r>
    </w:p>
    <w:p>
      <w:pPr>
        <w:spacing w:after="0" w:line="123" w:lineRule="exact"/>
        <w:rPr>
          <w:sz w:val="20"/>
          <w:szCs w:val="20"/>
          <w:color w:val="auto"/>
        </w:rPr>
      </w:pPr>
    </w:p>
    <w:p>
      <w:pPr>
        <w:ind w:right="360" w:firstLine="456"/>
        <w:spacing w:after="0" w:line="230" w:lineRule="auto"/>
        <w:rPr>
          <w:sz w:val="20"/>
          <w:szCs w:val="20"/>
          <w:color w:val="auto"/>
        </w:rPr>
      </w:pPr>
      <w:r>
        <w:rPr>
          <w:rFonts w:ascii="Arial" w:cs="Arial" w:eastAsia="Arial" w:hAnsi="Arial"/>
          <w:sz w:val="14"/>
          <w:szCs w:val="14"/>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stockholder is present in the United States for 183 days or more during a taxable year.</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After December 31, 2013, withholding at a rate of 30% on dividends in respect of, and (after 2014)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may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2"/>
          <w:szCs w:val="12"/>
          <w:color w:val="auto"/>
        </w:rPr>
        <w:t>If we distribute our net capital gains in the form of deemed rather than actual distributions (which we may do in the future), a Non-U.S. stockholder may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w:t>
      </w:r>
    </w:p>
    <w:p>
      <w:pPr>
        <w:spacing w:after="0" w:line="111" w:lineRule="exact"/>
        <w:rPr>
          <w:sz w:val="20"/>
          <w:szCs w:val="20"/>
          <w:color w:val="auto"/>
        </w:rPr>
      </w:pPr>
    </w:p>
    <w:p>
      <w:pPr>
        <w:jc w:val="center"/>
        <w:ind w:left="380" w:right="320"/>
        <w:spacing w:after="0" w:line="459"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 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PLAN OF DISTRIBUTION</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8"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name or names of any underwriters, dealers or agents and the amounts of securities underwritten or purchased by each of them;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5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Generally, any agent will be acting on a best efforts basis for the period of its appointment.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SUB-ADMINISTRATOR, CUSTODIAN, TRANSFER AGENT AND TRUSTEE</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P.O. Box 922, Wall Street Station, New York, New York 10269,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Certain legal matters regarding the securities offered by this prospectus will be passed upon for us by Dechert LLP, Washington, D.C., and by Venable LLP, as special Maryland counsel.</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KPMG LLP, our independent registered public accounting firm, is located at 345 Park Avenue, New York, New York 10154.</w:t>
      </w:r>
    </w:p>
    <w:p>
      <w:pPr>
        <w:spacing w:after="0" w:line="150"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consolidated financial statements of PennantPark Floating Rate Capital Ltd. as of September 30, 2011, including the consolidated schedule of investments, and for the period March 4, 2011 (commencement of operations) to September 30, 2011, have been included herein in reliance upon the report of KPMG LLP, independent registered public accounting firm, appearing elsewhere herein, and upon the authority of said firm as experts in accounting and auditing.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0" w:type="dxa"/>
            <w:vAlign w:val="bottom"/>
            <w:gridSpan w:val="10"/>
          </w:tcPr>
          <w:p>
            <w:pPr>
              <w:jc w:val="center"/>
              <w:ind w:right="1320"/>
              <w:spacing w:after="0"/>
              <w:rPr>
                <w:sz w:val="20"/>
                <w:szCs w:val="20"/>
                <w:color w:val="auto"/>
              </w:rPr>
            </w:pPr>
            <w:r>
              <w:rPr>
                <w:rFonts w:ascii="Arial" w:cs="Arial" w:eastAsia="Arial" w:hAnsi="Arial"/>
                <w:sz w:val="14"/>
                <w:szCs w:val="14"/>
                <w:b w:val="1"/>
                <w:bCs w:val="1"/>
                <w:color w:val="auto"/>
                <w:w w:val="97"/>
              </w:rPr>
              <w:t>INDEX TO CONSOLIDATED FINANCIAL STATEMENTS</w:t>
            </w:r>
          </w:p>
        </w:tc>
        <w:tc>
          <w:tcPr>
            <w:tcW w:w="2080" w:type="dxa"/>
            <w:vAlign w:val="bottom"/>
          </w:tcPr>
          <w:p>
            <w:pPr>
              <w:spacing w:after="0"/>
              <w:rPr>
                <w:sz w:val="15"/>
                <w:szCs w:val="15"/>
                <w:color w:val="auto"/>
              </w:rPr>
            </w:pPr>
          </w:p>
        </w:tc>
      </w:tr>
      <w:tr>
        <w:trPr>
          <w:trHeight w:val="513"/>
        </w:trPr>
        <w:tc>
          <w:tcPr>
            <w:tcW w:w="9280" w:type="dxa"/>
            <w:vAlign w:val="bottom"/>
            <w:gridSpan w:val="14"/>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2080" w:type="dxa"/>
            <w:vAlign w:val="bottom"/>
          </w:tcPr>
          <w:p>
            <w:pPr>
              <w:spacing w:after="0"/>
              <w:rPr>
                <w:sz w:val="24"/>
                <w:szCs w:val="24"/>
                <w:color w:val="auto"/>
              </w:rPr>
            </w:pPr>
          </w:p>
        </w:tc>
      </w:tr>
      <w:tr>
        <w:trPr>
          <w:trHeight w:val="365"/>
        </w:trPr>
        <w:tc>
          <w:tcPr>
            <w:tcW w:w="9280" w:type="dxa"/>
            <w:vAlign w:val="bottom"/>
            <w:gridSpan w:val="14"/>
          </w:tcPr>
          <w:p>
            <w:pPr>
              <w:spacing w:after="0"/>
              <w:rPr>
                <w:sz w:val="20"/>
                <w:szCs w:val="20"/>
                <w:color w:val="auto"/>
              </w:rPr>
            </w:pPr>
            <w:r>
              <w:rPr>
                <w:rFonts w:ascii="Arial" w:cs="Arial" w:eastAsia="Arial" w:hAnsi="Arial"/>
                <w:sz w:val="14"/>
                <w:szCs w:val="14"/>
                <w:b w:val="1"/>
                <w:bCs w:val="1"/>
                <w:color w:val="auto"/>
              </w:rPr>
              <w:t>Annual Financial Statements</w:t>
            </w:r>
          </w:p>
        </w:tc>
        <w:tc>
          <w:tcPr>
            <w:tcW w:w="2080" w:type="dxa"/>
            <w:vAlign w:val="bottom"/>
          </w:tcPr>
          <w:p>
            <w:pPr>
              <w:spacing w:after="0"/>
              <w:rPr>
                <w:sz w:val="24"/>
                <w:szCs w:val="24"/>
                <w:color w:val="auto"/>
              </w:rPr>
            </w:pPr>
          </w:p>
        </w:tc>
      </w:tr>
      <w:tr>
        <w:trPr>
          <w:trHeight w:val="338"/>
        </w:trPr>
        <w:tc>
          <w:tcPr>
            <w:tcW w:w="318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107">
              <w:r>
                <w:rPr>
                  <w:rFonts w:ascii="Arial" w:cs="Arial" w:eastAsia="Arial" w:hAnsi="Arial"/>
                  <w:sz w:val="14"/>
                  <w:szCs w:val="14"/>
                  <w:color w:val="0000EE"/>
                  <w:w w:val="88"/>
                </w:rPr>
                <w:t>Report of Independent Registered Public Accounting Firm</w:t>
              </w:r>
            </w:hyperlink>
          </w:p>
        </w:tc>
        <w:tc>
          <w:tcPr>
            <w:tcW w:w="6100" w:type="dxa"/>
            <w:vAlign w:val="bottom"/>
            <w:gridSpan w:val="11"/>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Consolidated Statement of Assets and Liabilities as of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0"/>
        </w:trPr>
        <w:tc>
          <w:tcPr>
            <w:tcW w:w="2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Consolidated Statement of Operations for the period March 4, 2011 (commencement of operations) to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
        </w:trPr>
        <w:tc>
          <w:tcPr>
            <w:tcW w:w="2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7260" w:type="dxa"/>
            <w:vAlign w:val="bottom"/>
            <w:tcBorders>
              <w:bottom w:val="single" w:sz="8" w:color="0000EE"/>
            </w:tcBorders>
            <w:gridSpan w:val="13"/>
          </w:tcPr>
          <w:p>
            <w:pPr>
              <w:spacing w:after="0"/>
              <w:rPr>
                <w:rFonts w:ascii="Arial" w:cs="Arial" w:eastAsia="Arial" w:hAnsi="Arial"/>
                <w:sz w:val="14"/>
                <w:szCs w:val="14"/>
                <w:color w:val="0000EE"/>
                <w:w w:val="86"/>
              </w:rPr>
            </w:pPr>
            <w:hyperlink w:anchor="page110">
              <w:r>
                <w:rPr>
                  <w:rFonts w:ascii="Arial" w:cs="Arial" w:eastAsia="Arial" w:hAnsi="Arial"/>
                  <w:sz w:val="14"/>
                  <w:szCs w:val="14"/>
                  <w:color w:val="0000EE"/>
                  <w:w w:val="86"/>
                </w:rPr>
                <w:t>Consolidated Statement of Changes in Net Assets for the period March 4, 2011 (commencement of operations) to September 30, 2011</w:t>
              </w:r>
            </w:hyperlink>
          </w:p>
        </w:tc>
        <w:tc>
          <w:tcPr>
            <w:tcW w:w="20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345"/>
        </w:trPr>
        <w:tc>
          <w:tcPr>
            <w:tcW w:w="6680" w:type="dxa"/>
            <w:vAlign w:val="bottom"/>
            <w:tcBorders>
              <w:bottom w:val="single" w:sz="8" w:color="0000EE"/>
            </w:tcBorders>
            <w:gridSpan w:val="12"/>
          </w:tcPr>
          <w:p>
            <w:pPr>
              <w:spacing w:after="0"/>
              <w:rPr>
                <w:rFonts w:ascii="Arial" w:cs="Arial" w:eastAsia="Arial" w:hAnsi="Arial"/>
                <w:sz w:val="14"/>
                <w:szCs w:val="14"/>
                <w:color w:val="0000EE"/>
                <w:w w:val="86"/>
              </w:rPr>
            </w:pPr>
            <w:hyperlink w:anchor="page111">
              <w:r>
                <w:rPr>
                  <w:rFonts w:ascii="Arial" w:cs="Arial" w:eastAsia="Arial" w:hAnsi="Arial"/>
                  <w:sz w:val="14"/>
                  <w:szCs w:val="14"/>
                  <w:color w:val="0000EE"/>
                  <w:w w:val="86"/>
                </w:rPr>
                <w:t>Consolidated Statement of Cash Flows for the period March 4, 2011 (commencement of operations) to September 30, 2011</w:t>
              </w:r>
            </w:hyperlink>
          </w:p>
        </w:tc>
        <w:tc>
          <w:tcPr>
            <w:tcW w:w="260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Consolidated Schedule of Investments as of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F-7</w:t>
            </w:r>
          </w:p>
        </w:tc>
      </w:tr>
      <w:tr>
        <w:trPr>
          <w:trHeight w:val="345"/>
        </w:trPr>
        <w:tc>
          <w:tcPr>
            <w:tcW w:w="3480" w:type="dxa"/>
            <w:vAlign w:val="bottom"/>
            <w:tcBorders>
              <w:top w:val="single" w:sz="8" w:color="0000EE"/>
            </w:tcBorders>
            <w:gridSpan w:val="4"/>
          </w:tcPr>
          <w:p>
            <w:pPr>
              <w:spacing w:after="0"/>
              <w:rPr>
                <w:rFonts w:ascii="Arial" w:cs="Arial" w:eastAsia="Arial" w:hAnsi="Arial"/>
                <w:sz w:val="14"/>
                <w:szCs w:val="14"/>
                <w:color w:val="0000EE"/>
              </w:rPr>
            </w:pPr>
            <w:hyperlink w:anchor="page115">
              <w:r>
                <w:rPr>
                  <w:rFonts w:ascii="Arial" w:cs="Arial" w:eastAsia="Arial" w:hAnsi="Arial"/>
                  <w:sz w:val="14"/>
                  <w:szCs w:val="14"/>
                  <w:color w:val="0000EE"/>
                </w:rPr>
                <w:t>Notes to the Consolidated Financial Statements</w:t>
              </w:r>
            </w:hyperlink>
          </w:p>
        </w:tc>
        <w:tc>
          <w:tcPr>
            <w:tcW w:w="5800" w:type="dxa"/>
            <w:vAlign w:val="bottom"/>
            <w:gridSpan w:val="10"/>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F-10</w:t>
            </w:r>
          </w:p>
        </w:tc>
      </w:tr>
      <w:tr>
        <w:trPr>
          <w:trHeight w:val="371"/>
        </w:trPr>
        <w:tc>
          <w:tcPr>
            <w:tcW w:w="256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rPr>
              <w:t>Interim Financial Statements</w:t>
            </w:r>
          </w:p>
        </w:tc>
        <w:tc>
          <w:tcPr>
            <w:tcW w:w="6720" w:type="dxa"/>
            <w:vAlign w:val="bottom"/>
            <w:gridSpan w:val="13"/>
          </w:tcPr>
          <w:p>
            <w:pPr>
              <w:spacing w:after="0"/>
              <w:rPr>
                <w:sz w:val="24"/>
                <w:szCs w:val="24"/>
                <w:color w:val="auto"/>
              </w:rPr>
            </w:pPr>
          </w:p>
        </w:tc>
        <w:tc>
          <w:tcPr>
            <w:tcW w:w="2080" w:type="dxa"/>
            <w:vAlign w:val="bottom"/>
          </w:tcPr>
          <w:p>
            <w:pPr>
              <w:spacing w:after="0"/>
              <w:rPr>
                <w:sz w:val="24"/>
                <w:szCs w:val="24"/>
                <w:color w:val="auto"/>
              </w:rPr>
            </w:pPr>
          </w:p>
        </w:tc>
      </w:tr>
      <w:tr>
        <w:trPr>
          <w:trHeight w:val="338"/>
        </w:trPr>
        <w:tc>
          <w:tcPr>
            <w:tcW w:w="318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127">
              <w:r>
                <w:rPr>
                  <w:rFonts w:ascii="Arial" w:cs="Arial" w:eastAsia="Arial" w:hAnsi="Arial"/>
                  <w:sz w:val="14"/>
                  <w:szCs w:val="14"/>
                  <w:color w:val="0000EE"/>
                  <w:w w:val="88"/>
                </w:rPr>
                <w:t>Report of Independent Registered Public Accounting Firm</w:t>
              </w:r>
            </w:hyperlink>
          </w:p>
        </w:tc>
        <w:tc>
          <w:tcPr>
            <w:tcW w:w="6100" w:type="dxa"/>
            <w:vAlign w:val="bottom"/>
            <w:gridSpan w:val="11"/>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F-22</w:t>
            </w:r>
          </w:p>
        </w:tc>
      </w:tr>
      <w:tr>
        <w:trPr>
          <w:trHeight w:val="345"/>
        </w:trPr>
        <w:tc>
          <w:tcPr>
            <w:tcW w:w="5880" w:type="dxa"/>
            <w:vAlign w:val="bottom"/>
            <w:tcBorders>
              <w:bottom w:val="single" w:sz="8" w:color="0000EE"/>
            </w:tcBorders>
            <w:gridSpan w:val="10"/>
          </w:tcPr>
          <w:p>
            <w:pPr>
              <w:spacing w:after="0"/>
              <w:rPr>
                <w:rFonts w:ascii="Arial" w:cs="Arial" w:eastAsia="Arial" w:hAnsi="Arial"/>
                <w:sz w:val="14"/>
                <w:szCs w:val="14"/>
                <w:color w:val="0000EE"/>
                <w:w w:val="86"/>
              </w:rPr>
            </w:pPr>
            <w:hyperlink w:anchor="page128">
              <w:r>
                <w:rPr>
                  <w:rFonts w:ascii="Arial" w:cs="Arial" w:eastAsia="Arial" w:hAnsi="Arial"/>
                  <w:sz w:val="14"/>
                  <w:szCs w:val="14"/>
                  <w:color w:val="0000EE"/>
                  <w:w w:val="86"/>
                </w:rPr>
                <w:t>Consolidated Statements of Assets and Liabilities as of March 31, 2012 (unaudited) and September 30, 2011</w:t>
              </w:r>
            </w:hyperlink>
          </w:p>
        </w:tc>
        <w:tc>
          <w:tcPr>
            <w:tcW w:w="3400" w:type="dxa"/>
            <w:vAlign w:val="bottom"/>
            <w:gridSpan w:val="4"/>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F-23</w:t>
            </w:r>
          </w:p>
        </w:tc>
      </w:tr>
      <w:tr>
        <w:trPr>
          <w:trHeight w:val="345"/>
        </w:trPr>
        <w:tc>
          <w:tcPr>
            <w:tcW w:w="5520" w:type="dxa"/>
            <w:vAlign w:val="bottom"/>
            <w:tcBorders>
              <w:bottom w:val="single" w:sz="8" w:color="0000EE"/>
            </w:tcBorders>
            <w:gridSpan w:val="8"/>
          </w:tcPr>
          <w:p>
            <w:pPr>
              <w:spacing w:after="0"/>
              <w:rPr>
                <w:rFonts w:ascii="Arial" w:cs="Arial" w:eastAsia="Arial" w:hAnsi="Arial"/>
                <w:sz w:val="14"/>
                <w:szCs w:val="14"/>
                <w:color w:val="0000EE"/>
                <w:w w:val="86"/>
              </w:rPr>
            </w:pPr>
            <w:hyperlink w:anchor="page129">
              <w:r>
                <w:rPr>
                  <w:rFonts w:ascii="Arial" w:cs="Arial" w:eastAsia="Arial" w:hAnsi="Arial"/>
                  <w:sz w:val="14"/>
                  <w:szCs w:val="14"/>
                  <w:color w:val="0000EE"/>
                  <w:w w:val="86"/>
                </w:rPr>
                <w:t>Consolidated Statement of Operations for the three and six months ended March 31, 2012 (unaudited)</w:t>
              </w:r>
            </w:hyperlink>
          </w:p>
        </w:tc>
        <w:tc>
          <w:tcPr>
            <w:tcW w:w="3760" w:type="dxa"/>
            <w:vAlign w:val="bottom"/>
            <w:gridSpan w:val="6"/>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F-24</w:t>
            </w:r>
          </w:p>
        </w:tc>
      </w:tr>
      <w:tr>
        <w:trPr>
          <w:trHeight w:val="345"/>
        </w:trPr>
        <w:tc>
          <w:tcPr>
            <w:tcW w:w="5620" w:type="dxa"/>
            <w:vAlign w:val="bottom"/>
            <w:tcBorders>
              <w:bottom w:val="single" w:sz="8" w:color="0000EE"/>
            </w:tcBorders>
            <w:gridSpan w:val="9"/>
          </w:tcPr>
          <w:p>
            <w:pPr>
              <w:spacing w:after="0"/>
              <w:rPr>
                <w:rFonts w:ascii="Arial" w:cs="Arial" w:eastAsia="Arial" w:hAnsi="Arial"/>
                <w:sz w:val="14"/>
                <w:szCs w:val="14"/>
                <w:color w:val="0000EE"/>
                <w:w w:val="86"/>
              </w:rPr>
            </w:pPr>
            <w:hyperlink w:anchor="page130">
              <w:r>
                <w:rPr>
                  <w:rFonts w:ascii="Arial" w:cs="Arial" w:eastAsia="Arial" w:hAnsi="Arial"/>
                  <w:sz w:val="14"/>
                  <w:szCs w:val="14"/>
                  <w:color w:val="0000EE"/>
                  <w:w w:val="86"/>
                </w:rPr>
                <w:t>Consolidated Statement of Changes in Net Assets for the six months ended March 31, 2012 (unaudited)</w:t>
              </w:r>
            </w:hyperlink>
          </w:p>
        </w:tc>
        <w:tc>
          <w:tcPr>
            <w:tcW w:w="3660" w:type="dxa"/>
            <w:vAlign w:val="bottom"/>
            <w:gridSpan w:val="5"/>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F-25</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31">
              <w:r>
                <w:rPr>
                  <w:rFonts w:ascii="Arial" w:cs="Arial" w:eastAsia="Arial" w:hAnsi="Arial"/>
                  <w:sz w:val="14"/>
                  <w:szCs w:val="14"/>
                  <w:color w:val="0000EE"/>
                </w:rPr>
                <w:t>Consolidated Statement of Cash Flows for the six months ended March 31, 2012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F-26</w:t>
            </w:r>
          </w:p>
        </w:tc>
      </w:tr>
      <w:tr>
        <w:trPr>
          <w:trHeight w:val="20"/>
        </w:trPr>
        <w:tc>
          <w:tcPr>
            <w:tcW w:w="302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5320" w:type="dxa"/>
            <w:vAlign w:val="bottom"/>
            <w:tcBorders>
              <w:bottom w:val="single" w:sz="8" w:color="0000EE"/>
            </w:tcBorders>
            <w:gridSpan w:val="7"/>
          </w:tcPr>
          <w:p>
            <w:pPr>
              <w:spacing w:after="0"/>
              <w:rPr>
                <w:rFonts w:ascii="Arial" w:cs="Arial" w:eastAsia="Arial" w:hAnsi="Arial"/>
                <w:sz w:val="14"/>
                <w:szCs w:val="14"/>
                <w:color w:val="0000EE"/>
                <w:w w:val="86"/>
              </w:rPr>
            </w:pPr>
            <w:hyperlink w:anchor="page132">
              <w:r>
                <w:rPr>
                  <w:rFonts w:ascii="Arial" w:cs="Arial" w:eastAsia="Arial" w:hAnsi="Arial"/>
                  <w:sz w:val="14"/>
                  <w:szCs w:val="14"/>
                  <w:color w:val="0000EE"/>
                  <w:w w:val="86"/>
                </w:rPr>
                <w:t>Consolidated Schedules of Investments as of March 31, 2012 (unaudited) and September 30, 2011</w:t>
              </w:r>
            </w:hyperlink>
          </w:p>
        </w:tc>
        <w:tc>
          <w:tcPr>
            <w:tcW w:w="3960" w:type="dxa"/>
            <w:vAlign w:val="bottom"/>
            <w:gridSpan w:val="7"/>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F-27</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Notes to Consolidated Financial Statements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F-32</w:t>
            </w:r>
          </w:p>
        </w:tc>
      </w:tr>
      <w:tr>
        <w:trPr>
          <w:trHeight w:val="304"/>
        </w:trPr>
        <w:tc>
          <w:tcPr>
            <w:tcW w:w="25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jc w:val="center"/>
              <w:ind w:right="3480"/>
              <w:spacing w:after="0"/>
              <w:rPr>
                <w:sz w:val="20"/>
                <w:szCs w:val="20"/>
                <w:color w:val="auto"/>
              </w:rPr>
            </w:pPr>
            <w:r>
              <w:rPr>
                <w:rFonts w:ascii="Arial" w:cs="Arial" w:eastAsia="Arial" w:hAnsi="Arial"/>
                <w:sz w:val="14"/>
                <w:szCs w:val="14"/>
                <w:color w:val="auto"/>
                <w:w w:val="85"/>
              </w:rPr>
              <w:t>F-1</w:t>
            </w:r>
          </w:p>
        </w:tc>
        <w:tc>
          <w:tcPr>
            <w:tcW w:w="20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have audited the accompanying consolidated statement of assets and liabilities of PennantPark Floating Rate Capital Ltd. and its Subsidiary (collectively referred to as the “Company”), including the consolidated schedule of investments as of September 30, 2011, and the related consolidated statements of operations, changes in net assets, and cash flows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39" w:lineRule="exact"/>
        <w:rPr>
          <w:sz w:val="20"/>
          <w:szCs w:val="20"/>
          <w:color w:val="auto"/>
        </w:rPr>
      </w:pPr>
    </w:p>
    <w:p>
      <w:pPr>
        <w:jc w:val="both"/>
        <w:ind w:right="300" w:firstLine="456"/>
        <w:spacing w:after="0" w:line="23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2011, and the results of their operations and their cash flows for the period March 4, 2011 (commencement of operations) to September 30, 2011, in conformity with U.S. generally accepted accounting principles.</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2011</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234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340"/>
        <w:spacing w:after="0"/>
        <w:rPr>
          <w:sz w:val="20"/>
          <w:szCs w:val="20"/>
          <w:color w:val="auto"/>
        </w:rPr>
      </w:pPr>
      <w:r>
        <w:rPr>
          <w:rFonts w:ascii="Arial" w:cs="Arial" w:eastAsia="Arial" w:hAnsi="Arial"/>
          <w:sz w:val="14"/>
          <w:szCs w:val="14"/>
          <w:b w:val="1"/>
          <w:bCs w:val="1"/>
          <w:color w:val="auto"/>
        </w:rPr>
        <w:t>CONSOLIDATED 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Non-controlled, non-affiliated investments, at fair value (cost—$114,829,621)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equivalents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Interest receivable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and other assets</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20" w:hanging="820"/>
        <w:spacing w:after="0"/>
        <w:tabs>
          <w:tab w:leader="none" w:pos="8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110,724,241</w:t>
      </w:r>
    </w:p>
    <w:p>
      <w:pPr>
        <w:spacing w:after="0" w:line="105"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2"/>
          <w:szCs w:val="12"/>
          <w:color w:val="auto"/>
        </w:rPr>
        <w:t>6,987,450</w:t>
      </w:r>
    </w:p>
    <w:p>
      <w:pPr>
        <w:spacing w:after="0" w:line="10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2"/>
          <w:szCs w:val="12"/>
          <w:color w:val="auto"/>
        </w:rPr>
        <w:t>732,695</w:t>
      </w:r>
    </w:p>
    <w:p>
      <w:pPr>
        <w:spacing w:after="0" w:line="105"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2"/>
          <w:szCs w:val="12"/>
          <w:color w:val="auto"/>
        </w:rPr>
        <w:t>2,467,500</w:t>
      </w:r>
    </w:p>
    <w:p>
      <w:pPr>
        <w:spacing w:after="0" w:line="10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2"/>
          <w:szCs w:val="12"/>
          <w:color w:val="auto"/>
        </w:rPr>
        <w:t>163,374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9950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2"/>
          <w:szCs w:val="12"/>
          <w:color w:val="auto"/>
        </w:rPr>
        <w:t>121,075,260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9950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30480</wp:posOffset>
            </wp:positionV>
            <wp:extent cx="9950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9100" w:space="720"/>
            <w:col w:w="1600"/>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auto"/>
        </w:rPr>
        <w:t>Distributions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Payable for investments purchased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Credit facility payable (cost—$24,650,000), (See Notes 5 and 10)</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Interest payable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Management fee payable (See Note 3)</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479,547</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990,000</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2,323,250</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24,650,000</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150,246</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266,432</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-635</wp:posOffset>
            </wp:positionV>
            <wp:extent cx="9950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29,003,155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13335</wp:posOffset>
            </wp:positionV>
            <wp:extent cx="9950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30480</wp:posOffset>
            </wp:positionV>
            <wp:extent cx="9950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10000" w:space="720"/>
            <w:col w:w="700"/>
          </w:cols>
          <w:pgMar w:left="240" w:top="459" w:right="239" w:bottom="1440" w:gutter="0" w:footer="0" w:header="0"/>
          <w:type w:val="continuous"/>
        </w:sectPr>
      </w:pPr>
    </w:p>
    <w:p>
      <w:pPr>
        <w:spacing w:after="0"/>
        <w:rPr>
          <w:sz w:val="20"/>
          <w:szCs w:val="20"/>
          <w:color w:val="auto"/>
        </w:rPr>
      </w:pPr>
      <w:r>
        <w:rPr>
          <w:rFonts w:ascii="Arial" w:cs="Arial" w:eastAsia="Arial" w:hAnsi="Arial"/>
          <w:sz w:val="11"/>
          <w:szCs w:val="11"/>
          <w:color w:val="auto"/>
        </w:rPr>
        <w:t>Common stock, 6,850,667 shares are issued and outstanding. Par value $0.001 per share, 100,000,000 shares authorized.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Paid-in capital in excess of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Distributions in excess of net investment income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Accumulated 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Net unrealized depreciation on investments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6,851</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97,251,174</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(1,392,528)</w:t>
      </w:r>
    </w:p>
    <w:p>
      <w:pPr>
        <w:spacing w:after="0" w:line="10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311,988</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13335</wp:posOffset>
            </wp:positionV>
            <wp:extent cx="9950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9960" w:space="720"/>
            <w:col w:w="7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9780" w:type="dxa"/>
            <w:vAlign w:val="bottom"/>
          </w:tcPr>
          <w:p>
            <w:pPr>
              <w:ind w:left="880"/>
              <w:spacing w:after="0"/>
              <w:rPr>
                <w:sz w:val="20"/>
                <w:szCs w:val="20"/>
                <w:color w:val="auto"/>
              </w:rPr>
            </w:pPr>
            <w:r>
              <w:rPr>
                <w:rFonts w:ascii="Arial" w:cs="Arial" w:eastAsia="Arial" w:hAnsi="Arial"/>
                <w:sz w:val="14"/>
                <w:szCs w:val="14"/>
                <w:b w:val="1"/>
                <w:bCs w:val="1"/>
                <w:color w:val="auto"/>
              </w:rPr>
              <w:t>Total net assets</w:t>
            </w: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92,072,105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97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7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Total liabilities and net assets</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121,075,260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80" w:type="dxa"/>
            <w:vAlign w:val="bottom"/>
            <w:vMerge w:val="continue"/>
          </w:tcPr>
          <w:p>
            <w:pPr>
              <w:spacing w:after="0"/>
              <w:rPr>
                <w:sz w:val="15"/>
                <w:szCs w:val="15"/>
                <w:color w:val="auto"/>
              </w:rPr>
            </w:pPr>
          </w:p>
        </w:tc>
        <w:tc>
          <w:tcPr>
            <w:tcW w:w="480" w:type="dxa"/>
            <w:vAlign w:val="bottom"/>
            <w:vMerge w:val="restart"/>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9780" w:type="dxa"/>
            <w:vAlign w:val="bottom"/>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20"/>
          </w:cols>
          <w:pgMar w:left="240" w:top="459"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9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92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income: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From 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Interest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Base management fee (See Note 3)</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Interest and expenses on the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Administrative services expenses (See Note 3)</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Expenses before debt issuance costs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Debt issuance costs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Total expenses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Realized and unrealized gain(loss) on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Net realized gain on 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Net unrealized (depreciation) on:</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realized and unrealized loss from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 per common share (See Note 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9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92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9" w:right="60"/>
        <w:spacing w:after="0" w:line="289" w:lineRule="auto"/>
        <w:rPr>
          <w:sz w:val="20"/>
          <w:szCs w:val="20"/>
          <w:color w:val="auto"/>
        </w:rPr>
      </w:pPr>
      <w:r>
        <w:rPr>
          <w:rFonts w:ascii="Arial" w:cs="Arial" w:eastAsia="Arial" w:hAnsi="Arial"/>
          <w:sz w:val="12"/>
          <w:szCs w:val="12"/>
          <w:b w:val="1"/>
          <w:bCs w:val="1"/>
          <w:color w:val="auto"/>
        </w:rPr>
        <w:t>For the period March 4, 2011 (commencement of operations) to September 30, 2011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2,946,599</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452"/>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365,433</w:t>
            </w:r>
          </w:p>
        </w:tc>
      </w:tr>
      <w:tr>
        <w:trPr>
          <w:trHeight w:val="297"/>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155,913</w:t>
            </w:r>
          </w:p>
        </w:tc>
      </w:tr>
      <w:tr>
        <w:trPr>
          <w:trHeight w:val="284"/>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182,995</w:t>
            </w:r>
          </w:p>
        </w:tc>
      </w:tr>
      <w:tr>
        <w:trPr>
          <w:trHeight w:val="243"/>
        </w:trPr>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556,076</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1,260,417</w:t>
            </w:r>
          </w:p>
        </w:tc>
      </w:tr>
      <w:tr>
        <w:trPr>
          <w:trHeight w:val="243"/>
        </w:trPr>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1,366,043</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2,626,460</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320,139</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506"/>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311,988</w:t>
            </w:r>
          </w:p>
        </w:tc>
      </w:tr>
      <w:tr>
        <w:trPr>
          <w:trHeight w:val="527"/>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(4,105,380)</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(3,793,392)</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(3,473,253)</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(0.51)</w:t>
            </w:r>
          </w:p>
        </w:tc>
      </w:tr>
      <w:tr>
        <w:trPr>
          <w:trHeight w:val="270"/>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0.05</w:t>
            </w:r>
          </w:p>
        </w:tc>
      </w:tr>
    </w:tbl>
    <w:p>
      <w:pPr>
        <w:sectPr>
          <w:pgSz w:w="11900" w:h="16838" w:orient="portrait"/>
          <w:cols w:equalWidth="0" w:num="2">
            <w:col w:w="8520" w:space="720"/>
            <w:col w:w="210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6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CONSOLIDATED STATEMENT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from operations: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realized gain on investments and cash equivalents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4" w:lineRule="exact"/>
        <w:rPr>
          <w:sz w:val="20"/>
          <w:szCs w:val="20"/>
          <w:color w:val="auto"/>
        </w:rPr>
      </w:pPr>
    </w:p>
    <w:p>
      <w:pPr>
        <w:jc w:val="center"/>
        <w:ind w:right="7240"/>
        <w:spacing w:after="0"/>
        <w:rPr>
          <w:sz w:val="20"/>
          <w:szCs w:val="20"/>
          <w:color w:val="auto"/>
        </w:rPr>
      </w:pPr>
      <w:r>
        <w:rPr>
          <w:rFonts w:ascii="Arial" w:cs="Arial" w:eastAsia="Arial" w:hAnsi="Arial"/>
          <w:sz w:val="14"/>
          <w:szCs w:val="14"/>
          <w:color w:val="auto"/>
        </w:rPr>
        <w:t>Distributions</w:t>
      </w:r>
    </w:p>
    <w:p>
      <w:pPr>
        <w:spacing w:after="0" w:line="107" w:lineRule="exact"/>
        <w:rPr>
          <w:sz w:val="20"/>
          <w:szCs w:val="20"/>
          <w:color w:val="auto"/>
        </w:rPr>
      </w:pPr>
    </w:p>
    <w:p>
      <w:pPr>
        <w:jc w:val="center"/>
        <w:ind w:right="7260"/>
        <w:spacing w:after="0"/>
        <w:rPr>
          <w:sz w:val="20"/>
          <w:szCs w:val="20"/>
          <w:color w:val="auto"/>
        </w:rPr>
      </w:pPr>
      <w:r>
        <w:rPr>
          <w:rFonts w:ascii="Arial" w:cs="Arial" w:eastAsia="Arial" w:hAnsi="Arial"/>
          <w:sz w:val="12"/>
          <w:szCs w:val="12"/>
          <w:b w:val="1"/>
          <w:bCs w:val="1"/>
          <w:color w:val="auto"/>
        </w:rPr>
        <w:t>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Issuance of shares of common stock</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Net increase in net assets resulting from capital share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Assets: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End of period</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Distributions in excess of net investment income,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Share Activity:</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Shares issued from public and private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40"/>
        <w:spacing w:after="0"/>
        <w:rPr>
          <w:sz w:val="20"/>
          <w:szCs w:val="20"/>
          <w:color w:val="auto"/>
        </w:rPr>
      </w:pPr>
      <w:r>
        <w:rPr>
          <w:rFonts w:ascii="Arial" w:cs="Arial" w:eastAsia="Arial" w:hAnsi="Arial"/>
          <w:sz w:val="14"/>
          <w:szCs w:val="14"/>
          <w:b w:val="1"/>
          <w:bCs w:val="1"/>
          <w:color w:val="auto"/>
        </w:rPr>
        <w:t>September 30, 2011</w:t>
      </w:r>
    </w:p>
    <w:p>
      <w:pPr>
        <w:spacing w:after="0" w:line="314" w:lineRule="exact"/>
        <w:rPr>
          <w:sz w:val="20"/>
          <w:szCs w:val="20"/>
          <w:color w:val="auto"/>
        </w:rPr>
      </w:pPr>
    </w:p>
    <w:p>
      <w:pPr>
        <w:ind w:left="1340" w:hanging="1317"/>
        <w:spacing w:after="0"/>
        <w:tabs>
          <w:tab w:leader="none" w:pos="1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320,139</w:t>
      </w:r>
    </w:p>
    <w:p>
      <w:pPr>
        <w:spacing w:after="0" w:line="105" w:lineRule="exact"/>
        <w:rPr>
          <w:rFonts w:ascii="Arial" w:cs="Arial" w:eastAsia="Arial" w:hAnsi="Arial"/>
          <w:sz w:val="12"/>
          <w:szCs w:val="12"/>
          <w:color w:val="auto"/>
        </w:rPr>
      </w:pPr>
    </w:p>
    <w:p>
      <w:pPr>
        <w:ind w:left="1340"/>
        <w:spacing w:after="0"/>
        <w:rPr>
          <w:rFonts w:ascii="Arial" w:cs="Arial" w:eastAsia="Arial" w:hAnsi="Arial"/>
          <w:sz w:val="12"/>
          <w:szCs w:val="12"/>
          <w:color w:val="auto"/>
        </w:rPr>
      </w:pPr>
      <w:r>
        <w:rPr>
          <w:rFonts w:ascii="Arial" w:cs="Arial" w:eastAsia="Arial" w:hAnsi="Arial"/>
          <w:sz w:val="12"/>
          <w:szCs w:val="12"/>
          <w:color w:val="auto"/>
        </w:rPr>
        <w:t>311,988</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(3,473,253)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(1,712,667)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102,760,000</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97,258,025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1576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24"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92,072,105</w:t>
      </w:r>
    </w:p>
    <w:p>
      <w:pPr>
        <w:spacing w:after="0" w:line="360"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ind w:left="1180" w:hanging="1157"/>
        <w:spacing w:after="0"/>
        <w:tabs>
          <w:tab w:leader="none" w:pos="11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92,072,105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1576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38100</wp:posOffset>
            </wp:positionV>
            <wp:extent cx="11576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1" w:lineRule="exact"/>
        <w:rPr>
          <w:sz w:val="20"/>
          <w:szCs w:val="20"/>
          <w:color w:val="auto"/>
        </w:rPr>
      </w:pPr>
    </w:p>
    <w:p>
      <w:pPr>
        <w:ind w:left="1140" w:hanging="1117"/>
        <w:spacing w:after="0"/>
        <w:tabs>
          <w:tab w:leader="none" w:pos="11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(1,392,528)</w:t>
      </w:r>
    </w:p>
    <w:p>
      <w:pPr>
        <w:spacing w:after="0" w:line="200" w:lineRule="exact"/>
        <w:rPr>
          <w:rFonts w:ascii="Arial" w:cs="Arial" w:eastAsia="Arial" w:hAnsi="Arial"/>
          <w:sz w:val="12"/>
          <w:szCs w:val="12"/>
          <w:color w:val="auto"/>
        </w:rPr>
      </w:pPr>
    </w:p>
    <w:p>
      <w:pPr>
        <w:spacing w:after="0" w:line="202" w:lineRule="exact"/>
        <w:rPr>
          <w:rFonts w:ascii="Arial" w:cs="Arial" w:eastAsia="Arial" w:hAnsi="Arial"/>
          <w:sz w:val="12"/>
          <w:szCs w:val="12"/>
          <w:color w:val="auto"/>
        </w:rPr>
      </w:pPr>
    </w:p>
    <w:p>
      <w:pPr>
        <w:ind w:left="1240"/>
        <w:spacing w:after="0"/>
        <w:rPr>
          <w:rFonts w:ascii="Arial" w:cs="Arial" w:eastAsia="Arial" w:hAnsi="Arial"/>
          <w:sz w:val="12"/>
          <w:szCs w:val="12"/>
          <w:color w:val="auto"/>
        </w:rPr>
      </w:pPr>
      <w:r>
        <w:rPr>
          <w:rFonts w:ascii="Arial" w:cs="Arial" w:eastAsia="Arial" w:hAnsi="Arial"/>
          <w:sz w:val="12"/>
          <w:szCs w:val="12"/>
          <w:color w:val="auto"/>
        </w:rPr>
        <w:t>6,850,667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-328930</wp:posOffset>
            </wp:positionV>
            <wp:extent cx="11576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-311785</wp:posOffset>
            </wp:positionV>
            <wp:extent cx="11576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ectPr>
          <w:pgSz w:w="11900" w:h="16838" w:orient="portrait"/>
          <w:cols w:equalWidth="0" w:num="2">
            <w:col w:w="8820" w:space="720"/>
            <w:col w:w="178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6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Adjustments to reconcile net decrease in net assets resulting from operations to net cash used for operating activities: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realized gain on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Purchase of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Proceeds from disposition of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receivables for investments sold</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unfunded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payables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payable on credit facility</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accrued other expenses</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Offering costs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Distributions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Borrowings under credit facility (See Note 10)</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Repayments under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provided by financing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increase in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beginning of year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Interest paid</w:t>
      </w:r>
    </w:p>
    <w:p>
      <w:pPr>
        <w:spacing w:after="0" w:line="200" w:lineRule="exact"/>
        <w:rPr>
          <w:sz w:val="20"/>
          <w:szCs w:val="20"/>
          <w:color w:val="auto"/>
        </w:rPr>
      </w:pPr>
    </w:p>
    <w:p>
      <w:pPr>
        <w:spacing w:after="0" w:line="341"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40"/>
        <w:spacing w:after="0"/>
        <w:rPr>
          <w:sz w:val="20"/>
          <w:szCs w:val="20"/>
          <w:color w:val="auto"/>
        </w:rPr>
      </w:pPr>
      <w:r>
        <w:rPr>
          <w:rFonts w:ascii="Arial" w:cs="Arial" w:eastAsia="Arial" w:hAnsi="Arial"/>
          <w:sz w:val="14"/>
          <w:szCs w:val="14"/>
          <w:b w:val="1"/>
          <w:bCs w:val="1"/>
          <w:color w:val="auto"/>
        </w:rPr>
        <w:t>September 30, 2011</w:t>
      </w:r>
    </w:p>
    <w:p>
      <w:pPr>
        <w:spacing w:after="0" w:line="314" w:lineRule="exact"/>
        <w:rPr>
          <w:sz w:val="20"/>
          <w:szCs w:val="20"/>
          <w:color w:val="auto"/>
        </w:rPr>
      </w:pPr>
    </w:p>
    <w:p>
      <w:pPr>
        <w:ind w:left="1140" w:hanging="1117"/>
        <w:spacing w:after="0"/>
        <w:tabs>
          <w:tab w:leader="none" w:pos="11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(3,473,253)</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4,105,380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(311,988)</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(136,975)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(147,545,077)</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(42,074)</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33,206,493</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(732,695)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(2,467,500)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(163,374)</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2,323,250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990,000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150,246</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266,432</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(113,687,455)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102,760,000</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(5,501,975)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(1,233,120)</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29,000,000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120,674,905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1576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12"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6,987,450</w:t>
      </w:r>
    </w:p>
    <w:p>
      <w:pPr>
        <w:spacing w:after="0" w:line="105"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240" w:hanging="1217"/>
        <w:spacing w:after="0"/>
        <w:tabs>
          <w:tab w:leader="none" w:pos="12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6,987,450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1576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30480</wp:posOffset>
            </wp:positionV>
            <wp:extent cx="115760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82"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5,556</w:t>
      </w:r>
    </w:p>
    <w:p>
      <w:pPr>
        <w:sectPr>
          <w:pgSz w:w="11900" w:h="16838" w:orient="portrait"/>
          <w:cols w:equalWidth="0" w:num="2">
            <w:col w:w="8820" w:space="720"/>
            <w:col w:w="1780"/>
          </w:cols>
          <w:pgMar w:left="24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right="233"/>
              <w:spacing w:after="0"/>
              <w:rPr>
                <w:sz w:val="20"/>
                <w:szCs w:val="20"/>
                <w:color w:val="auto"/>
              </w:rPr>
            </w:pPr>
            <w:r>
              <w:rPr>
                <w:rFonts w:ascii="Arial" w:cs="Arial" w:eastAsia="Arial" w:hAnsi="Arial"/>
                <w:sz w:val="14"/>
                <w:szCs w:val="14"/>
                <w:b w:val="1"/>
                <w:bCs w:val="1"/>
                <w:color w:val="auto"/>
                <w:w w:val="83"/>
              </w:rPr>
              <w:t>Basis Point</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Spread</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3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rPr>
              <w:t>Current</w:t>
            </w:r>
          </w:p>
        </w:tc>
        <w:tc>
          <w:tcPr>
            <w:tcW w:w="360" w:type="dxa"/>
            <w:vAlign w:val="bottom"/>
          </w:tcPr>
          <w:p>
            <w:pPr>
              <w:spacing w:after="0"/>
              <w:rPr>
                <w:sz w:val="11"/>
                <w:szCs w:val="11"/>
                <w:color w:val="auto"/>
              </w:rPr>
            </w:pPr>
          </w:p>
        </w:tc>
        <w:tc>
          <w:tcPr>
            <w:tcW w:w="980" w:type="dxa"/>
            <w:vAlign w:val="bottom"/>
          </w:tcPr>
          <w:p>
            <w:pPr>
              <w:jc w:val="center"/>
              <w:ind w:right="213"/>
              <w:spacing w:after="0" w:line="135" w:lineRule="exact"/>
              <w:rPr>
                <w:sz w:val="20"/>
                <w:szCs w:val="20"/>
                <w:color w:val="auto"/>
              </w:rPr>
            </w:pPr>
            <w:r>
              <w:rPr>
                <w:rFonts w:ascii="Arial" w:cs="Arial" w:eastAsia="Arial" w:hAnsi="Arial"/>
                <w:sz w:val="14"/>
                <w:szCs w:val="14"/>
                <w:b w:val="1"/>
                <w:bCs w:val="1"/>
                <w:color w:val="auto"/>
                <w:w w:val="88"/>
              </w:rPr>
              <w:t>Above</w:t>
            </w:r>
          </w:p>
        </w:tc>
        <w:tc>
          <w:tcPr>
            <w:tcW w:w="7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Fair</w:t>
            </w:r>
          </w:p>
        </w:tc>
      </w:tr>
      <w:tr>
        <w:trPr>
          <w:trHeight w:val="176"/>
        </w:trPr>
        <w:tc>
          <w:tcPr>
            <w:tcW w:w="3200" w:type="dxa"/>
            <w:vAlign w:val="bottom"/>
          </w:tcPr>
          <w:p>
            <w:pPr>
              <w:spacing w:after="0"/>
              <w:rPr>
                <w:sz w:val="20"/>
                <w:szCs w:val="20"/>
                <w:color w:val="auto"/>
              </w:rPr>
            </w:pPr>
            <w:r>
              <w:rPr>
                <w:rFonts w:ascii="Arial" w:cs="Arial" w:eastAsia="Arial" w:hAnsi="Arial"/>
                <w:sz w:val="14"/>
                <w:szCs w:val="14"/>
                <w:b w:val="1"/>
                <w:bCs w:val="1"/>
                <w:color w:val="auto"/>
              </w:rPr>
              <w:t>Issuer Name</w:t>
            </w:r>
          </w:p>
        </w:tc>
        <w:tc>
          <w:tcPr>
            <w:tcW w:w="1980" w:type="dxa"/>
            <w:vAlign w:val="bottom"/>
          </w:tcPr>
          <w:p>
            <w:pPr>
              <w:ind w:left="1320"/>
              <w:spacing w:after="0"/>
              <w:rPr>
                <w:sz w:val="20"/>
                <w:szCs w:val="20"/>
                <w:color w:val="auto"/>
              </w:rPr>
            </w:pPr>
            <w:r>
              <w:rPr>
                <w:rFonts w:ascii="Arial" w:cs="Arial" w:eastAsia="Arial" w:hAnsi="Arial"/>
                <w:sz w:val="14"/>
                <w:szCs w:val="14"/>
                <w:b w:val="1"/>
                <w:bCs w:val="1"/>
                <w:color w:val="auto"/>
              </w:rPr>
              <w:t>Maturity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Coupon</w:t>
            </w:r>
          </w:p>
        </w:tc>
        <w:tc>
          <w:tcPr>
            <w:tcW w:w="360" w:type="dxa"/>
            <w:vAlign w:val="bottom"/>
          </w:tcPr>
          <w:p>
            <w:pPr>
              <w:spacing w:after="0"/>
              <w:rPr>
                <w:sz w:val="15"/>
                <w:szCs w:val="15"/>
                <w:color w:val="auto"/>
              </w:rPr>
            </w:pPr>
          </w:p>
        </w:tc>
        <w:tc>
          <w:tcPr>
            <w:tcW w:w="980" w:type="dxa"/>
            <w:vAlign w:val="bottom"/>
          </w:tcPr>
          <w:p>
            <w:pPr>
              <w:jc w:val="center"/>
              <w:ind w:right="213"/>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r>
      <w:tr>
        <w:trPr>
          <w:trHeight w:val="142"/>
        </w:trPr>
        <w:tc>
          <w:tcPr>
            <w:tcW w:w="51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6"/>
                <w:szCs w:val="16"/>
                <w:b w:val="1"/>
                <w:bCs w:val="1"/>
                <w:color w:val="auto"/>
                <w:vertAlign w:val="superscript"/>
              </w:rPr>
              <w:t>(3),(4)</w:t>
            </w:r>
          </w:p>
        </w:tc>
        <w:tc>
          <w:tcPr>
            <w:tcW w:w="13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Airvana Network Solutions Inc. </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3/25/2015</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L+800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1,213,365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1,215,571</w:t>
            </w:r>
          </w:p>
        </w:tc>
        <w:tc>
          <w:tcPr>
            <w:tcW w:w="60" w:type="dxa"/>
            <w:vAlign w:val="bottom"/>
            <w:shd w:val="clear" w:color="auto" w:fill="CCEEFF"/>
          </w:tcPr>
          <w:p>
            <w:pPr>
              <w:spacing w:after="0"/>
              <w:rPr>
                <w:sz w:val="16"/>
                <w:szCs w:val="16"/>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Artel, LLC </w:t>
            </w:r>
            <w:r>
              <w:rPr>
                <w:rFonts w:ascii="Arial" w:cs="Arial" w:eastAsia="Arial" w:hAnsi="Arial"/>
                <w:sz w:val="21"/>
                <w:szCs w:val="21"/>
                <w:color w:val="auto"/>
                <w:vertAlign w:val="superscript"/>
              </w:rPr>
              <w:t>(11)</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6/1/2016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L+425</w:t>
            </w:r>
          </w:p>
        </w:tc>
        <w:tc>
          <w:tcPr>
            <w:tcW w:w="720" w:type="dxa"/>
            <w:vAlign w:val="bottom"/>
          </w:tcPr>
          <w:p>
            <w:pPr>
              <w:jc w:val="right"/>
              <w:spacing w:after="0"/>
              <w:rPr>
                <w:sz w:val="20"/>
                <w:szCs w:val="20"/>
                <w:color w:val="auto"/>
              </w:rPr>
            </w:pPr>
            <w:r>
              <w:rPr>
                <w:rFonts w:ascii="Arial" w:cs="Arial" w:eastAsia="Arial" w:hAnsi="Arial"/>
                <w:sz w:val="14"/>
                <w:szCs w:val="14"/>
                <w:color w:val="auto"/>
              </w:rPr>
              <w:t>987,500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978,043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972,688</w:t>
            </w:r>
          </w:p>
        </w:tc>
        <w:tc>
          <w:tcPr>
            <w:tcW w:w="60" w:type="dxa"/>
            <w:vAlign w:val="bottom"/>
          </w:tcPr>
          <w:p>
            <w:pPr>
              <w:spacing w:after="0"/>
              <w:rPr>
                <w:sz w:val="16"/>
                <w:szCs w:val="16"/>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Autoparts Holdings Limited</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7/29/2017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Automotive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L+500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995,085</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6"/>
                <w:szCs w:val="16"/>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7/31/2016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12.38%</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L+988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478,873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488,220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C.H.I. Overhead Doors, Inc.</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8/17/2017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3,921,236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3,900,000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EAG,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7/28/2017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6.75%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P+350</w:t>
            </w:r>
          </w:p>
        </w:tc>
        <w:tc>
          <w:tcPr>
            <w:tcW w:w="720" w:type="dxa"/>
            <w:vAlign w:val="bottom"/>
          </w:tcPr>
          <w:p>
            <w:pPr>
              <w:jc w:val="right"/>
              <w:spacing w:after="0"/>
              <w:rPr>
                <w:sz w:val="20"/>
                <w:szCs w:val="20"/>
                <w:color w:val="auto"/>
              </w:rPr>
            </w:pPr>
            <w:r>
              <w:rPr>
                <w:rFonts w:ascii="Arial" w:cs="Arial" w:eastAsia="Arial" w:hAnsi="Arial"/>
                <w:sz w:val="14"/>
                <w:szCs w:val="14"/>
                <w:color w:val="auto"/>
              </w:rPr>
              <w:t>987,500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982,590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967,750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5/13/2016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2,966,250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2,939,107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2,936,587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Frac Tech International, LLC</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5/6/2016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Energy: Oil and Gas</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2,073,930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2,054,330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2,033,747</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Gundle/SLT Environmental,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5/27/2016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2,964,467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2,812,950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Industries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 (6)</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5/1/2016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2,000,000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1,990,000</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Tobacco</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(11)</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8/16/2017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2,493,750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2,481,331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2,475,047</w:t>
            </w:r>
          </w:p>
        </w:tc>
        <w:tc>
          <w:tcPr>
            <w:tcW w:w="60" w:type="dxa"/>
            <w:vAlign w:val="bottom"/>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Instant Web, Inc.</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8/7/2014</w:t>
            </w: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Media: Advertising,</w:t>
            </w:r>
          </w:p>
        </w:tc>
        <w:tc>
          <w:tcPr>
            <w:tcW w:w="700" w:type="dxa"/>
            <w:vAlign w:val="bottom"/>
          </w:tcPr>
          <w:p>
            <w:pPr>
              <w:jc w:val="right"/>
              <w:spacing w:after="0"/>
              <w:rPr>
                <w:sz w:val="20"/>
                <w:szCs w:val="20"/>
                <w:color w:val="auto"/>
              </w:rPr>
            </w:pPr>
            <w:r>
              <w:rPr>
                <w:rFonts w:ascii="Arial" w:cs="Arial" w:eastAsia="Arial" w:hAnsi="Arial"/>
                <w:sz w:val="14"/>
                <w:szCs w:val="14"/>
                <w:color w:val="auto"/>
              </w:rPr>
              <w:t>3.61%</w:t>
            </w:r>
          </w:p>
        </w:tc>
        <w:tc>
          <w:tcPr>
            <w:tcW w:w="360" w:type="dxa"/>
            <w:vAlign w:val="bottom"/>
          </w:tcPr>
          <w:p>
            <w:pPr>
              <w:spacing w:after="0"/>
              <w:rPr>
                <w:sz w:val="16"/>
                <w:szCs w:val="16"/>
                <w:color w:val="auto"/>
              </w:rPr>
            </w:pPr>
          </w:p>
        </w:tc>
        <w:tc>
          <w:tcPr>
            <w:tcW w:w="980" w:type="dxa"/>
            <w:vAlign w:val="bottom"/>
          </w:tcPr>
          <w:p>
            <w:pPr>
              <w:jc w:val="right"/>
              <w:ind w:right="73"/>
              <w:spacing w:after="0" w:line="189" w:lineRule="exact"/>
              <w:rPr>
                <w:sz w:val="20"/>
                <w:szCs w:val="20"/>
                <w:color w:val="auto"/>
              </w:rPr>
            </w:pPr>
            <w:r>
              <w:rPr>
                <w:rFonts w:ascii="Arial" w:cs="Arial" w:eastAsia="Arial" w:hAnsi="Arial"/>
                <w:sz w:val="13"/>
                <w:szCs w:val="13"/>
                <w:color w:val="auto"/>
              </w:rPr>
              <w:t xml:space="preserve">L+338 </w:t>
            </w:r>
            <w:r>
              <w:rPr>
                <w:rFonts w:ascii="Arial" w:cs="Arial" w:eastAsia="Arial" w:hAnsi="Arial"/>
                <w:sz w:val="21"/>
                <w:szCs w:val="21"/>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4"/>
                <w:szCs w:val="14"/>
                <w:color w:val="auto"/>
              </w:rPr>
              <w:t>6,981,823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6,523,240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6,283,641</w:t>
            </w:r>
          </w:p>
        </w:tc>
        <w:tc>
          <w:tcPr>
            <w:tcW w:w="60" w:type="dxa"/>
            <w:vAlign w:val="bottom"/>
          </w:tcPr>
          <w:p>
            <w:pPr>
              <w:spacing w:after="0"/>
              <w:rPr>
                <w:sz w:val="16"/>
                <w:szCs w:val="16"/>
                <w:color w:val="auto"/>
              </w:rPr>
            </w:pPr>
          </w:p>
        </w:tc>
      </w:tr>
      <w:tr>
        <w:trPr>
          <w:trHeight w:val="138"/>
        </w:trPr>
        <w:tc>
          <w:tcPr>
            <w:tcW w:w="3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Arial" w:cs="Arial" w:eastAsia="Arial" w:hAnsi="Arial"/>
                <w:sz w:val="14"/>
                <w:szCs w:val="14"/>
                <w:color w:val="auto"/>
                <w:w w:val="88"/>
              </w:rPr>
              <w:t>Printing and</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3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9/10/2015</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P+675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5,476,250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5,525,637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5,202,437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and Rubber</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KAR Auction Services, Inc.</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5/19/2017</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Automotive</w:t>
            </w: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L+375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2,978,487</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2,895,244</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(7)</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5/31/2014</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4,987,500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4,847,186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4,713,187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Non-Durable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Medpace Holdings,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6/17/2017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L+500</w:t>
            </w:r>
          </w:p>
        </w:tc>
        <w:tc>
          <w:tcPr>
            <w:tcW w:w="720" w:type="dxa"/>
            <w:vAlign w:val="bottom"/>
          </w:tcPr>
          <w:p>
            <w:pPr>
              <w:jc w:val="right"/>
              <w:spacing w:after="0"/>
              <w:rPr>
                <w:sz w:val="20"/>
                <w:szCs w:val="20"/>
                <w:color w:val="auto"/>
              </w:rPr>
            </w:pPr>
            <w:r>
              <w:rPr>
                <w:rFonts w:ascii="Arial" w:cs="Arial" w:eastAsia="Arial" w:hAnsi="Arial"/>
                <w:sz w:val="14"/>
                <w:szCs w:val="14"/>
                <w:color w:val="auto"/>
              </w:rPr>
              <w:t>1,995,000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1,966,025</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1,895,250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 (11)</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8"/>
              </w:rPr>
              <w:t>5/6/2018</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Media: Diversified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3,951,886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3,670,800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and Production</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Penton Media, Inc.</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8/1/2014</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Media: Diversified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(8)</w:t>
            </w: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L+400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5,498,048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4,675,936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3,802,818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and Production</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Potter’s Holdings II, L.P.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8"/>
              </w:rPr>
              <w:t>5/8/2017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Containers,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1,976,257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1,900,237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Packaging and Glass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Pro Mach, Inc. </w:t>
            </w:r>
            <w:r>
              <w:rPr>
                <w:rFonts w:ascii="Arial" w:cs="Arial" w:eastAsia="Arial" w:hAnsi="Arial"/>
                <w:sz w:val="21"/>
                <w:szCs w:val="21"/>
                <w:color w:val="auto"/>
                <w:vertAlign w:val="superscript"/>
              </w:rPr>
              <w:t>(11)</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7/6/2017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Capital Equipment</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997,500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987,986</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982,537</w:t>
            </w:r>
          </w:p>
        </w:tc>
        <w:tc>
          <w:tcPr>
            <w:tcW w:w="60" w:type="dxa"/>
            <w:vAlign w:val="bottom"/>
          </w:tcPr>
          <w:p>
            <w:pPr>
              <w:spacing w:after="0"/>
              <w:rPr>
                <w:sz w:val="16"/>
                <w:szCs w:val="16"/>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Securus Technologies, Inc.</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5/31/2017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L+400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2,963,597</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2,891,503</w:t>
            </w:r>
          </w:p>
        </w:tc>
        <w:tc>
          <w:tcPr>
            <w:tcW w:w="60" w:type="dxa"/>
            <w:vAlign w:val="bottom"/>
            <w:shd w:val="clear" w:color="auto" w:fill="CCEEFF"/>
          </w:tcPr>
          <w:p>
            <w:pPr>
              <w:spacing w:after="0"/>
              <w:rPr>
                <w:sz w:val="16"/>
                <w:szCs w:val="16"/>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Select Medical Corporation</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6/1/2018</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L+375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2,963,943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2,708,212</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(7)</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5/15/2019</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2,970,000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Sotera Defense Solutions, Inc. </w:t>
            </w:r>
            <w:r>
              <w:rPr>
                <w:rFonts w:ascii="Arial" w:cs="Arial" w:eastAsia="Arial" w:hAnsi="Arial"/>
                <w:sz w:val="17"/>
                <w:szCs w:val="17"/>
                <w:color w:val="auto"/>
                <w:vertAlign w:val="superscript"/>
              </w:rPr>
              <w:t>(11)</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4/22/2017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Aerospace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2,964,848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2,917,688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Defense</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Tank Intermediate Holding Corp.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4/15/2016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Containers,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L+375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1,835,472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1,831,420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1,807,940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Packaging and Glass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Terex Corporation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4/28/2017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Capital Equipment</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L+400</w:t>
            </w:r>
          </w:p>
        </w:tc>
        <w:tc>
          <w:tcPr>
            <w:tcW w:w="720" w:type="dxa"/>
            <w:vAlign w:val="bottom"/>
          </w:tcPr>
          <w:p>
            <w:pPr>
              <w:jc w:val="right"/>
              <w:spacing w:after="0"/>
              <w:rPr>
                <w:sz w:val="20"/>
                <w:szCs w:val="20"/>
                <w:color w:val="auto"/>
              </w:rPr>
            </w:pPr>
            <w:r>
              <w:rPr>
                <w:rFonts w:ascii="Arial" w:cs="Arial" w:eastAsia="Arial" w:hAnsi="Arial"/>
                <w:sz w:val="14"/>
                <w:szCs w:val="14"/>
                <w:color w:val="auto"/>
              </w:rPr>
              <w:t>2,000,000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1,980,598</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1,962,500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Triple Point Technology, Inc.</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4/14/2016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4,968,750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4,923,769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4,819,688</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Industries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Univita Health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6/19/2017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5"/>
              </w:rPr>
              <w:t>Consumer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2,964,110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2,827,913</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U.S. Healthworks Holding Company,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6/15/2016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2,964,480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2,887,763</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Valitas Health Services, Inc.</w:t>
            </w:r>
            <w:r>
              <w:rPr>
                <w:rFonts w:ascii="Arial" w:cs="Arial" w:eastAsia="Arial" w:hAnsi="Arial"/>
                <w:sz w:val="17"/>
                <w:szCs w:val="17"/>
                <w:color w:val="auto"/>
                <w:vertAlign w:val="superscript"/>
              </w:rPr>
              <w:t>(11)</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6/2/2017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L+450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1,496,250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1,489,223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1,406,475</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Viamedia Services Corp.</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4/19/2016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Media: Advertising,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4,694,273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4,690,625</w:t>
            </w:r>
          </w:p>
        </w:tc>
        <w:tc>
          <w:tcPr>
            <w:tcW w:w="60" w:type="dxa"/>
            <w:vAlign w:val="bottom"/>
            <w:shd w:val="clear" w:color="auto" w:fill="CCEEFF"/>
          </w:tcPr>
          <w:p>
            <w:pPr>
              <w:spacing w:after="0"/>
              <w:rPr>
                <w:sz w:val="12"/>
                <w:szCs w:val="12"/>
                <w:color w:val="auto"/>
              </w:rPr>
            </w:pPr>
          </w:p>
        </w:tc>
      </w:tr>
      <w:tr>
        <w:trPr>
          <w:trHeight w:val="138"/>
        </w:trPr>
        <w:tc>
          <w:tcPr>
            <w:tcW w:w="32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Printing and</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32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8"/>
              </w:rPr>
              <w:t>12/22/2016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7.75%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P+450</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2,963,172</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2,812,950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Water Pik,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8/10/2017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L+525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3,465,501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3,430,000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(6)</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7/15/2016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11.38%</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4,355,966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4,080,000</w:t>
            </w:r>
          </w:p>
        </w:tc>
        <w:tc>
          <w:tcPr>
            <w:tcW w:w="60" w:type="dxa"/>
            <w:vAlign w:val="bottom"/>
          </w:tcPr>
          <w:p>
            <w:pPr>
              <w:spacing w:after="0"/>
              <w:rPr>
                <w:sz w:val="12"/>
                <w:szCs w:val="12"/>
                <w:color w:val="auto"/>
              </w:rPr>
            </w:pPr>
          </w:p>
        </w:tc>
      </w:tr>
      <w:tr>
        <w:trPr>
          <w:trHeight w:val="156"/>
        </w:trPr>
        <w:tc>
          <w:tcPr>
            <w:tcW w:w="3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3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First Lien Secured Debt</w:t>
            </w:r>
          </w:p>
        </w:tc>
        <w:tc>
          <w:tcPr>
            <w:tcW w:w="19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97,975,314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94,333,126</w:t>
            </w:r>
          </w:p>
        </w:tc>
        <w:tc>
          <w:tcPr>
            <w:tcW w:w="60" w:type="dxa"/>
            <w:vAlign w:val="bottom"/>
            <w:shd w:val="clear" w:color="auto" w:fill="CCEEFF"/>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4360" w:type="dxa"/>
            <w:vAlign w:val="bottom"/>
            <w:gridSpan w:val="4"/>
          </w:tcPr>
          <w:p>
            <w:pPr>
              <w:jc w:val="center"/>
              <w:ind w:left="592"/>
              <w:spacing w:after="0"/>
              <w:rPr>
                <w:sz w:val="20"/>
                <w:szCs w:val="20"/>
                <w:color w:val="auto"/>
              </w:rPr>
            </w:pPr>
            <w:r>
              <w:rPr>
                <w:rFonts w:ascii="Arial" w:cs="Arial" w:eastAsia="Arial" w:hAnsi="Arial"/>
                <w:sz w:val="14"/>
                <w:szCs w:val="14"/>
                <w:color w:val="auto"/>
                <w:w w:val="92"/>
              </w:rPr>
              <w:t>SEE NOTES TO CONSOLIDATED FINANCIAL STATEMENTS</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97"/>
        </w:trPr>
        <w:tc>
          <w:tcPr>
            <w:tcW w:w="3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jc w:val="center"/>
              <w:ind w:right="192"/>
              <w:spacing w:after="0"/>
              <w:rPr>
                <w:sz w:val="20"/>
                <w:szCs w:val="20"/>
                <w:color w:val="auto"/>
              </w:rPr>
            </w:pPr>
            <w:r>
              <w:rPr>
                <w:rFonts w:ascii="Arial" w:cs="Arial" w:eastAsia="Arial" w:hAnsi="Arial"/>
                <w:sz w:val="14"/>
                <w:szCs w:val="14"/>
                <w:color w:val="auto"/>
                <w:w w:val="85"/>
              </w:rPr>
              <w:t>F-7</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-4544060</wp:posOffset>
            </wp:positionV>
            <wp:extent cx="7246620" cy="1200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Basis Point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Spread</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6"/>
              </w:rPr>
              <w:t>Current</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4"/>
              </w:rPr>
              <w:t>Above</w:t>
            </w:r>
          </w:p>
        </w:tc>
        <w:tc>
          <w:tcPr>
            <w:tcW w:w="62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Maturity</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Coupon</w:t>
            </w:r>
          </w:p>
        </w:tc>
        <w:tc>
          <w:tcPr>
            <w:tcW w:w="92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(1)</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r>
      <w:tr>
        <w:trPr>
          <w:trHeight w:val="142"/>
        </w:trPr>
        <w:tc>
          <w:tcPr>
            <w:tcW w:w="20" w:type="dxa"/>
            <w:vAlign w:val="bottom"/>
          </w:tcPr>
          <w:p>
            <w:pPr>
              <w:spacing w:after="0"/>
              <w:rPr>
                <w:sz w:val="12"/>
                <w:szCs w:val="12"/>
                <w:color w:val="auto"/>
              </w:rPr>
            </w:pPr>
          </w:p>
        </w:tc>
        <w:tc>
          <w:tcPr>
            <w:tcW w:w="5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Debt—10.1%</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(11)</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1/29/2018</w:t>
            </w: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Automotive</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L+900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995,000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985,000</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5/13/2017</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Healthcare and</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10.25%</w:t>
            </w:r>
          </w:p>
        </w:tc>
        <w:tc>
          <w:tcPr>
            <w:tcW w:w="92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L+850</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3,942,406</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4"/>
              </w:rPr>
              <w:t>Pharmaceuticals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11/6/2018</w:t>
            </w:r>
          </w:p>
        </w:tc>
        <w:tc>
          <w:tcPr>
            <w:tcW w:w="200" w:type="dxa"/>
            <w:vAlign w:val="bottom"/>
          </w:tcPr>
          <w:p>
            <w:pPr>
              <w:spacing w:after="0"/>
              <w:rPr>
                <w:sz w:val="11"/>
                <w:szCs w:val="11"/>
                <w:color w:val="auto"/>
              </w:rPr>
            </w:pP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0"/>
              </w:rPr>
              <w:t>Media:</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10.25%</w:t>
            </w:r>
          </w:p>
        </w:tc>
        <w:tc>
          <w:tcPr>
            <w:tcW w:w="92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L+875</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89"/>
              </w:rPr>
              <w:t>1,500,000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1,485,581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Diversified and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9"/>
              </w:rPr>
              <w:t>Production</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ROC Finance LLC and ROC Finance 1 Corp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9/1/2018</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9"/>
              </w:rPr>
              <w:t>Hotel, Gaming</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12.13%</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1,965,834</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7"/>
              </w:rPr>
              <w:t>and Leisure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5/9/2018</w:t>
            </w:r>
          </w:p>
        </w:tc>
        <w:tc>
          <w:tcPr>
            <w:tcW w:w="200" w:type="dxa"/>
            <w:vAlign w:val="bottom"/>
          </w:tcPr>
          <w:p>
            <w:pPr>
              <w:spacing w:after="0"/>
              <w:rPr>
                <w:sz w:val="13"/>
                <w:szCs w:val="13"/>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Utilities: Water</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L+725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990,624</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60" w:type="dxa"/>
            <w:vAlign w:val="bottom"/>
            <w:shd w:val="clear" w:color="auto" w:fill="CCEEFF"/>
          </w:tcPr>
          <w:p>
            <w:pPr>
              <w:spacing w:after="0"/>
              <w:rPr>
                <w:sz w:val="12"/>
                <w:szCs w:val="12"/>
                <w:color w:val="auto"/>
              </w:rPr>
            </w:pPr>
          </w:p>
        </w:tc>
      </w:tr>
      <w:tr>
        <w:trPr>
          <w:trHeight w:val="156"/>
        </w:trPr>
        <w:tc>
          <w:tcPr>
            <w:tcW w:w="5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11/15/2015</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Consumer</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11.63%</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1,524,891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1,155,000</w:t>
            </w: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Goods: Non-</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9"/>
              </w:rPr>
              <w:t>Durable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(7)</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7/31/2018</w:t>
            </w:r>
          </w:p>
        </w:tc>
        <w:tc>
          <w:tcPr>
            <w:tcW w:w="200" w:type="dxa"/>
            <w:vAlign w:val="bottom"/>
          </w:tcPr>
          <w:p>
            <w:pPr>
              <w:spacing w:after="0"/>
              <w:rPr>
                <w:sz w:val="11"/>
                <w:szCs w:val="11"/>
                <w:color w:val="auto"/>
              </w:rPr>
            </w:pP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14.00%</w:t>
            </w:r>
          </w:p>
        </w:tc>
        <w:tc>
          <w:tcPr>
            <w:tcW w:w="9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89"/>
              </w:rPr>
              <w:t>3,762,500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3,688,091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3,687,250</w:t>
            </w: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(9)</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7/31/2018</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2,206,000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3"/>
        </w:trPr>
        <w:tc>
          <w:tcPr>
            <w:tcW w:w="5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7,374,862</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7,004,130</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Interests—0.1%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tcPr>
          <w:p>
            <w:pPr>
              <w:jc w:val="center"/>
              <w:ind w:right="240"/>
              <w:spacing w:after="0" w:line="138" w:lineRule="exact"/>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12.50%</w:t>
            </w:r>
          </w:p>
        </w:tc>
        <w:tc>
          <w:tcPr>
            <w:tcW w:w="9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158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95,000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96,985</w:t>
            </w:r>
          </w:p>
        </w:tc>
        <w:tc>
          <w:tcPr>
            <w:tcW w:w="6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shd w:val="clear" w:color="auto" w:fill="CCEEFF"/>
          </w:tcPr>
          <w:p>
            <w:pPr>
              <w:spacing w:after="0"/>
              <w:rPr>
                <w:sz w:val="12"/>
                <w:szCs w:val="12"/>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Basis</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Point</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Current</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Coupon</w:t>
            </w:r>
          </w:p>
        </w:tc>
        <w:tc>
          <w:tcPr>
            <w:tcW w:w="70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6"/>
                <w:szCs w:val="16"/>
                <w:b w:val="1"/>
                <w:bCs w:val="1"/>
                <w:color w:val="auto"/>
                <w:vertAlign w:val="superscript"/>
              </w:rPr>
              <w:t>(10)</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320" w:type="dxa"/>
            <w:vAlign w:val="bottom"/>
            <w:gridSpan w:val="3"/>
          </w:tcPr>
          <w:p>
            <w:pPr>
              <w:spacing w:after="0"/>
              <w:rPr>
                <w:sz w:val="20"/>
                <w:szCs w:val="20"/>
                <w:color w:val="auto"/>
              </w:rPr>
            </w:pPr>
            <w:r>
              <w:rPr>
                <w:rFonts w:ascii="Arial" w:cs="Arial" w:eastAsia="Arial" w:hAnsi="Arial"/>
                <w:sz w:val="14"/>
                <w:szCs w:val="14"/>
                <w:color w:val="auto"/>
              </w:rPr>
              <w:t>Trusthouse Services</w:t>
            </w:r>
          </w:p>
        </w:tc>
        <w:tc>
          <w:tcPr>
            <w:tcW w:w="7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Beverage, Food</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320" w:type="dxa"/>
            <w:vAlign w:val="bottom"/>
            <w:gridSpan w:val="3"/>
          </w:tcPr>
          <w:p>
            <w:pPr>
              <w:spacing w:after="0"/>
              <w:rPr>
                <w:sz w:val="20"/>
                <w:szCs w:val="20"/>
                <w:color w:val="auto"/>
              </w:rPr>
            </w:pPr>
            <w:r>
              <w:rPr>
                <w:rFonts w:ascii="Arial" w:cs="Arial" w:eastAsia="Arial" w:hAnsi="Arial"/>
                <w:sz w:val="14"/>
                <w:szCs w:val="14"/>
                <w:color w:val="auto"/>
              </w:rPr>
              <w:t>Holdings, LLC</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and Tobacco</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114,829,621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110,724,241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6,987,450</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121,817,071</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117,711,691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Liabilities in Excess of Other Assets—(27.8%)</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(25,639,586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Net Assets—100.0%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92,072,105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120" w:hanging="334"/>
        <w:spacing w:after="0" w:line="230"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 or prime rate (Prime or “P”) and its coupon is subject to a LIBOR or prime rate floor.</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680" w:right="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680" w:right="140" w:hanging="334"/>
        <w:spacing w:after="0" w:line="258" w:lineRule="auto"/>
        <w:tabs>
          <w:tab w:leader="none" w:pos="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680" w:right="42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The security may be resold in transactions that are exempt from registration, normally to qualified institutional buyers.</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680" w:hanging="334"/>
        <w:spacing w:after="0"/>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securities are pledged as collateral under PennantPark Floating Rate Funding I, LLC’s Credit Facility.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b w:val="1"/>
          <w:bCs w:val="1"/>
          <w:color w:val="auto"/>
        </w:rPr>
        <w:t>September 30, 2011</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Except where the context suggests otherwise, the terms “Company,” “we,” “our” or “us” refer to PennantPark Floating Rate Capital Ltd.</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on October 28, 2010. The Company is a closed-end, externally managed, non-diversified investment company that has elected to be treated as a business development company, or BDC, under the Investment Company Act of 1940, as amended, or the 1940 Act.</w:t>
      </w:r>
    </w:p>
    <w:p>
      <w:pPr>
        <w:spacing w:after="0" w:line="139"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Our investment objectives are to generate high current income and capital appreciation. We will seek to achieve our investment objectives by investing primarily in floating rate loans and other instruments made to private middle-market companies whose debt is rated below investment grade. “Floating Rate Loans” are defined as loans that typically pay interest at variable-rates,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variable rate derivative instruments.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2" w:lineRule="exact"/>
        <w:rPr>
          <w:sz w:val="20"/>
          <w:szCs w:val="20"/>
          <w:color w:val="auto"/>
        </w:rPr>
      </w:pPr>
    </w:p>
    <w:p>
      <w:pPr>
        <w:ind w:right="280" w:firstLine="456"/>
        <w:spacing w:after="0" w:line="230" w:lineRule="auto"/>
        <w:rPr>
          <w:sz w:val="20"/>
          <w:szCs w:val="20"/>
          <w:color w:val="auto"/>
        </w:rPr>
      </w:pPr>
      <w:r>
        <w:rPr>
          <w:rFonts w:ascii="Arial" w:cs="Arial" w:eastAsia="Arial" w:hAnsi="Arial"/>
          <w:sz w:val="14"/>
          <w:szCs w:val="14"/>
          <w:color w:val="auto"/>
        </w:rPr>
        <w:t>On April 13, 2011, we closed our initial public offering of 6,700,000 shares, and on May 11, 2011 the underwriters exercised their overallotment option and purchased an additional 150,000 shares, resulting in total gross proceeds of $102.8 million. After deducting the underwriters’ discount, or sales load, of $5.1 million, we received net proceeds of $97.7 million from our initial public offering. Additionally, offering costs were estimated at $1.0 million. The underwriters agreed to reimburse, and have paid us, $0.4 million of the estimated $1.0 million of offering expenses. On March 4, 2011, the Company sold 667 shares of common stock for $10,000 ($15.00 per share) to the Investment Adviser.</w:t>
      </w:r>
    </w:p>
    <w:p>
      <w:pPr>
        <w:spacing w:after="0" w:line="13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are externally managed by PennantPark Investment Advisers, LLC, or the Investment Adviser or PennantPark Investment Advisers. PennantPark Investment Administration, LLC, or the Administrator or PennantPark Investment Administration, provides the administrative services necessary for us to operate.</w:t>
      </w:r>
    </w:p>
    <w:p>
      <w:pPr>
        <w:spacing w:after="0" w:line="139"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2"/>
          <w:szCs w:val="12"/>
          <w:color w:val="auto"/>
        </w:rPr>
        <w:t>On April 13, 2011, PennantPark Floating Rate Capital Ltd. closed its initial public offering and our common stock trades on the NASDAQ Global Select Market under the symbol “PFLT”. We entered into an investment management agreement, the Investment Management Agreement, with PennantPark Investment Advisers, LLC the Investment Adviser or Adviser, an external adviser that manages our day-to-day operations. We also entered into an administration agreement, the Administration Agreement, with the Administrator, that provides the administrative services necessary for us to operate.</w:t>
      </w:r>
    </w:p>
    <w:p>
      <w:pPr>
        <w:spacing w:after="0" w:line="11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on May 18, 2011. We formed Funding I, in order to establish a senior secured revolving facility, the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commercial paper rate that approximates LIBOR plus 225 basis points during the revolving period. The Credit Facility is secured by all of the assets held by Funding I. See Note 10 to the Consolidated Financial Statements.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preparation of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7"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50" w:lineRule="exact"/>
        <w:rPr>
          <w:sz w:val="20"/>
          <w:szCs w:val="20"/>
          <w:color w:val="auto"/>
        </w:rPr>
      </w:pPr>
    </w:p>
    <w:p>
      <w:pPr>
        <w:jc w:val="both"/>
        <w:ind w:right="20" w:firstLine="456"/>
        <w:spacing w:after="0" w:line="278"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3"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9" w:lineRule="exact"/>
        <w:rPr>
          <w:sz w:val="20"/>
          <w:szCs w:val="20"/>
          <w:color w:val="auto"/>
        </w:rPr>
      </w:pPr>
    </w:p>
    <w:p>
      <w:pPr>
        <w:ind w:left="800" w:right="240" w:hanging="346"/>
        <w:spacing w:after="0" w:line="239"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800" w:hanging="346"/>
        <w:spacing w:after="0"/>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800" w:right="40" w:hanging="346"/>
        <w:spacing w:after="0" w:line="233"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800" w:right="40" w:hanging="346"/>
        <w:spacing w:after="0" w:line="239"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800" w:right="480" w:hanging="346"/>
        <w:spacing w:after="0" w:line="239"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50"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premiums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23" w:lineRule="exact"/>
        <w:rPr>
          <w:sz w:val="20"/>
          <w:szCs w:val="20"/>
          <w:color w:val="auto"/>
        </w:rPr>
      </w:pPr>
    </w:p>
    <w:p>
      <w:pPr>
        <w:ind w:right="460" w:firstLine="456"/>
        <w:spacing w:after="0" w:line="318" w:lineRule="auto"/>
        <w:rPr>
          <w:sz w:val="20"/>
          <w:szCs w:val="20"/>
          <w:color w:val="auto"/>
        </w:rPr>
      </w:pPr>
      <w:r>
        <w:rPr>
          <w:rFonts w:ascii="Arial" w:cs="Arial" w:eastAsia="Arial" w:hAnsi="Arial"/>
          <w:sz w:val="12"/>
          <w:szCs w:val="12"/>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7 to the Consolidated Financial Statements.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150" w:lineRule="exact"/>
        <w:rPr>
          <w:sz w:val="20"/>
          <w:szCs w:val="20"/>
          <w:color w:val="auto"/>
        </w:rPr>
      </w:pPr>
    </w:p>
    <w:p>
      <w:pPr>
        <w:ind w:right="50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is determined by the board of directors each month and is generally based upon the earnings estimated by management. Net realized capital gains, if any, are distributed at least annually.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50"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As permitted under Regulation S-X and the AICPA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Assets related to transactions that do not meet ASC Topic 860—Transfers and Servicing requirements for accounting sale treatment are reflected in the Consolidated Balance Sheet as investments. Any such assets are owned by Funding I, the creditors of Funding I have received security interests in any such assets are not intended to be available to the creditors of the Company (or any affiliate of the Company).</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New Accounting Pronouncement</w:t>
      </w:r>
    </w:p>
    <w:p>
      <w:pPr>
        <w:spacing w:after="0" w:line="150"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Company’s investment management agreement, or the Investment Management Agreement, with the investment adviser, the adviser, was approved by our board of directors, including a majority of our independent directors in March 2011. Under this agreement the Investment Adviser, subject to the overall supervision of the Company’s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the consolidated management fee of the Company. For providing these services, the Investment Adviser receives a fee from the Company, consisting of two components—a base management fee and an incentive fee, collectively, the Management Fees.</w:t>
      </w:r>
    </w:p>
    <w:p>
      <w:pPr>
        <w:spacing w:after="0" w:line="120"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w:t>
      </w:r>
    </w:p>
    <w:p>
      <w:pPr>
        <w:spacing w:after="0" w:line="12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gross assets are calculated based on the average gross assets at the end of the two most recently completed calendar quarters, appropriately adjusted for any share issuances or repurchases during the current calendar quarter. Base management fees for any partial quarter are appropriately pro-rated. For the period from March 4, 2011 (commencement of operations) to September 30, 2011, the Investment Adviser earned a base management fee of $0.4 million from 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the Company’s net assets at the end of the immediately preceding calendar quarter, is compared to the hurdle rate of 1.75% per quarter (7.00% annualized). The Company pays the Investment Adviser an incentive fee with respect to the Company’s Pre-Incentive Fee Net Investment Income in each calendar quarter as follows: (1) no incentive fee in any calendar quarter in which the Company’s Pre-Incentive Fee Net Investment Income does not exceed the hurdle rate of 1.75%, (2) 50% of the Company’s Pre-Incentive Fee Net Investment Income with respect to that portion of such Pre-Incentive Fee Net Investment Income, if any, that exceeds the hurdle rate but is less than 2.9167% in any calendar quarter (11.67% annualized), and (3) 20% of the amount of the Company’s Pre-Incentive Fee Net Investment Income, if any, that exceeds 2.9167% in any calendar quarter. These calculations are pro-rated for any period of less than three months and adjusted for any share issuances or repurchases during the relevant quarter.</w:t>
      </w:r>
    </w:p>
    <w:p>
      <w:pPr>
        <w:spacing w:after="0" w:line="13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In accordance with GAAP, the Company did not accrue a capital gains incentive fee for the period from March 4, 2011 (commencement of operations) to September 30, 2011.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the Investment Management Agreement (as described above) for the period from March 4, 2011 (commencement of operations) to September 30, 2011, resulted in no accrual.</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entered into an administration agreement with the Administrator, or the Administration Agreement, which was approved by our board of directors, including a majority of the independent directors, in March 2011. Under this agreement, the Administrator provides administration services to the Company.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the Company is required to offer such assistance. Reimbursement for certain of these costs is included in administrative services expenses in the Consolidated Statement of Operations. For the period from March 4, 2011 (commencement of operations) to September 30, 2011, the Investment Adviser was reimbursed approximately $0.1 million, from us, including expenses it incurred on behalf of the Administrator, for services described above.</w:t>
      </w:r>
    </w:p>
    <w:p>
      <w:pPr>
        <w:spacing w:after="0" w:line="123"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2011, as well as the likelihood of future activity that may generate additional returns, management determined that the 7.0% return on Pre-Incentive Fee Net Investment Income was uncertain. Accordingly, the Company did not record a liability for it. Management assesses performance to determine whether the 7% return on Pre-Incentive Fee Net Investment Income is probable before recording the $2.1 million charge to capital.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3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Purchases of long-term investments, including PIK, for the period from March 4, 2011 (commencement of operations) to September 30, 2011 totaled $147.5 million. Sales and repayments of long-term investments for the same period totaled $33.2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3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85"/>
              </w:rPr>
              <w:t>September 30, 2011</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r>
      <w:tr>
        <w:trPr>
          <w:trHeight w:val="20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First lien</w:t>
            </w:r>
          </w:p>
        </w:tc>
        <w:tc>
          <w:tcPr>
            <w:tcW w:w="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97,975,314</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94,333,126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7020" w:type="dxa"/>
            <w:vAlign w:val="bottom"/>
          </w:tcPr>
          <w:p>
            <w:pPr>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9,379,445</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9,285,000</w:t>
            </w:r>
          </w:p>
        </w:tc>
        <w:tc>
          <w:tcPr>
            <w:tcW w:w="60" w:type="dxa"/>
            <w:vAlign w:val="bottom"/>
          </w:tcPr>
          <w:p>
            <w:pPr>
              <w:spacing w:after="0"/>
              <w:rPr>
                <w:sz w:val="17"/>
                <w:szCs w:val="17"/>
                <w:color w:val="auto"/>
              </w:rPr>
            </w:pPr>
          </w:p>
        </w:tc>
      </w:tr>
      <w:tr>
        <w:trPr>
          <w:trHeight w:val="41"/>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Subordinated debt / corporate notes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7,374,862</w:t>
            </w:r>
          </w:p>
        </w:tc>
        <w:tc>
          <w:tcPr>
            <w:tcW w:w="5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7020" w:type="dxa"/>
            <w:vAlign w:val="bottom"/>
          </w:tcPr>
          <w:p>
            <w:pPr>
              <w:spacing w:after="0"/>
              <w:rPr>
                <w:sz w:val="20"/>
                <w:szCs w:val="20"/>
                <w:color w:val="auto"/>
              </w:rPr>
            </w:pPr>
            <w:r>
              <w:rPr>
                <w:rFonts w:ascii="Arial" w:cs="Arial" w:eastAsia="Arial" w:hAnsi="Arial"/>
                <w:sz w:val="14"/>
                <w:szCs w:val="14"/>
                <w:color w:val="auto"/>
              </w:rPr>
              <w:t>Preferred and common equity</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101,985</w:t>
            </w:r>
          </w:p>
        </w:tc>
        <w:tc>
          <w:tcPr>
            <w:tcW w:w="60" w:type="dxa"/>
            <w:vAlign w:val="bottom"/>
          </w:tcPr>
          <w:p>
            <w:pPr>
              <w:spacing w:after="0"/>
              <w:rPr>
                <w:sz w:val="17"/>
                <w:szCs w:val="17"/>
                <w:color w:val="auto"/>
              </w:rPr>
            </w:pPr>
          </w:p>
        </w:tc>
      </w:tr>
      <w:tr>
        <w:trPr>
          <w:trHeight w:val="48"/>
        </w:trPr>
        <w:tc>
          <w:tcPr>
            <w:tcW w:w="7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114,829,621</w:t>
            </w: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110,724,241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5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18"/>
                <w:szCs w:val="18"/>
                <w:color w:val="auto"/>
              </w:rPr>
            </w:pPr>
          </w:p>
        </w:tc>
      </w:tr>
      <w:tr>
        <w:trPr>
          <w:trHeight w:val="48"/>
        </w:trPr>
        <w:tc>
          <w:tcPr>
            <w:tcW w:w="7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investments and cash equivalents</w:t>
            </w: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121,817,071</w:t>
            </w: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117,711,691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market value, of the total portfolio assets (excluding cash equivalents) in such industries as of September 30, 2011.</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20"/>
                <w:szCs w:val="20"/>
                <w:color w:val="auto"/>
              </w:rPr>
            </w:pPr>
            <w:r>
              <w:rPr>
                <w:rFonts w:ascii="Arial" w:cs="Arial" w:eastAsia="Arial" w:hAnsi="Arial"/>
                <w:sz w:val="14"/>
                <w:szCs w:val="14"/>
                <w:b w:val="1"/>
                <w:bCs w:val="1"/>
                <w:color w:val="auto"/>
              </w:rPr>
              <w:t>Industry Classification</w:t>
            </w:r>
          </w:p>
        </w:tc>
        <w:tc>
          <w:tcPr>
            <w:tcW w:w="4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6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Healthcare and Pharmaceuticals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10</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Media: Advertising, Printing and Publishing</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10</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9</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Durable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8</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Media: Diversified and Production</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8</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Beverage, Food and Tobacco</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7</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5</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Telecommunications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5</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Automotive</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4</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Non-Durable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4</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High Tech Industries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4</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3</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Capital Equipment</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3</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Containers, Packaging and Glass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3</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Consumer Services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2</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Energy: Oil &amp; Gas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2</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Environmental Industries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2</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4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Utilities: Water</w:t>
            </w:r>
          </w:p>
        </w:tc>
        <w:tc>
          <w:tcPr>
            <w:tcW w:w="4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w:t>
            </w:r>
          </w:p>
        </w:tc>
      </w:tr>
      <w:tr>
        <w:trPr>
          <w:trHeight w:val="196"/>
        </w:trPr>
        <w:tc>
          <w:tcPr>
            <w:tcW w:w="3540" w:type="dxa"/>
            <w:vAlign w:val="bottom"/>
          </w:tcPr>
          <w:p>
            <w:pPr>
              <w:spacing w:after="0"/>
              <w:rPr>
                <w:sz w:val="20"/>
                <w:szCs w:val="20"/>
                <w:color w:val="auto"/>
              </w:rPr>
            </w:pPr>
            <w:r>
              <w:rPr>
                <w:rFonts w:ascii="Arial" w:cs="Arial" w:eastAsia="Arial" w:hAnsi="Arial"/>
                <w:sz w:val="14"/>
                <w:szCs w:val="14"/>
                <w:color w:val="auto"/>
              </w:rPr>
              <w:t>Total</w:t>
            </w:r>
          </w:p>
        </w:tc>
        <w:tc>
          <w:tcPr>
            <w:tcW w:w="47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338"/>
        </w:trPr>
        <w:tc>
          <w:tcPr>
            <w:tcW w:w="3540" w:type="dxa"/>
            <w:vAlign w:val="bottom"/>
          </w:tcPr>
          <w:p>
            <w:pPr>
              <w:spacing w:after="0"/>
              <w:rPr>
                <w:sz w:val="24"/>
                <w:szCs w:val="24"/>
                <w:color w:val="auto"/>
              </w:rPr>
            </w:pPr>
          </w:p>
        </w:tc>
        <w:tc>
          <w:tcPr>
            <w:tcW w:w="6040" w:type="dxa"/>
            <w:vAlign w:val="bottom"/>
            <w:gridSpan w:val="2"/>
          </w:tcPr>
          <w:p>
            <w:pPr>
              <w:jc w:val="right"/>
              <w:ind w:right="4592"/>
              <w:spacing w:after="0"/>
              <w:rPr>
                <w:sz w:val="20"/>
                <w:szCs w:val="20"/>
                <w:color w:val="auto"/>
              </w:rPr>
            </w:pPr>
            <w:r>
              <w:rPr>
                <w:rFonts w:ascii="Arial" w:cs="Arial" w:eastAsia="Arial" w:hAnsi="Arial"/>
                <w:sz w:val="14"/>
                <w:szCs w:val="14"/>
                <w:color w:val="auto"/>
              </w:rPr>
              <w:t>F-15</w:t>
            </w:r>
          </w:p>
        </w:tc>
      </w:tr>
    </w:tbl>
    <w:p>
      <w:pPr>
        <w:sectPr>
          <w:pgSz w:w="11900" w:h="16838" w:orient="portrait"/>
          <w:cols w:equalWidth="0" w:num="1">
            <w:col w:w="11300"/>
          </w:cols>
          <w:pgMar w:left="24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the Company. Unobservable inputs are inputs that reflect the assumptions market participants would use in pricing an asset or liability based on the best information available to us at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15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0"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period March 4, 2011 (commencement of operations) to September 30, 2011, our ability to observe valuation inputs has resulted in no reclassification of assets from Level 3 to Level 2. There were no investments transferred between Levels 1 and 2 for the same period.</w:t>
      </w:r>
    </w:p>
    <w:p>
      <w:pPr>
        <w:spacing w:after="0" w:line="139"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(See Note 2). Consistent with our valuation policy, we evaluate the source of inputs, including any markets in which its investments are trading, in determining fair value.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7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80" w:firstLine="342"/>
        <w:spacing w:after="0" w:line="239" w:lineRule="auto"/>
        <w:rPr>
          <w:sz w:val="20"/>
          <w:szCs w:val="20"/>
          <w:color w:val="auto"/>
        </w:rPr>
      </w:pPr>
      <w:r>
        <w:rPr>
          <w:rFonts w:ascii="Arial" w:cs="Arial" w:eastAsia="Arial" w:hAnsi="Arial"/>
          <w:sz w:val="14"/>
          <w:szCs w:val="14"/>
          <w:color w:val="auto"/>
        </w:rPr>
        <w:t>At September 30, 2011 our cash and cash equivalents, investments and our long-term Credit Facility were categorized as listed below in the fair value hierarchy for ASC 820 purposes. Please refer to the paragraphs preceding this sentence for information regarding Levels 1 through 3 within the fair value hierarchy.</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Fair Value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w w:val="88"/>
              </w:rPr>
              <w:t>Level 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197"/>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94,333,126</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2,033,747</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92,299,379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59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9,285,000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9,285,000</w:t>
            </w:r>
          </w:p>
        </w:tc>
        <w:tc>
          <w:tcPr>
            <w:tcW w:w="60" w:type="dxa"/>
            <w:vAlign w:val="bottom"/>
          </w:tcPr>
          <w:p>
            <w:pPr>
              <w:spacing w:after="0"/>
              <w:rPr>
                <w:sz w:val="17"/>
                <w:szCs w:val="17"/>
                <w:color w:val="auto"/>
              </w:rPr>
            </w:pPr>
          </w:p>
        </w:tc>
      </w:tr>
      <w:tr>
        <w:trPr>
          <w:trHeight w:val="41"/>
        </w:trPr>
        <w:tc>
          <w:tcPr>
            <w:tcW w:w="70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1,155,000</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5,849,130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590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101,985</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101,985</w:t>
            </w:r>
          </w:p>
        </w:tc>
        <w:tc>
          <w:tcPr>
            <w:tcW w:w="60" w:type="dxa"/>
            <w:vAlign w:val="bottom"/>
          </w:tcPr>
          <w:p>
            <w:pPr>
              <w:spacing w:after="0"/>
              <w:rPr>
                <w:sz w:val="17"/>
                <w:szCs w:val="17"/>
                <w:color w:val="auto"/>
              </w:rPr>
            </w:pPr>
          </w:p>
        </w:tc>
      </w:tr>
      <w:tr>
        <w:trPr>
          <w:trHeight w:val="48"/>
        </w:trPr>
        <w:tc>
          <w:tcPr>
            <w:tcW w:w="70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70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Investments</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110,724,241</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3,188,747</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5900" w:type="dxa"/>
            <w:vAlign w:val="bottom"/>
            <w:gridSpan w:val="2"/>
          </w:tcPr>
          <w:p>
            <w:pPr>
              <w:ind w:left="440"/>
              <w:spacing w:after="0"/>
              <w:rPr>
                <w:sz w:val="20"/>
                <w:szCs w:val="20"/>
                <w:color w:val="auto"/>
              </w:rPr>
            </w:pPr>
            <w:r>
              <w:rPr>
                <w:rFonts w:ascii="Arial" w:cs="Arial" w:eastAsia="Arial" w:hAnsi="Arial"/>
                <w:sz w:val="14"/>
                <w:szCs w:val="14"/>
                <w:color w:val="auto"/>
              </w:rPr>
              <w:t>Cash Equivalents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6,987,450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6,987,450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8"/>
        </w:trPr>
        <w:tc>
          <w:tcPr>
            <w:tcW w:w="70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Investments and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117,711,691</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6,987,450</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3,188,747</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9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900" w:type="dxa"/>
            <w:vAlign w:val="bottom"/>
            <w:gridSpan w:val="2"/>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24,650,000</w:t>
            </w:r>
          </w:p>
        </w:tc>
        <w:tc>
          <w:tcPr>
            <w:tcW w:w="60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24,650,000</w:t>
            </w:r>
          </w:p>
        </w:tc>
        <w:tc>
          <w:tcPr>
            <w:tcW w:w="6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160" w:firstLine="342"/>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 for the period from March 4, 2011 (commencement of operations) to September 30, 2011:</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Beginning Balance, March 4, 2011</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Unrealized depreciation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PIK and net discount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Sales / repayments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 /or out of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Ending Balance, September 30, 2011</w:t>
      </w:r>
    </w:p>
    <w:p>
      <w:pPr>
        <w:spacing w:after="0" w:line="109"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Net change in unrealized appreciation (depreciation) for the period above within the net change in unrealized appreciation on investments in our Consolidated Statement of Operations attributable to our Level 3 assets still held at the reporting date:</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Second Lien,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Subordinated Debt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First Lien</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Equity Investments</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Totals</w:t>
            </w:r>
          </w:p>
        </w:tc>
      </w:tr>
      <w:tr>
        <w:trPr>
          <w:trHeight w:val="196"/>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218,684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312,003</w:t>
            </w:r>
          </w:p>
        </w:tc>
      </w:tr>
      <w:tr>
        <w:trPr>
          <w:trHeight w:val="243"/>
        </w:trPr>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(3,621,606)</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(93,301)</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(3,714,907)</w:t>
            </w:r>
          </w:p>
        </w:tc>
      </w:tr>
      <w:tr>
        <w:trPr>
          <w:trHeight w:val="243"/>
        </w:trPr>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124,246,206</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19,766,732</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144,012,938</w:t>
            </w:r>
          </w:p>
        </w:tc>
      </w:tr>
      <w:tr>
        <w:trPr>
          <w:trHeight w:val="243"/>
        </w:trPr>
        <w:tc>
          <w:tcPr>
            <w:tcW w:w="10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(28,543,905)</w:t>
            </w:r>
          </w:p>
        </w:tc>
        <w:tc>
          <w:tcPr>
            <w:tcW w:w="120" w:type="dxa"/>
            <w:vAlign w:val="bottom"/>
          </w:tcPr>
          <w:p>
            <w:pPr>
              <w:spacing w:after="0"/>
              <w:rPr>
                <w:sz w:val="21"/>
                <w:szCs w:val="21"/>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(4,530,635)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8"/>
              </w:rPr>
              <w:t>(33,074,540)</w:t>
            </w:r>
          </w:p>
        </w:tc>
      </w:tr>
      <w:tr>
        <w:trPr>
          <w:trHeight w:val="243"/>
        </w:trPr>
        <w:tc>
          <w:tcPr>
            <w:tcW w:w="100" w:type="dxa"/>
            <w:vAlign w:val="bottom"/>
          </w:tcPr>
          <w:p>
            <w:pPr>
              <w:spacing w:after="0"/>
              <w:rPr>
                <w:sz w:val="21"/>
                <w:szCs w:val="21"/>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
        </w:trPr>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9"/>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92,299,379</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15,236,115</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107,535,494</w:t>
            </w:r>
          </w:p>
        </w:tc>
      </w:tr>
      <w:tr>
        <w:trPr>
          <w:trHeight w:val="41"/>
        </w:trPr>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4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(3,621,606)</w:t>
            </w:r>
          </w:p>
        </w:tc>
        <w:tc>
          <w:tcPr>
            <w:tcW w:w="5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(93,301)</w:t>
            </w:r>
          </w:p>
        </w:tc>
        <w:tc>
          <w:tcPr>
            <w:tcW w:w="5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(3,714,907)</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600" w:space="580"/>
            <w:col w:w="4180"/>
          </w:cols>
          <w:pgMar w:left="240" w:top="459" w:right="29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320" w:firstLine="342"/>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liabilities measured using significant unobservable inputs (Level 3) for the period from March 4, 2011 (commencement of operations) to September 30, 2011.</w:t>
      </w:r>
    </w:p>
    <w:p>
      <w:pPr>
        <w:sectPr>
          <w:pgSz w:w="11900" w:h="16838" w:orient="portrait"/>
          <w:cols w:equalWidth="0" w:num="1">
            <w:col w:w="11380"/>
          </w:cols>
          <w:pgMar w:left="240" w:top="459" w:right="279"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Beginning balance, March 4, 2011 (Cost - $0)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unrealized appreciation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Borrowings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and/or out of Level 3</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Total Credit Facility, September 30, 2011 (Cost – $24,650,000)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Carrying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Fair Value</w:t>
      </w:r>
    </w:p>
    <w:p>
      <w:pPr>
        <w:spacing w:after="0" w:line="30"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29,000,000</w:t>
      </w:r>
    </w:p>
    <w:p>
      <w:pPr>
        <w:spacing w:after="0" w:line="8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(4,350,000)</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75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89"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24,650,000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5575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80" w:space="720"/>
            <w:col w:w="880"/>
          </w:cols>
          <w:pgMar w:left="240" w:top="459" w:right="279" w:bottom="1440" w:gutter="0" w:footer="0" w:header="0"/>
          <w:type w:val="continuous"/>
        </w:sectPr>
      </w:pPr>
    </w:p>
    <w:p>
      <w:pPr>
        <w:spacing w:after="0" w:line="5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non-recurring expenses of $1.4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period from March 4, 2011 (commencement of operations) to September 30, 2011, our Credit Facility had no net change in unrealized (appreciation) depreciation. PennantPark Floating Rate Capital Ltd. uses one or more nationally recognized independent valuation service to measure the fair value of its credit facility in a manner consistent with the valuation process that the board of directors uses to value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380"/>
          </w:cols>
          <w:pgMar w:left="240" w:top="459" w:right="27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gridSpan w:val="2"/>
          </w:tcPr>
          <w:p>
            <w:pPr>
              <w:ind w:left="460"/>
              <w:spacing w:after="0"/>
              <w:rPr>
                <w:sz w:val="20"/>
                <w:szCs w:val="20"/>
                <w:color w:val="auto"/>
              </w:rPr>
            </w:pPr>
            <w:r>
              <w:rPr>
                <w:rFonts w:ascii="Arial" w:cs="Arial" w:eastAsia="Arial" w:hAnsi="Arial"/>
                <w:sz w:val="14"/>
                <w:szCs w:val="14"/>
                <w:color w:val="auto"/>
                <w:w w:val="97"/>
              </w:rPr>
              <w:t>The following information sets forth the computation of basic and diluted per share net decrease in net assets resulting from operations.</w:t>
            </w: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For the period March 4, 2011 (commencement</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77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 operations) to September 30, 2011</w:t>
            </w:r>
          </w:p>
        </w:tc>
        <w:tc>
          <w:tcPr>
            <w:tcW w:w="0" w:type="dxa"/>
            <w:vAlign w:val="bottom"/>
          </w:tcPr>
          <w:p>
            <w:pPr>
              <w:spacing w:after="0"/>
              <w:rPr>
                <w:sz w:val="1"/>
                <w:szCs w:val="1"/>
                <w:color w:val="auto"/>
              </w:rPr>
            </w:pPr>
          </w:p>
        </w:tc>
      </w:tr>
      <w:tr>
        <w:trPr>
          <w:trHeight w:val="134"/>
        </w:trPr>
        <w:tc>
          <w:tcPr>
            <w:tcW w:w="940" w:type="dxa"/>
            <w:vAlign w:val="bottom"/>
            <w:tcBorders>
              <w:bottom w:val="single" w:sz="8" w:color="auto"/>
            </w:tcBorders>
            <w:vMerge w:val="continue"/>
          </w:tcPr>
          <w:p>
            <w:pPr>
              <w:spacing w:after="0"/>
              <w:rPr>
                <w:sz w:val="11"/>
                <w:szCs w:val="11"/>
                <w:color w:val="auto"/>
              </w:rPr>
            </w:pPr>
          </w:p>
        </w:tc>
        <w:tc>
          <w:tcPr>
            <w:tcW w:w="7740" w:type="dxa"/>
            <w:vAlign w:val="bottom"/>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Numerator for net decrease in net assets resulting from operations</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(3,473,253)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6,826,105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and diluted net decrease in net assets per share resulting from operations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40" w:type="dxa"/>
            <w:vAlign w:val="bottom"/>
            <w:shd w:val="clear" w:color="auto" w:fill="CCEEFF"/>
          </w:tcPr>
          <w:p>
            <w:pPr>
              <w:spacing w:after="0"/>
              <w:rPr>
                <w:sz w:val="3"/>
                <w:szCs w:val="3"/>
                <w:color w:val="auto"/>
              </w:rPr>
            </w:pPr>
          </w:p>
        </w:tc>
        <w:tc>
          <w:tcPr>
            <w:tcW w:w="77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TAXES AND DISTRIBUTIONS</w:t>
      </w:r>
    </w:p>
    <w:p>
      <w:pPr>
        <w:spacing w:after="0" w:line="7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As of September 30, 2011, we had no permanent book-to-tax differences.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As of September 30, 2011, the cost of investments for federal income tax purposes was $114.8 million resulting in a gross unrealized appreciation of $0.1 million and depreciation of $4.2 million.</w:t>
      </w:r>
    </w:p>
    <w:p>
      <w:pPr>
        <w:sectPr>
          <w:pgSz w:w="11900" w:h="16838" w:orient="portrait"/>
          <w:cols w:equalWidth="0" w:num="1">
            <w:col w:w="11420"/>
          </w:cols>
          <w:pgMar w:left="240" w:top="459" w:right="239" w:bottom="1440" w:gutter="0" w:footer="0" w:header="0"/>
        </w:sectPr>
      </w:pPr>
    </w:p>
    <w:p>
      <w:pPr>
        <w:spacing w:after="0" w:line="17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reconciles net decrease in net assets resulting from operations to 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330835</wp:posOffset>
            </wp:positionV>
            <wp:extent cx="666369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increase in net assets resulting from operations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unrealized appreciation / (depreciation) on investments and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66369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 temporary book-to-tax differences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Taxable income before deductions for 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580"/>
        <w:spacing w:after="0"/>
        <w:rPr>
          <w:sz w:val="20"/>
          <w:szCs w:val="20"/>
          <w:color w:val="auto"/>
        </w:rPr>
      </w:pPr>
      <w:r>
        <w:rPr>
          <w:rFonts w:ascii="Arial" w:cs="Arial" w:eastAsia="Arial" w:hAnsi="Arial"/>
          <w:sz w:val="12"/>
          <w:szCs w:val="12"/>
          <w:b w:val="1"/>
          <w:bCs w:val="1"/>
          <w:color w:val="auto"/>
        </w:rPr>
        <w:t>For the period March 4, 2011 (commencement</w:t>
      </w:r>
    </w:p>
    <w:p>
      <w:pPr>
        <w:spacing w:after="0" w:line="2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of operations) to September 30, 2011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1000"/>
              <w:spacing w:after="0"/>
              <w:rPr>
                <w:sz w:val="20"/>
                <w:szCs w:val="20"/>
                <w:color w:val="auto"/>
              </w:rPr>
            </w:pPr>
            <w:r>
              <w:rPr>
                <w:rFonts w:ascii="Arial" w:cs="Arial" w:eastAsia="Arial" w:hAnsi="Arial"/>
                <w:sz w:val="14"/>
                <w:szCs w:val="14"/>
                <w:color w:val="auto"/>
                <w:w w:val="83"/>
              </w:rPr>
              <w:t>(3,473,253)</w:t>
            </w:r>
          </w:p>
        </w:tc>
      </w:tr>
      <w:tr>
        <w:trPr>
          <w:trHeight w:val="230"/>
        </w:trPr>
        <w:tc>
          <w:tcPr>
            <w:tcW w:w="110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4,105,380</w:t>
            </w:r>
          </w:p>
        </w:tc>
        <w:tc>
          <w:tcPr>
            <w:tcW w:w="40" w:type="dxa"/>
            <w:vAlign w:val="bottom"/>
          </w:tcPr>
          <w:p>
            <w:pPr>
              <w:spacing w:after="0"/>
              <w:rPr>
                <w:sz w:val="19"/>
                <w:szCs w:val="19"/>
                <w:color w:val="auto"/>
              </w:rPr>
            </w:pPr>
          </w:p>
        </w:tc>
      </w:tr>
      <w:tr>
        <w:trPr>
          <w:trHeight w:val="243"/>
        </w:trPr>
        <w:tc>
          <w:tcPr>
            <w:tcW w:w="1100" w:type="dxa"/>
            <w:vAlign w:val="bottom"/>
          </w:tcPr>
          <w:p>
            <w:pPr>
              <w:spacing w:after="0"/>
              <w:rPr>
                <w:sz w:val="21"/>
                <w:szCs w:val="21"/>
                <w:color w:val="auto"/>
              </w:rPr>
            </w:pP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1,297,741</w:t>
            </w:r>
          </w:p>
        </w:tc>
        <w:tc>
          <w:tcPr>
            <w:tcW w:w="40" w:type="dxa"/>
            <w:vAlign w:val="bottom"/>
          </w:tcPr>
          <w:p>
            <w:pPr>
              <w:spacing w:after="0"/>
              <w:rPr>
                <w:sz w:val="21"/>
                <w:szCs w:val="21"/>
                <w:color w:val="auto"/>
              </w:rPr>
            </w:pPr>
          </w:p>
        </w:tc>
      </w:tr>
      <w:tr>
        <w:trPr>
          <w:trHeight w:val="41"/>
        </w:trPr>
        <w:tc>
          <w:tcPr>
            <w:tcW w:w="1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9"/>
        </w:trPr>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1,929,868</w:t>
            </w:r>
          </w:p>
        </w:tc>
        <w:tc>
          <w:tcPr>
            <w:tcW w:w="40" w:type="dxa"/>
            <w:vAlign w:val="bottom"/>
          </w:tcPr>
          <w:p>
            <w:pPr>
              <w:spacing w:after="0"/>
              <w:rPr>
                <w:sz w:val="18"/>
                <w:szCs w:val="18"/>
                <w:color w:val="auto"/>
              </w:rPr>
            </w:pPr>
          </w:p>
        </w:tc>
      </w:tr>
      <w:tr>
        <w:trPr>
          <w:trHeight w:val="41"/>
        </w:trPr>
        <w:tc>
          <w:tcPr>
            <w:tcW w:w="1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7440" w:space="720"/>
            <w:col w:w="3260"/>
          </w:cols>
          <w:pgMar w:left="240" w:top="459" w:right="239" w:bottom="1440" w:gutter="0" w:footer="0" w:header="0"/>
          <w:type w:val="continuous"/>
        </w:sectPr>
      </w:pPr>
    </w:p>
    <w:p>
      <w:pPr>
        <w:ind w:right="140" w:firstLine="456"/>
        <w:spacing w:after="0" w:line="239" w:lineRule="auto"/>
        <w:rPr>
          <w:sz w:val="20"/>
          <w:szCs w:val="20"/>
          <w:color w:val="auto"/>
        </w:rPr>
      </w:pPr>
      <w:r>
        <w:rPr>
          <w:rFonts w:ascii="Arial" w:cs="Arial" w:eastAsia="Arial" w:hAnsi="Arial"/>
          <w:sz w:val="14"/>
          <w:szCs w:val="14"/>
          <w:color w:val="auto"/>
        </w:rPr>
        <w:t>The components of accumulated losses on tax basis and reconciliation to accumulated losses on a GAAP basis for the period from March 4, 2011 (commencement of operations) to September 30,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120650</wp:posOffset>
            </wp:positionV>
            <wp:extent cx="666369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Undistributed ordinary income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Undistributed long-term net capital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59055</wp:posOffset>
            </wp:positionV>
            <wp:extent cx="666369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undistributed net earnings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Dividends payable and other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66369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unrealized appreciation (depreciation) of investments and credit facility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accumulated deficit</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tax characteristics of dividends during the fiscal year ended September 30, 2011 totaled $1.7 million or $0.25 per share.</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40" w:hanging="236"/>
        <w:spacing w:after="0"/>
        <w:tabs>
          <w:tab w:leader="none" w:pos="2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696,748</w:t>
      </w:r>
    </w:p>
    <w:p>
      <w:pPr>
        <w:spacing w:after="0" w:line="105" w:lineRule="exact"/>
        <w:rPr>
          <w:rFonts w:ascii="Arial" w:cs="Arial" w:eastAsia="Arial" w:hAnsi="Arial"/>
          <w:sz w:val="12"/>
          <w:szCs w:val="12"/>
          <w:color w:val="auto"/>
        </w:rPr>
      </w:pPr>
    </w:p>
    <w:p>
      <w:pPr>
        <w:ind w:left="540"/>
        <w:spacing w:after="0"/>
        <w:rPr>
          <w:rFonts w:ascii="Arial" w:cs="Arial" w:eastAsia="Arial" w:hAnsi="Arial"/>
          <w:sz w:val="12"/>
          <w:szCs w:val="12"/>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4718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696,748</w:t>
      </w:r>
    </w:p>
    <w:p>
      <w:pPr>
        <w:spacing w:after="0" w:line="105" w:lineRule="exact"/>
        <w:rPr>
          <w:sz w:val="20"/>
          <w:szCs w:val="20"/>
          <w:color w:val="auto"/>
        </w:rPr>
      </w:pPr>
    </w:p>
    <w:p>
      <w:pPr>
        <w:jc w:val="right"/>
        <w:ind w:right="520"/>
        <w:spacing w:after="0"/>
        <w:rPr>
          <w:sz w:val="20"/>
          <w:szCs w:val="20"/>
          <w:color w:val="auto"/>
        </w:rPr>
      </w:pPr>
      <w:r>
        <w:rPr>
          <w:rFonts w:ascii="Arial" w:cs="Arial" w:eastAsia="Arial" w:hAnsi="Arial"/>
          <w:sz w:val="14"/>
          <w:szCs w:val="14"/>
          <w:color w:val="auto"/>
        </w:rPr>
        <w:t>(1,777,288)</w:t>
      </w:r>
    </w:p>
    <w:p>
      <w:pPr>
        <w:spacing w:after="0" w:line="82" w:lineRule="exact"/>
        <w:rPr>
          <w:sz w:val="20"/>
          <w:szCs w:val="20"/>
          <w:color w:val="auto"/>
        </w:rPr>
      </w:pPr>
    </w:p>
    <w:p>
      <w:pPr>
        <w:jc w:val="right"/>
        <w:ind w:right="520"/>
        <w:spacing w:after="0"/>
        <w:rPr>
          <w:sz w:val="20"/>
          <w:szCs w:val="20"/>
          <w:color w:val="auto"/>
        </w:rPr>
      </w:pPr>
      <w:r>
        <w:rPr>
          <w:rFonts w:ascii="Arial" w:cs="Arial" w:eastAsia="Arial" w:hAnsi="Arial"/>
          <w:sz w:val="14"/>
          <w:szCs w:val="14"/>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4718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$(5,185,920)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47625</wp:posOffset>
            </wp:positionV>
            <wp:extent cx="4718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64770</wp:posOffset>
            </wp:positionV>
            <wp:extent cx="4718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2">
            <w:col w:w="9460" w:space="720"/>
            <w:col w:w="124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5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5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Cash equivalents represents cash pending investment in longer-term portfolio holdings, PennantPark Floating Rate Capital Ltd. may invest temporarily in U.S. Treasury Bills (of varying maturities), repurchase agreements, money market funds or repo-like treasury securities. These temporary investments with maturities of 90 days or less are deemed cash equivalents and are included in the Consolidated Schedule of Investments. At the end of each fiscal quarter, PennantPark Floating Rate Capital Ltd. could take proactive steps to preserve investment flexibility for the next quarter, which is dependent upon the composition of its total assets at quarter end. PennantPark Floating Rate Capital Ltd.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Floating Rate Capital Ltd.’s valuation policy. As of September 30, 2011, cash equivalents consisted of $7.0 million in money market funds.</w:t>
      </w:r>
    </w:p>
    <w:p>
      <w:pPr>
        <w:sectPr>
          <w:pgSz w:w="11900" w:h="16838" w:orient="portrait"/>
          <w:cols w:equalWidth="0" w:num="1">
            <w:col w:w="11260"/>
          </w:cols>
          <w:pgMar w:left="240" w:top="459" w:right="39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71" w:lineRule="exact"/>
        <w:rPr>
          <w:sz w:val="20"/>
          <w:szCs w:val="20"/>
          <w:color w:val="auto"/>
        </w:rPr>
      </w:pPr>
    </w:p>
    <w:p>
      <w:pPr>
        <w:jc w:val="right"/>
        <w:ind w:right="640"/>
        <w:spacing w:after="0"/>
        <w:rPr>
          <w:sz w:val="20"/>
          <w:szCs w:val="20"/>
          <w:color w:val="auto"/>
        </w:rPr>
      </w:pPr>
      <w:r>
        <w:rPr>
          <w:rFonts w:ascii="Arial" w:cs="Arial" w:eastAsia="Arial" w:hAnsi="Arial"/>
          <w:sz w:val="14"/>
          <w:szCs w:val="14"/>
          <w:color w:val="auto"/>
        </w:rPr>
        <w:t>Below are the financial highlights for the reported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492252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Data: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beginning of period</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49225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
        <w:spacing w:after="0" w:line="224" w:lineRule="auto"/>
        <w:rPr>
          <w:sz w:val="20"/>
          <w:szCs w:val="20"/>
          <w:color w:val="auto"/>
        </w:rPr>
      </w:pPr>
      <w:r>
        <w:rPr>
          <w:rFonts w:ascii="Arial" w:cs="Arial" w:eastAsia="Arial" w:hAnsi="Arial"/>
          <w:sz w:val="14"/>
          <w:szCs w:val="14"/>
          <w:color w:val="auto"/>
        </w:rPr>
        <w:t>Net realized and unrealized losses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2317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22520" cy="231775"/>
                    </a:xfrm>
                    <a:prstGeom prst="rect">
                      <a:avLst/>
                    </a:prstGeom>
                    <a:noFill/>
                  </pic:spPr>
                </pic:pic>
              </a:graphicData>
            </a:graphic>
          </wp:anchor>
        </w:drawing>
      </w:r>
    </w:p>
    <w:p>
      <w:pPr>
        <w:ind w:left="440" w:right="1240" w:hanging="215"/>
        <w:spacing w:after="0" w:line="199" w:lineRule="auto"/>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22"/>
          <w:szCs w:val="22"/>
          <w:color w:val="auto"/>
          <w:vertAlign w:val="superscript"/>
        </w:rPr>
        <w:t>(1)</w:t>
      </w:r>
    </w:p>
    <w:p>
      <w:pPr>
        <w:ind w:left="220"/>
        <w:spacing w:after="0" w:line="225" w:lineRule="auto"/>
        <w:rPr>
          <w:sz w:val="20"/>
          <w:szCs w:val="20"/>
          <w:color w:val="auto"/>
        </w:rPr>
      </w:pPr>
      <w:r>
        <w:rPr>
          <w:rFonts w:ascii="Arial" w:cs="Arial" w:eastAsia="Arial" w:hAnsi="Arial"/>
          <w:sz w:val="14"/>
          <w:szCs w:val="14"/>
          <w:color w:val="auto"/>
        </w:rPr>
        <w:t xml:space="preserve">Dividends and distributions to stockholders </w:t>
      </w:r>
      <w:r>
        <w:rPr>
          <w:rFonts w:ascii="Arial" w:cs="Arial" w:eastAsia="Arial" w:hAnsi="Arial"/>
          <w:sz w:val="22"/>
          <w:szCs w:val="22"/>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color w:val="auto"/>
        </w:rPr>
        <w:t>Initial issuance of common stock</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Offering Costs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asset value, end of period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Per share market value, end of period</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(3)</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9225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Shares outstanding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Ratio/Supplemental Data*: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Ratio of operating expenses to 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2317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22520" cy="231775"/>
                    </a:xfrm>
                    <a:prstGeom prst="rect">
                      <a:avLst/>
                    </a:prstGeom>
                    <a:noFill/>
                  </pic:spPr>
                </pic:pic>
              </a:graphicData>
            </a:graphic>
          </wp:anchor>
        </w:drawing>
      </w:r>
    </w:p>
    <w:p>
      <w:pPr>
        <w:spacing w:after="0" w:line="35" w:lineRule="exact"/>
        <w:rPr>
          <w:sz w:val="20"/>
          <w:szCs w:val="20"/>
          <w:color w:val="auto"/>
        </w:rPr>
      </w:pPr>
    </w:p>
    <w:p>
      <w:pPr>
        <w:ind w:left="220" w:right="1300" w:hanging="215"/>
        <w:spacing w:after="0" w:line="218" w:lineRule="auto"/>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22"/>
          <w:szCs w:val="22"/>
          <w:color w:val="auto"/>
          <w:vertAlign w:val="superscript"/>
        </w:rPr>
        <w:t>(4)</w:t>
      </w:r>
    </w:p>
    <w:p>
      <w:pPr>
        <w:spacing w:after="0"/>
        <w:rPr>
          <w:sz w:val="20"/>
          <w:szCs w:val="20"/>
          <w:color w:val="auto"/>
        </w:rPr>
      </w:pPr>
      <w:r>
        <w:rPr>
          <w:rFonts w:ascii="Arial" w:cs="Arial" w:eastAsia="Arial" w:hAnsi="Arial"/>
          <w:sz w:val="14"/>
          <w:szCs w:val="14"/>
          <w:color w:val="auto"/>
        </w:rPr>
        <w:t>Total expenses to 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Ratio of net investment income to average net assets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assets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debt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debt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Portfolio turnover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89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60"/>
        <w:spacing w:after="0"/>
        <w:rPr>
          <w:sz w:val="20"/>
          <w:szCs w:val="20"/>
          <w:color w:val="auto"/>
        </w:rPr>
      </w:pPr>
      <w:r>
        <w:rPr>
          <w:rFonts w:ascii="Arial" w:cs="Arial" w:eastAsia="Arial" w:hAnsi="Arial"/>
          <w:sz w:val="12"/>
          <w:szCs w:val="12"/>
          <w:b w:val="1"/>
          <w:bCs w:val="1"/>
          <w:color w:val="auto"/>
        </w:rPr>
        <w:t>For the period March 4, 2011 (commencement</w:t>
      </w:r>
    </w:p>
    <w:p>
      <w:pPr>
        <w:spacing w:after="0" w:line="24" w:lineRule="exact"/>
        <w:rPr>
          <w:sz w:val="20"/>
          <w:szCs w:val="20"/>
          <w:color w:val="auto"/>
        </w:rPr>
      </w:pPr>
    </w:p>
    <w:p>
      <w:pPr>
        <w:jc w:val="center"/>
        <w:ind w:right="3660"/>
        <w:spacing w:after="0"/>
        <w:rPr>
          <w:sz w:val="20"/>
          <w:szCs w:val="20"/>
          <w:color w:val="auto"/>
        </w:rPr>
      </w:pPr>
      <w:r>
        <w:rPr>
          <w:rFonts w:ascii="Arial" w:cs="Arial" w:eastAsia="Arial" w:hAnsi="Arial"/>
          <w:sz w:val="14"/>
          <w:szCs w:val="14"/>
          <w:b w:val="1"/>
          <w:bCs w:val="1"/>
          <w:color w:val="auto"/>
        </w:rPr>
        <w:t>of operations) to September 30, 2011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r>
      <w:tr>
        <w:trPr>
          <w:trHeight w:val="176"/>
        </w:trPr>
        <w:tc>
          <w:tcPr>
            <w:tcW w:w="106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(0.56)</w:t>
            </w:r>
          </w:p>
        </w:tc>
      </w:tr>
      <w:tr>
        <w:trPr>
          <w:trHeight w:val="20"/>
        </w:trPr>
        <w:tc>
          <w:tcPr>
            <w:tcW w:w="10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06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(0.51)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(0.25)</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8"/>
                <w:szCs w:val="18"/>
                <w:color w:val="auto"/>
              </w:rPr>
            </w:pPr>
          </w:p>
        </w:tc>
      </w:tr>
      <w:tr>
        <w:trPr>
          <w:trHeight w:val="176"/>
        </w:trPr>
        <w:tc>
          <w:tcPr>
            <w:tcW w:w="106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(0.80)</w:t>
            </w:r>
          </w:p>
        </w:tc>
      </w:tr>
      <w:tr>
        <w:trPr>
          <w:trHeight w:val="236"/>
        </w:trPr>
        <w:tc>
          <w:tcPr>
            <w:tcW w:w="1060" w:type="dxa"/>
            <w:vAlign w:val="bottom"/>
            <w:tcBorders>
              <w:top w:val="single" w:sz="8" w:color="auto"/>
            </w:tcBorders>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20"/>
                <w:szCs w:val="20"/>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28.13%</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6,850,667</w:t>
            </w:r>
          </w:p>
        </w:tc>
        <w:tc>
          <w:tcPr>
            <w:tcW w:w="100" w:type="dxa"/>
            <w:vAlign w:val="bottom"/>
          </w:tcPr>
          <w:p>
            <w:pPr>
              <w:spacing w:after="0"/>
              <w:rPr>
                <w:sz w:val="18"/>
                <w:szCs w:val="18"/>
                <w:color w:val="auto"/>
              </w:rPr>
            </w:pPr>
          </w:p>
        </w:tc>
      </w:tr>
      <w:tr>
        <w:trPr>
          <w:trHeight w:val="432"/>
        </w:trPr>
        <w:tc>
          <w:tcPr>
            <w:tcW w:w="10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1.16%</w:t>
            </w:r>
          </w:p>
        </w:tc>
      </w:tr>
      <w:tr>
        <w:trPr>
          <w:trHeight w:val="365"/>
        </w:trPr>
        <w:tc>
          <w:tcPr>
            <w:tcW w:w="10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1.61%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2.77%</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0.34%</w:t>
            </w: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92,072,105</w:t>
            </w:r>
          </w:p>
        </w:tc>
        <w:tc>
          <w:tcPr>
            <w:tcW w:w="100" w:type="dxa"/>
            <w:vAlign w:val="bottom"/>
          </w:tcPr>
          <w:p>
            <w:pPr>
              <w:spacing w:after="0"/>
              <w:rPr>
                <w:sz w:val="18"/>
                <w:szCs w:val="18"/>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7,550,877</w:t>
            </w:r>
          </w:p>
        </w:tc>
        <w:tc>
          <w:tcPr>
            <w:tcW w:w="100" w:type="dxa"/>
            <w:vAlign w:val="bottom"/>
          </w:tcPr>
          <w:p>
            <w:pPr>
              <w:spacing w:after="0"/>
              <w:rPr>
                <w:sz w:val="18"/>
                <w:szCs w:val="18"/>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color w:val="auto"/>
              </w:rPr>
              <w:t>1.11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37.53%</w:t>
            </w:r>
          </w:p>
        </w:tc>
      </w:tr>
    </w:tbl>
    <w:p>
      <w:pPr>
        <w:spacing w:after="0" w:line="124" w:lineRule="exact"/>
        <w:rPr>
          <w:sz w:val="20"/>
          <w:szCs w:val="20"/>
          <w:color w:val="auto"/>
        </w:rPr>
      </w:pPr>
    </w:p>
    <w:p>
      <w:pPr>
        <w:sectPr>
          <w:pgSz w:w="11900" w:h="16838" w:orient="portrait"/>
          <w:cols w:equalWidth="0" w:num="2">
            <w:col w:w="4220" w:space="720"/>
            <w:col w:w="6320"/>
          </w:cols>
          <w:pgMar w:left="240" w:top="459" w:right="399" w:bottom="1440" w:gutter="0" w:footer="0" w:header="0"/>
          <w:type w:val="continuous"/>
        </w:sectPr>
      </w:pPr>
    </w:p>
    <w:p>
      <w:pPr>
        <w:ind w:left="500" w:hanging="492"/>
        <w:spacing w:after="0"/>
        <w:tabs>
          <w:tab w:leader="none" w:pos="5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ind w:left="500" w:hanging="492"/>
        <w:spacing w:after="0" w:line="221" w:lineRule="auto"/>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both recurring and non-recurring expenses such as debt issuance costs and organizational expenses.</w:t>
      </w:r>
    </w:p>
    <w:p>
      <w:pPr>
        <w:ind w:left="500" w:hanging="492"/>
        <w:spacing w:after="0" w:line="221" w:lineRule="auto"/>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Per share data are calculated based on the weighted average shares outstanding from the initial public offering date of March 4, 2011 to September 30, 2011.</w:t>
      </w:r>
    </w:p>
    <w:p>
      <w:pPr>
        <w:ind w:left="500" w:hanging="492"/>
        <w:spacing w:after="0"/>
        <w:tabs>
          <w:tab w:leader="none" w:pos="5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Distributions are determined based on taxable income calculated in accordance with income tax regulations which may differ from amounts determined under GAAP.</w:t>
      </w:r>
    </w:p>
    <w:p>
      <w:pPr>
        <w:spacing w:after="0" w:line="10" w:lineRule="exact"/>
        <w:rPr>
          <w:rFonts w:ascii="Arial" w:cs="Arial" w:eastAsia="Arial" w:hAnsi="Arial"/>
          <w:sz w:val="12"/>
          <w:szCs w:val="12"/>
          <w:color w:val="auto"/>
        </w:rPr>
      </w:pPr>
    </w:p>
    <w:p>
      <w:pPr>
        <w:ind w:left="500" w:hanging="492"/>
        <w:spacing w:after="0"/>
        <w:tabs>
          <w:tab w:leader="none" w:pos="5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Total return is based on the change in market price per share during the period and takes into account distributions, if any, reinvested in accordance with our dividend reinvestment plan.</w:t>
      </w:r>
    </w:p>
    <w:p>
      <w:pPr>
        <w:spacing w:after="0" w:line="10" w:lineRule="exact"/>
        <w:rPr>
          <w:rFonts w:ascii="Arial" w:cs="Arial" w:eastAsia="Arial" w:hAnsi="Arial"/>
          <w:sz w:val="12"/>
          <w:szCs w:val="12"/>
          <w:color w:val="auto"/>
        </w:rPr>
      </w:pPr>
    </w:p>
    <w:p>
      <w:pPr>
        <w:ind w:left="500" w:hanging="492"/>
        <w:spacing w:after="0"/>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Excluding debt issuance cost the ratio would be 0.16%.</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60"/>
          </w:cols>
          <w:pgMar w:left="240" w:top="459" w:right="39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71" w:lineRule="exact"/>
        <w:rPr>
          <w:sz w:val="20"/>
          <w:szCs w:val="20"/>
          <w:color w:val="auto"/>
        </w:rPr>
      </w:pPr>
    </w:p>
    <w:p>
      <w:pPr>
        <w:ind w:right="340" w:firstLine="456"/>
        <w:spacing w:after="0" w:line="230" w:lineRule="auto"/>
        <w:rPr>
          <w:sz w:val="20"/>
          <w:szCs w:val="20"/>
          <w:color w:val="auto"/>
        </w:rPr>
      </w:pPr>
      <w:r>
        <w:rPr>
          <w:rFonts w:ascii="Arial" w:cs="Arial" w:eastAsia="Arial" w:hAnsi="Arial"/>
          <w:sz w:val="14"/>
          <w:szCs w:val="14"/>
          <w:color w:val="auto"/>
        </w:rPr>
        <w:t>On June 23, 2011, Funding I entered into a five-year senior secured revolving credit facility with the Lender, an asset-backed commercial paper conduit administered by STRH. The Credit Facility allows Funding I to borrow up to $100.0 million and contains an accordion feature whereby the Credit Facility can be expanded to $600.0 million, subject to satisfaction of certain conditions. As of September 30, 2011, Funding I had $24.7 million of outstanding borrowings under the Credit Facility, carried an interest rate of 2.53% excluding the 0.50% undrawn commitment fee and had $75.3 million available subject to restrictions and covenants.</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the LIBOR plus 225 basis points, and after the revolving period, the rate sets to LIBOR plus 425 basis points for the remaining or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For example, we must maintain a weighted average loan life of no more than 6 years and cannot have more than 10% of Funding I’s assets in a single portfolio company.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Any violations of these and other covenants could result in the early amortization of the Credit Facility and further limit advances available under it. For a complete list of such covenants, see our report on Form 8-K, filed June 29, 2011.</w:t>
      </w:r>
    </w:p>
    <w:p>
      <w:pPr>
        <w:spacing w:after="0" w:line="120"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In accordance with the 1940 Act, with certain limited exceptions, the Company is only allowed to borrow amounts such that its asset coverage, as defined in the 1940 Act, is at least 200% after such borrowing. As of September 30, 2011 our asset coverage for borrowed amounts was 474%.</w:t>
      </w:r>
    </w:p>
    <w:p>
      <w:pPr>
        <w:spacing w:after="0" w:line="13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own 100% of the equity interest in Funding I and will treat the indebtedness of Funding I as our leverage. We also transfered certain loans and debt securities we originated or acquired and may do so again , to Funding I through a Purchase and Contribution Agreement. Funding I may and has originated or acquired loans, consistent with PenantPark Floating Rate Capital Ltd.’s investment objectives. The structure of the financing, including organizing Funding I as a special purpose, bankruptcy-remote entity and selling assets from PennantPark Floating Rate Capital Ltd. to Funding I renders such assets generally unavailable to creditors of PennantPark Floating Rate Capital Ltd. and is intended to protect the Lender from credit and bankruptcy risks.</w:t>
      </w:r>
    </w:p>
    <w:p>
      <w:pPr>
        <w:spacing w:after="0" w:line="117"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39"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Our equity interest in Funding I is subordinate to the secured and unsecured creditors, known or unknown, of Funding I including the Lender. Consequently, to the extent that the value of Funding I’s portfolio of loan investments is reduced as a result of conditions in the credit markets, defaulted loans, capital losses in excess of gains on the underlying assets, prepayments or changes in interest rates, the return on our investment in Funding I could be reduced. Accordingly, our investment in Funding I is subject to loss of principal.</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In the event that we fail to receive cash from Funding I, we could be unable to make distributions to our stockholders in amounts sufficient to maintain our status as a RIC, or at all. We also could be forced to sell investments in portfolio companies at less than their fair value in order to continue making such distributions.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subordinated debt investments.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right="180" w:firstLine="799"/>
        <w:spacing w:after="0" w:line="288" w:lineRule="auto"/>
        <w:rPr>
          <w:sz w:val="20"/>
          <w:szCs w:val="20"/>
          <w:color w:val="auto"/>
        </w:rPr>
      </w:pPr>
      <w:r>
        <w:rPr>
          <w:rFonts w:ascii="Arial" w:cs="Arial" w:eastAsia="Arial" w:hAnsi="Arial"/>
          <w:sz w:val="12"/>
          <w:szCs w:val="12"/>
          <w:color w:val="auto"/>
        </w:rPr>
        <w:t>We have reviewed the accompanying consolidated statement of assets and liabilities of PennantPark Floating Rate Capital Ltd. and its Subsidiary (collectively referred to as the “Company”), including the consolidated schedules of investments, as of March 31, 2012, the consolidated statements of operations for the three and six months ended March 31, 2012, and the changes in net assets and cash flows for the six months ended March 31, 2012. These interim consolidated financial statements are the responsibility of the Company’s management.</w:t>
      </w:r>
    </w:p>
    <w:p>
      <w:pPr>
        <w:spacing w:after="0" w:line="111"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39" w:lineRule="exact"/>
        <w:rPr>
          <w:sz w:val="20"/>
          <w:szCs w:val="20"/>
          <w:color w:val="auto"/>
        </w:rPr>
      </w:pPr>
    </w:p>
    <w:p>
      <w:pPr>
        <w:jc w:val="both"/>
        <w:ind w:firstLine="799"/>
        <w:spacing w:after="0" w:line="239" w:lineRule="auto"/>
        <w:rPr>
          <w:sz w:val="20"/>
          <w:szCs w:val="20"/>
          <w:color w:val="auto"/>
        </w:rPr>
      </w:pPr>
      <w:r>
        <w:rPr>
          <w:rFonts w:ascii="Arial" w:cs="Arial" w:eastAsia="Arial" w:hAnsi="Arial"/>
          <w:sz w:val="14"/>
          <w:szCs w:val="14"/>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9" w:lineRule="exact"/>
        <w:rPr>
          <w:sz w:val="20"/>
          <w:szCs w:val="20"/>
          <w:color w:val="auto"/>
        </w:rPr>
      </w:pPr>
    </w:p>
    <w:p>
      <w:pPr>
        <w:jc w:val="both"/>
        <w:ind w:right="20" w:firstLine="799"/>
        <w:spacing w:after="0" w:line="288" w:lineRule="auto"/>
        <w:rPr>
          <w:sz w:val="20"/>
          <w:szCs w:val="20"/>
          <w:color w:val="auto"/>
        </w:rPr>
      </w:pPr>
      <w:r>
        <w:rPr>
          <w:rFonts w:ascii="Arial" w:cs="Arial" w:eastAsia="Arial" w:hAnsi="Arial"/>
          <w:sz w:val="12"/>
          <w:szCs w:val="12"/>
          <w:color w:val="auto"/>
        </w:rPr>
        <w:t>We have previously audited, in accordance with standards of the Public Company Accounting Oversight Board (United States), the consolidated statement of assets and liabilities of the Company, including the consolidated schedule of investments, as of September 30, 2011, and the consolidated statement of operations, changes in net assets, and cash flows for the period March 4, 2011 (commencement of operations) to September 30, 2011; and in our report dated November 17, 2011, we expressed an unqualified opinion on those consolidated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 cy="14605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2"/>
                <w:szCs w:val="12"/>
                <w:color w:val="auto"/>
              </w:rPr>
            </w:pP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(cost—$146,227,958 and $114,829,621,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146,188,132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110,724,241</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3,849,360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732,695</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151,174,164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121,075,260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479,547</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2,161,880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2,323,250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(cost—$47,800,000 and $24,650,000, respectively, See Notes 5 and 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47,561,000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24,650,000</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342,495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Performance-based incentive fees payable (See Note 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175,740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386,592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54,451,859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29,003,155</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904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6,851</w:t>
            </w: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97,251,174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97,251,174</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(1,452,769)</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(1,392,528)</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(39,826)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(4,105,380)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96,722,305</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92,072,105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151,174,164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121,075,260</w:t>
            </w:r>
          </w:p>
        </w:tc>
        <w:tc>
          <w:tcPr>
            <w:tcW w:w="100" w:type="dxa"/>
            <w:vAlign w:val="bottom"/>
            <w:shd w:val="clear" w:color="auto" w:fill="CCEEFF"/>
          </w:tcPr>
          <w:p>
            <w:pPr>
              <w:spacing w:after="0"/>
              <w:rPr>
                <w:sz w:val="18"/>
                <w:szCs w:val="18"/>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2"/>
              </w:rPr>
              <w:t>March 31, 2012</w:t>
            </w: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2,943,730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370,352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Performance-base incentive fees payable (Note 3)</w:t>
            </w:r>
          </w:p>
        </w:tc>
        <w:tc>
          <w:tcPr>
            <w:tcW w:w="12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175,740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9)</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342,496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149,624</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360,618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1,398,830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2,490,959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1,544,900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on investments and Credit Facility:</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95,712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change in unrealized depreciation 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2,996,463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Credit Facility (appreciation) depreciation (See Note 5)</w:t>
            </w:r>
          </w:p>
        </w:tc>
        <w:tc>
          <w:tcPr>
            <w:tcW w:w="120" w:type="dxa"/>
            <w:vAlign w:val="bottom"/>
          </w:tcPr>
          <w:p>
            <w:pPr>
              <w:spacing w:after="0"/>
              <w:rPr>
                <w:sz w:val="18"/>
                <w:szCs w:val="18"/>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(112,000)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change in unrealized depreciation on investments and Credit Facility</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2,884,463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realized and unrealized gain from investments and Credit Facility</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2,980,175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4,710,441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4,525,075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jc w:val="center"/>
              <w:ind w:left="2276"/>
              <w:spacing w:after="0"/>
              <w:rPr>
                <w:sz w:val="20"/>
                <w:szCs w:val="20"/>
                <w:color w:val="auto"/>
              </w:rPr>
            </w:pPr>
            <w:r>
              <w:rPr>
                <w:rFonts w:ascii="Arial" w:cs="Arial" w:eastAsia="Arial" w:hAnsi="Arial"/>
                <w:sz w:val="14"/>
                <w:szCs w:val="14"/>
                <w:b w:val="1"/>
                <w:bCs w:val="1"/>
                <w:color w:val="auto"/>
                <w:w w:val="96"/>
              </w:rPr>
              <w:t>PENNANTPARK FLOATING RATE CAPITAL LTD. AND SUBSIDIARY</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040" w:type="dxa"/>
            <w:vAlign w:val="bottom"/>
          </w:tcPr>
          <w:p>
            <w:pPr>
              <w:jc w:val="center"/>
              <w:ind w:left="2256"/>
              <w:spacing w:after="0" w:line="149" w:lineRule="exact"/>
              <w:rPr>
                <w:sz w:val="20"/>
                <w:szCs w:val="20"/>
                <w:color w:val="auto"/>
              </w:rPr>
            </w:pPr>
            <w:r>
              <w:rPr>
                <w:rFonts w:ascii="Arial" w:cs="Arial" w:eastAsia="Arial" w:hAnsi="Arial"/>
                <w:sz w:val="14"/>
                <w:szCs w:val="14"/>
                <w:b w:val="1"/>
                <w:bCs w:val="1"/>
                <w:color w:val="auto"/>
                <w:w w:val="95"/>
              </w:rPr>
              <w:t>CONSOLIDATED STATEMENT OF CHANGES IN NET ASSETS</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9040" w:type="dxa"/>
            <w:vAlign w:val="bottom"/>
          </w:tcPr>
          <w:p>
            <w:pPr>
              <w:jc w:val="center"/>
              <w:ind w:left="2256"/>
              <w:spacing w:after="0"/>
              <w:rPr>
                <w:sz w:val="20"/>
                <w:szCs w:val="20"/>
                <w:color w:val="auto"/>
              </w:rPr>
            </w:pPr>
            <w:r>
              <w:rPr>
                <w:rFonts w:ascii="Arial" w:cs="Arial" w:eastAsia="Arial" w:hAnsi="Arial"/>
                <w:sz w:val="14"/>
                <w:szCs w:val="14"/>
                <w:b w:val="1"/>
                <w:bCs w:val="1"/>
                <w:color w:val="auto"/>
                <w:w w:val="89"/>
              </w:rPr>
              <w:t>(Unaudited)</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690"/>
        </w:trPr>
        <w:tc>
          <w:tcPr>
            <w:tcW w:w="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 Ended</w:t>
            </w: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March 31, 2012</w:t>
            </w:r>
          </w:p>
        </w:tc>
      </w:tr>
      <w:tr>
        <w:trPr>
          <w:trHeight w:val="196"/>
        </w:trPr>
        <w:tc>
          <w:tcPr>
            <w:tcW w:w="20" w:type="dxa"/>
            <w:vAlign w:val="bottom"/>
          </w:tcPr>
          <w:p>
            <w:pPr>
              <w:spacing w:after="0"/>
              <w:rPr>
                <w:sz w:val="17"/>
                <w:szCs w:val="17"/>
                <w:color w:val="auto"/>
              </w:rPr>
            </w:pPr>
          </w:p>
        </w:tc>
        <w:tc>
          <w:tcPr>
            <w:tcW w:w="9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1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3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2,919,799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405,887</w:t>
            </w: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change in unrealized depreciation on investments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4,065,554</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7,630,240</w:t>
            </w: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(2,980,040)</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1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4,650,200</w:t>
            </w:r>
          </w:p>
        </w:tc>
        <w:tc>
          <w:tcPr>
            <w:tcW w:w="100" w:type="dxa"/>
            <w:vAlign w:val="bottom"/>
            <w:shd w:val="clear" w:color="auto" w:fill="CCEEFF"/>
          </w:tcPr>
          <w:p>
            <w:pPr>
              <w:spacing w:after="0"/>
              <w:rPr>
                <w:sz w:val="18"/>
                <w:szCs w:val="18"/>
                <w:color w:val="auto"/>
              </w:rPr>
            </w:pP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92,072,105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3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96,722,305</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(1,452,769)</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left="1920"/>
        <w:spacing w:after="0" w:line="223" w:lineRule="auto"/>
        <w:rPr>
          <w:sz w:val="20"/>
          <w:szCs w:val="20"/>
          <w:color w:val="auto"/>
        </w:rPr>
      </w:pPr>
      <w:r>
        <w:rPr>
          <w:rFonts w:ascii="Arial" w:cs="Arial" w:eastAsia="Arial" w:hAnsi="Arial"/>
          <w:sz w:val="14"/>
          <w:szCs w:val="14"/>
          <w:b w:val="1"/>
          <w:bCs w:val="1"/>
          <w:color w:val="auto"/>
        </w:rPr>
        <w:t>CONSOLIDATED STATEMENT OF CASH FLOWS</w:t>
      </w:r>
    </w:p>
    <w:p>
      <w:pPr>
        <w:jc w:val="center"/>
        <w:ind w:left="190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increase in net assets resulting from operations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Adjustments to reconcile net increase in net assets resulting from operations to net cash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Net realized gain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Proceeds from dispositions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payables for investments purchased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payable on Credit Facility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performance-based incentive fees payable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by operating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paid to stockholders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Borrowings under Credit Facility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Repayments under Credit Facility (See Note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Six Months Ended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March 31, 2012</w:t>
      </w:r>
    </w:p>
    <w:p>
      <w:pPr>
        <w:spacing w:after="0" w:line="195" w:lineRule="exact"/>
        <w:rPr>
          <w:sz w:val="20"/>
          <w:szCs w:val="20"/>
          <w:color w:val="auto"/>
        </w:rPr>
      </w:pPr>
    </w:p>
    <w:p>
      <w:pPr>
        <w:ind w:left="360" w:hanging="355"/>
        <w:spacing w:after="0"/>
        <w:tabs>
          <w:tab w:leader="none" w:pos="3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7,630,240</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(4,065,554)</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(239,000)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(405,887)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(333,296)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(72,216,125)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(47,292)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41,604,263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2,467,500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(353,235)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112,632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1,950,000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(161,370)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192,249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103,920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175,740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242,912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6775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(23,342,303)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775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(2,945,787)</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54,050,000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(30,900,000)</w:t>
      </w:r>
    </w:p>
    <w:p>
      <w:pPr>
        <w:spacing w:after="0" w:line="9" w:lineRule="exact"/>
        <w:rPr>
          <w:sz w:val="20"/>
          <w:szCs w:val="20"/>
          <w:color w:val="auto"/>
        </w:rPr>
      </w:pPr>
    </w:p>
    <w:p>
      <w:pPr>
        <w:sectPr>
          <w:pgSz w:w="11900" w:h="16838" w:orient="portrait"/>
          <w:cols w:equalWidth="0" w:num="2">
            <w:col w:w="9520" w:space="720"/>
            <w:col w:w="11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8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20,204,213</w:t>
            </w:r>
          </w:p>
        </w:tc>
        <w:tc>
          <w:tcPr>
            <w:tcW w:w="100" w:type="dxa"/>
            <w:vAlign w:val="bottom"/>
            <w:shd w:val="clear" w:color="auto" w:fill="CCEEFF"/>
          </w:tcPr>
          <w:p>
            <w:pPr>
              <w:spacing w:after="0"/>
              <w:rPr>
                <w:sz w:val="19"/>
                <w:szCs w:val="19"/>
                <w:color w:val="auto"/>
              </w:rPr>
            </w:pPr>
          </w:p>
        </w:tc>
      </w:tr>
      <w:tr>
        <w:trPr>
          <w:trHeight w:val="221"/>
        </w:trPr>
        <w:tc>
          <w:tcPr>
            <w:tcW w:w="8680" w:type="dxa"/>
            <w:vAlign w:val="bottom"/>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(3,138,090)</w:t>
            </w: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3,849,360</w:t>
            </w:r>
          </w:p>
        </w:tc>
      </w:tr>
      <w:tr>
        <w:trPr>
          <w:trHeight w:val="20"/>
        </w:trPr>
        <w:tc>
          <w:tcPr>
            <w:tcW w:w="8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429,227</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paid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20"/>
          </w:cols>
          <w:pgMar w:left="240" w:top="459" w:right="2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center"/>
              <w:ind w:right="94"/>
              <w:spacing w:after="0"/>
              <w:rPr>
                <w:sz w:val="20"/>
                <w:szCs w:val="20"/>
                <w:color w:val="auto"/>
              </w:rPr>
            </w:pPr>
            <w:r>
              <w:rPr>
                <w:rFonts w:ascii="Arial" w:cs="Arial" w:eastAsia="Arial" w:hAnsi="Arial"/>
                <w:sz w:val="14"/>
                <w:szCs w:val="14"/>
                <w:b w:val="1"/>
                <w:bCs w:val="1"/>
                <w:color w:val="auto"/>
                <w:w w:val="83"/>
              </w:rPr>
              <w:t>Basis Point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4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Current</w:t>
            </w:r>
          </w:p>
        </w:tc>
        <w:tc>
          <w:tcPr>
            <w:tcW w:w="104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84"/>
              </w:rPr>
              <w:t>Above</w:t>
            </w:r>
          </w:p>
        </w:tc>
        <w:tc>
          <w:tcPr>
            <w:tcW w:w="84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400" w:type="dxa"/>
            <w:vAlign w:val="bottom"/>
          </w:tcPr>
          <w:p>
            <w:pPr>
              <w:jc w:val="center"/>
              <w:ind w:left="492"/>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Coupon</w:t>
            </w:r>
          </w:p>
        </w:tc>
        <w:tc>
          <w:tcPr>
            <w:tcW w:w="1040" w:type="dxa"/>
            <w:vAlign w:val="bottom"/>
          </w:tcPr>
          <w:p>
            <w:pPr>
              <w:jc w:val="center"/>
              <w:ind w:right="94"/>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5"/>
              </w:rPr>
              <w:t xml:space="preserve">Value </w:t>
            </w:r>
            <w:r>
              <w:rPr>
                <w:rFonts w:ascii="Arial" w:cs="Arial" w:eastAsia="Arial" w:hAnsi="Arial"/>
                <w:sz w:val="20"/>
                <w:szCs w:val="20"/>
                <w:b w:val="1"/>
                <w:bCs w:val="1"/>
                <w:color w:val="auto"/>
                <w:w w:val="95"/>
                <w:vertAlign w:val="superscript"/>
              </w:rPr>
              <w:t>(2)</w:t>
            </w:r>
          </w:p>
        </w:tc>
      </w:tr>
      <w:tr>
        <w:trPr>
          <w:trHeight w:val="142"/>
        </w:trPr>
        <w:tc>
          <w:tcPr>
            <w:tcW w:w="20" w:type="dxa"/>
            <w:vAlign w:val="bottom"/>
          </w:tcPr>
          <w:p>
            <w:pPr>
              <w:spacing w:after="0"/>
              <w:rPr>
                <w:sz w:val="12"/>
                <w:szCs w:val="12"/>
                <w:color w:val="auto"/>
              </w:rPr>
            </w:pPr>
          </w:p>
        </w:tc>
        <w:tc>
          <w:tcPr>
            <w:tcW w:w="650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Companies—151.1%</w:t>
            </w:r>
            <w:r>
              <w:rPr>
                <w:rFonts w:ascii="Arial" w:cs="Arial" w:eastAsia="Arial" w:hAnsi="Arial"/>
                <w:sz w:val="16"/>
                <w:szCs w:val="16"/>
                <w:b w:val="1"/>
                <w:bCs w:val="1"/>
                <w:color w:val="auto"/>
                <w:vertAlign w:val="superscript"/>
              </w:rPr>
              <w:t>(3),(4)</w:t>
            </w:r>
          </w:p>
        </w:tc>
        <w:tc>
          <w:tcPr>
            <w:tcW w:w="9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Debt—130.6%</w:t>
            </w:r>
          </w:p>
        </w:tc>
        <w:tc>
          <w:tcPr>
            <w:tcW w:w="1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03/25/2015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L+800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785,714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787,760</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746,429</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10/06/2016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2,947,919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2,970,056</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07/29/2017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990,663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999,975</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Blue Coat Systems,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02/15/2018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3,921,389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3,980,000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08/17/2017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7.27%</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L+575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3,980,000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3,907,844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3,960,100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DCS Business Services,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03/19/2018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P+475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2,955,160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2,955,000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12/01/2016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990,557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DS Waters of America,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08/29/2017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L+900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3,920,851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3,935,000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07/28/2017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6.75%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P+350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975,000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970,472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965,250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Fundtech (US FT HOLDCO,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11/30/2017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2,905,553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2,986,889</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12/14/2017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2,992,500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2,935,337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2,994,370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05/27/2016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6.99%</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2,953,133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2,932,838</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05/01/2016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10.00%</w:t>
            </w:r>
          </w:p>
        </w:tc>
        <w:tc>
          <w:tcPr>
            <w:tcW w:w="1040" w:type="dxa"/>
            <w:vAlign w:val="bottom"/>
            <w:shd w:val="clear" w:color="auto" w:fill="CCEEFF"/>
          </w:tcPr>
          <w:p>
            <w:pPr>
              <w:jc w:val="right"/>
              <w:ind w:right="7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04/01/2019</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2,940,000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04/01/2017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11.50%</w:t>
            </w:r>
          </w:p>
        </w:tc>
        <w:tc>
          <w:tcPr>
            <w:tcW w:w="1040" w:type="dxa"/>
            <w:vAlign w:val="bottom"/>
            <w:shd w:val="clear" w:color="auto" w:fill="CCEEFF"/>
          </w:tcPr>
          <w:p>
            <w:pPr>
              <w:jc w:val="right"/>
              <w:ind w:right="7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1,960,101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Insight Global,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08/16/2017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L+500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988,769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984,109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971,465</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400" w:type="dxa"/>
            <w:vAlign w:val="bottom"/>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5"/>
              </w:rPr>
              <w:t>08/07/2014</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3.62%</w:t>
            </w:r>
          </w:p>
        </w:tc>
        <w:tc>
          <w:tcPr>
            <w:tcW w:w="1040" w:type="dxa"/>
            <w:vAlign w:val="bottom"/>
            <w:shd w:val="clear" w:color="auto" w:fill="CCEEFF"/>
          </w:tcPr>
          <w:p>
            <w:pPr>
              <w:jc w:val="right"/>
              <w:ind w:right="74"/>
              <w:spacing w:after="0" w:line="138" w:lineRule="exact"/>
              <w:rPr>
                <w:sz w:val="20"/>
                <w:szCs w:val="20"/>
                <w:color w:val="auto"/>
              </w:rPr>
            </w:pPr>
            <w:r>
              <w:rPr>
                <w:rFonts w:ascii="Arial" w:cs="Arial" w:eastAsia="Arial" w:hAnsi="Arial"/>
                <w:sz w:val="10"/>
                <w:szCs w:val="10"/>
                <w:color w:val="auto"/>
              </w:rPr>
              <w:t>L+338</w:t>
            </w:r>
            <w:r>
              <w:rPr>
                <w:rFonts w:ascii="Arial" w:cs="Arial" w:eastAsia="Arial" w:hAnsi="Arial"/>
                <w:sz w:val="15"/>
                <w:szCs w:val="15"/>
                <w:color w:val="auto"/>
                <w:vertAlign w:val="superscript"/>
              </w:rPr>
              <w:t>(9)</w:t>
            </w:r>
          </w:p>
        </w:tc>
        <w:tc>
          <w:tcPr>
            <w:tcW w:w="84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6,945,468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6,565,294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6,250,920</w:t>
            </w: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K2 Pure Solutions NoCal, L.P.</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09/10/2015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P+675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5,476,250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5,519,390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5,421,487</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05/31/2014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8.50%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L+700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4,962,500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4,848,837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4,881,859</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Medpace Intermediateco,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06/17/2017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L+500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1,985,000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1,958,287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1,925,450</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400" w:type="dxa"/>
            <w:vAlign w:val="bottom"/>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5"/>
              </w:rPr>
              <w:t>05/06/2018</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9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38"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3,970,000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3,935,345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3,870,750</w:t>
            </w: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Production</w:t>
            </w:r>
          </w:p>
        </w:tc>
        <w:tc>
          <w:tcPr>
            <w:tcW w:w="9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12/23/2016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L+700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2,928,463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2,985,000</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400" w:type="dxa"/>
            <w:vAlign w:val="bottom"/>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5"/>
              </w:rPr>
              <w:t>08/01/2014</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9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5.00%</w:t>
            </w:r>
          </w:p>
        </w:tc>
        <w:tc>
          <w:tcPr>
            <w:tcW w:w="1040" w:type="dxa"/>
            <w:vAlign w:val="bottom"/>
            <w:shd w:val="clear" w:color="auto" w:fill="CCEEFF"/>
          </w:tcPr>
          <w:p>
            <w:pPr>
              <w:jc w:val="right"/>
              <w:ind w:right="214"/>
              <w:spacing w:after="0" w:line="138"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5,496,951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4,805,359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4,358,626</w:t>
            </w:r>
          </w:p>
        </w:tc>
        <w:tc>
          <w:tcPr>
            <w:tcW w:w="220" w:type="dxa"/>
            <w:vAlign w:val="bottom"/>
            <w:shd w:val="clear" w:color="auto" w:fill="CCEEFF"/>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Production</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1.00%)</w:t>
            </w:r>
          </w:p>
        </w:tc>
        <w:tc>
          <w:tcPr>
            <w:tcW w:w="10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Potter’s Holdings II, L.P.</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05/08/2017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1,985,000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1,968,064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1,980,038</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07/06/2017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992,500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984,001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976,372</w:t>
            </w:r>
          </w:p>
        </w:tc>
        <w:tc>
          <w:tcPr>
            <w:tcW w:w="22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Renaissance Learning, Inc.</w:t>
            </w:r>
          </w:p>
        </w:tc>
        <w:tc>
          <w:tcPr>
            <w:tcW w:w="1400" w:type="dxa"/>
            <w:vAlign w:val="bottom"/>
          </w:tcPr>
          <w:p>
            <w:pPr>
              <w:jc w:val="center"/>
              <w:ind w:left="492"/>
              <w:spacing w:after="0" w:line="138" w:lineRule="exact"/>
              <w:rPr>
                <w:sz w:val="20"/>
                <w:szCs w:val="20"/>
                <w:color w:val="auto"/>
              </w:rPr>
            </w:pPr>
            <w:r>
              <w:rPr>
                <w:rFonts w:ascii="Arial" w:cs="Arial" w:eastAsia="Arial" w:hAnsi="Arial"/>
                <w:sz w:val="14"/>
                <w:szCs w:val="14"/>
                <w:color w:val="auto"/>
                <w:w w:val="85"/>
              </w:rPr>
              <w:t>10/19/2017</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40" w:type="dxa"/>
            <w:vAlign w:val="bottom"/>
          </w:tcPr>
          <w:p>
            <w:pPr>
              <w:jc w:val="right"/>
              <w:ind w:right="92"/>
              <w:spacing w:after="0" w:line="138" w:lineRule="exact"/>
              <w:rPr>
                <w:sz w:val="20"/>
                <w:szCs w:val="20"/>
                <w:color w:val="auto"/>
              </w:rPr>
            </w:pPr>
            <w:r>
              <w:rPr>
                <w:rFonts w:ascii="Arial" w:cs="Arial" w:eastAsia="Arial" w:hAnsi="Arial"/>
                <w:sz w:val="14"/>
                <w:szCs w:val="14"/>
                <w:color w:val="auto"/>
              </w:rPr>
              <w:t>7.75%</w:t>
            </w:r>
          </w:p>
        </w:tc>
        <w:tc>
          <w:tcPr>
            <w:tcW w:w="1040" w:type="dxa"/>
            <w:vAlign w:val="bottom"/>
          </w:tcPr>
          <w:p>
            <w:pPr>
              <w:jc w:val="right"/>
              <w:ind w:right="214"/>
              <w:spacing w:after="0" w:line="138" w:lineRule="exact"/>
              <w:rPr>
                <w:sz w:val="20"/>
                <w:szCs w:val="20"/>
                <w:color w:val="auto"/>
              </w:rPr>
            </w:pPr>
            <w:r>
              <w:rPr>
                <w:rFonts w:ascii="Arial" w:cs="Arial" w:eastAsia="Arial" w:hAnsi="Arial"/>
                <w:sz w:val="14"/>
                <w:szCs w:val="14"/>
                <w:color w:val="auto"/>
              </w:rPr>
              <w:t>L+625</w:t>
            </w:r>
          </w:p>
        </w:tc>
        <w:tc>
          <w:tcPr>
            <w:tcW w:w="840" w:type="dxa"/>
            <w:vAlign w:val="bottom"/>
          </w:tcPr>
          <w:p>
            <w:pPr>
              <w:jc w:val="right"/>
              <w:ind w:right="72"/>
              <w:spacing w:after="0" w:line="138" w:lineRule="exact"/>
              <w:rPr>
                <w:sz w:val="20"/>
                <w:szCs w:val="20"/>
                <w:color w:val="auto"/>
              </w:rPr>
            </w:pPr>
            <w:r>
              <w:rPr>
                <w:rFonts w:ascii="Arial" w:cs="Arial" w:eastAsia="Arial" w:hAnsi="Arial"/>
                <w:sz w:val="14"/>
                <w:szCs w:val="14"/>
                <w:color w:val="auto"/>
              </w:rPr>
              <w:t>1,990,000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1,913,981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1,987,513</w:t>
            </w: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02/08/2018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3,990,000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3,911,459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Securus Technologies,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05/31/2017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2,950,706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2,935,318</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04/22/2017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2,952,842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2,947,725</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Tank Intermediate Holding Corp.</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04/15/2016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L+350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1,811,321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1,808,062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1,806,792</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01/29/2018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L+750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738,971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01/29/2018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L+1,200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1,875,000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1,821,164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1,875,000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04/28/2017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5.50%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1,990,000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1,972,905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1,975,075</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10/30/2017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997,500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959,847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996,253</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Unifrax I LLC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11/28/2018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2,992,500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2,934,992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3,018,610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06/19/2017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6.25%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2,952,122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2,783,963</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Healthworks Holding Company,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06/15/2016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2,952,966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2,932,838</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06/02/2017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5.75%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1,488,750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1,482,497</w:t>
            </w:r>
          </w:p>
        </w:tc>
        <w:tc>
          <w:tcPr>
            <w:tcW w:w="1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1,451,531</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Vantage Specialties,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02/09/2018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2,940,664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Viamedia Services Corp.</w:t>
            </w:r>
          </w:p>
        </w:tc>
        <w:tc>
          <w:tcPr>
            <w:tcW w:w="1400" w:type="dxa"/>
            <w:vAlign w:val="bottom"/>
          </w:tcPr>
          <w:p>
            <w:pPr>
              <w:jc w:val="center"/>
              <w:ind w:left="492"/>
              <w:spacing w:after="0" w:line="138" w:lineRule="exact"/>
              <w:rPr>
                <w:sz w:val="20"/>
                <w:szCs w:val="20"/>
                <w:color w:val="auto"/>
              </w:rPr>
            </w:pPr>
            <w:r>
              <w:rPr>
                <w:rFonts w:ascii="Arial" w:cs="Arial" w:eastAsia="Arial" w:hAnsi="Arial"/>
                <w:sz w:val="14"/>
                <w:szCs w:val="14"/>
                <w:color w:val="auto"/>
                <w:w w:val="85"/>
              </w:rPr>
              <w:t>04/19/2016</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7.00%</w:t>
            </w:r>
          </w:p>
        </w:tc>
        <w:tc>
          <w:tcPr>
            <w:tcW w:w="1040" w:type="dxa"/>
            <w:vAlign w:val="bottom"/>
          </w:tcPr>
          <w:p>
            <w:pPr>
              <w:jc w:val="right"/>
              <w:ind w:right="214"/>
              <w:spacing w:after="0" w:line="159"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72"/>
              <w:spacing w:after="0" w:line="159" w:lineRule="exact"/>
              <w:rPr>
                <w:sz w:val="20"/>
                <w:szCs w:val="20"/>
                <w:color w:val="auto"/>
              </w:rPr>
            </w:pPr>
            <w:r>
              <w:rPr>
                <w:rFonts w:ascii="Arial" w:cs="Arial" w:eastAsia="Arial" w:hAnsi="Arial"/>
                <w:sz w:val="14"/>
                <w:szCs w:val="14"/>
                <w:color w:val="auto"/>
              </w:rPr>
              <w:t>4,500,000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4,453,517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4,432,500</w:t>
            </w: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12/22/2016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7.75%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P+450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2,985,000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2,958,806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2,776,050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W3 CO.</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10/31/2017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Energy: Oil and Gas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L+625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1,995,000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1,919,750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1,975,050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 Pik,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08/10/2017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6.75%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L+525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3,482,500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3,450,900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3,473,794</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WCA Waste Corporation</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03/23/2017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L+425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990,037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1,002,500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Wound Care (National Healing Corporation)</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11/30/2017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8.25%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L+675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4,987,500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4,748,327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4,812,938</w:t>
            </w:r>
          </w:p>
        </w:tc>
        <w:tc>
          <w:tcPr>
            <w:tcW w:w="2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07/15/2016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11.38%</w:t>
            </w:r>
          </w:p>
        </w:tc>
        <w:tc>
          <w:tcPr>
            <w:tcW w:w="1040" w:type="dxa"/>
            <w:vAlign w:val="bottom"/>
          </w:tcPr>
          <w:p>
            <w:pPr>
              <w:jc w:val="right"/>
              <w:ind w:right="7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4,322,842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4,290,000</w:t>
            </w: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4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126,721,245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126,306,324</w:t>
            </w:r>
          </w:p>
        </w:tc>
        <w:tc>
          <w:tcPr>
            <w:tcW w:w="220" w:type="dxa"/>
            <w:vAlign w:val="bottom"/>
            <w:shd w:val="clear" w:color="auto" w:fill="CCEEFF"/>
          </w:tcPr>
          <w:p>
            <w:pPr>
              <w:spacing w:after="0"/>
              <w:rPr>
                <w:sz w:val="12"/>
                <w:szCs w:val="12"/>
                <w:color w:val="auto"/>
              </w:rPr>
            </w:pPr>
          </w:p>
        </w:tc>
      </w:tr>
      <w:tr>
        <w:trPr>
          <w:trHeight w:val="317"/>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ind w:left="1100"/>
              <w:spacing w:after="0"/>
              <w:rPr>
                <w:sz w:val="20"/>
                <w:szCs w:val="20"/>
                <w:color w:val="auto"/>
              </w:rPr>
            </w:pPr>
            <w:r>
              <w:rPr>
                <w:rFonts w:ascii="Arial" w:cs="Arial" w:eastAsia="Arial" w:hAnsi="Arial"/>
                <w:sz w:val="14"/>
                <w:szCs w:val="14"/>
                <w:color w:val="auto"/>
              </w:rPr>
              <w:t>F-27</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0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460" w:type="dxa"/>
            <w:vAlign w:val="bottom"/>
          </w:tcPr>
          <w:p>
            <w:pPr>
              <w:jc w:val="center"/>
              <w:ind w:left="512"/>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Coupon</w:t>
            </w:r>
          </w:p>
        </w:tc>
        <w:tc>
          <w:tcPr>
            <w:tcW w:w="100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(2)</w:t>
            </w:r>
          </w:p>
        </w:tc>
      </w:tr>
      <w:tr>
        <w:trPr>
          <w:trHeight w:val="142"/>
        </w:trPr>
        <w:tc>
          <w:tcPr>
            <w:tcW w:w="20" w:type="dxa"/>
            <w:vAlign w:val="bottom"/>
          </w:tcPr>
          <w:p>
            <w:pPr>
              <w:spacing w:after="0"/>
              <w:rPr>
                <w:sz w:val="12"/>
                <w:szCs w:val="12"/>
                <w:color w:val="auto"/>
              </w:rPr>
            </w:pPr>
          </w:p>
        </w:tc>
        <w:tc>
          <w:tcPr>
            <w:tcW w:w="3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Debt—7.4%</w:t>
            </w:r>
          </w:p>
        </w:tc>
        <w:tc>
          <w:tcPr>
            <w:tcW w:w="146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46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8"/>
              </w:rPr>
              <w:t>01/29/2018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10.50%</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L+900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$995,000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982,500</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2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460" w:type="dxa"/>
            <w:vAlign w:val="bottom"/>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5"/>
              </w:rPr>
              <w:t>11/06/2018</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11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10.25%</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L+875</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89"/>
              </w:rPr>
              <w:t>1,500,000</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1,485,491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1,406,250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Production</w:t>
            </w: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146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8"/>
              </w:rPr>
              <w:t>09/01/2018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1000" w:type="dxa"/>
            <w:vAlign w:val="bottom"/>
            <w:gridSpan w:val="2"/>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2,000,000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1,967,727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146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8"/>
              </w:rPr>
              <w:t>05/09/2018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Utilities: Water</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L+725</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991,449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w:t>
            </w:r>
          </w:p>
        </w:tc>
        <w:tc>
          <w:tcPr>
            <w:tcW w:w="146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8"/>
              </w:rPr>
              <w:t>05/15/2019</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9.13%</w:t>
            </w:r>
          </w:p>
        </w:tc>
        <w:tc>
          <w:tcPr>
            <w:tcW w:w="1000" w:type="dxa"/>
            <w:vAlign w:val="bottom"/>
            <w:gridSpan w:val="2"/>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1,522,500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4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6,939,667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7,136,250</w:t>
            </w:r>
          </w:p>
        </w:tc>
        <w:tc>
          <w:tcPr>
            <w:tcW w:w="60" w:type="dxa"/>
            <w:vAlign w:val="bottom"/>
            <w:shd w:val="clear" w:color="auto" w:fill="CCEEFF"/>
          </w:tcPr>
          <w:p>
            <w:pPr>
              <w:spacing w:after="0"/>
              <w:rPr>
                <w:sz w:val="12"/>
                <w:szCs w:val="12"/>
                <w:color w:val="auto"/>
              </w:rPr>
            </w:pPr>
          </w:p>
        </w:tc>
      </w:tr>
      <w:tr>
        <w:trPr>
          <w:trHeight w:val="156"/>
        </w:trPr>
        <w:tc>
          <w:tcPr>
            <w:tcW w:w="3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Subordinated Debt/Corporate Notes—12.6%</w:t>
            </w:r>
          </w:p>
        </w:tc>
        <w:tc>
          <w:tcPr>
            <w:tcW w:w="14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46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5"/>
              </w:rPr>
              <w:t>11/15/2015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Consumer Goods: Non-Durable</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11.63%</w:t>
            </w:r>
          </w:p>
        </w:tc>
        <w:tc>
          <w:tcPr>
            <w:tcW w:w="10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4,100,000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Document Technologies, Inc.</w:t>
            </w:r>
          </w:p>
        </w:tc>
        <w:tc>
          <w:tcPr>
            <w:tcW w:w="146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8"/>
              </w:rPr>
              <w:t>12/01/2017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13.00%</w:t>
            </w:r>
          </w:p>
        </w:tc>
        <w:tc>
          <w:tcPr>
            <w:tcW w:w="1000" w:type="dxa"/>
            <w:vAlign w:val="bottom"/>
            <w:gridSpan w:val="2"/>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Lonestar Intermediate Super Holdings, LLC</w:t>
            </w:r>
          </w:p>
        </w:tc>
        <w:tc>
          <w:tcPr>
            <w:tcW w:w="146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8"/>
              </w:rPr>
              <w:t>09/02/2019</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Services</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11.00%</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L+950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1,455,331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1,517,250</w:t>
            </w: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280" w:type="dxa"/>
            <w:vAlign w:val="bottom"/>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1460" w:type="dxa"/>
            <w:vAlign w:val="bottom"/>
          </w:tcPr>
          <w:p>
            <w:pPr>
              <w:jc w:val="center"/>
              <w:ind w:left="492"/>
              <w:spacing w:after="0" w:line="138" w:lineRule="exact"/>
              <w:rPr>
                <w:sz w:val="20"/>
                <w:szCs w:val="20"/>
                <w:color w:val="auto"/>
              </w:rPr>
            </w:pPr>
            <w:r>
              <w:rPr>
                <w:rFonts w:ascii="Arial" w:cs="Arial" w:eastAsia="Arial" w:hAnsi="Arial"/>
                <w:sz w:val="14"/>
                <w:szCs w:val="14"/>
                <w:color w:val="auto"/>
                <w:w w:val="88"/>
              </w:rPr>
              <w:t>07/31/2018</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85"/>
              </w:rPr>
              <w:t>Beverage, Food and Tobacco</w:t>
            </w:r>
          </w:p>
        </w:tc>
        <w:tc>
          <w:tcPr>
            <w:tcW w:w="11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14.00%</w:t>
            </w:r>
          </w:p>
        </w:tc>
        <w:tc>
          <w:tcPr>
            <w:tcW w:w="1000" w:type="dxa"/>
            <w:vAlign w:val="bottom"/>
            <w:gridSpan w:val="2"/>
          </w:tcPr>
          <w:p>
            <w:pPr>
              <w:ind w:left="44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(9)</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89"/>
              </w:rPr>
              <w:t>3,781,731</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3,712,668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3,781,730</w:t>
            </w:r>
          </w:p>
        </w:tc>
        <w:tc>
          <w:tcPr>
            <w:tcW w:w="6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(PIK 2.00%)</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(7)</w:t>
            </w:r>
          </w:p>
        </w:tc>
        <w:tc>
          <w:tcPr>
            <w:tcW w:w="146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8"/>
              </w:rPr>
              <w:t>07/31/2018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40"/>
              <w:spacing w:after="0" w:line="150"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2,206,000</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2,161,880</w:t>
            </w: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2,206,000</w:t>
            </w:r>
          </w:p>
        </w:tc>
        <w:tc>
          <w:tcPr>
            <w:tcW w:w="60" w:type="dxa"/>
            <w:vAlign w:val="bottom"/>
            <w:shd w:val="clear" w:color="auto" w:fill="CCEEFF"/>
          </w:tcPr>
          <w:p>
            <w:pPr>
              <w:spacing w:after="0"/>
              <w:rPr>
                <w:sz w:val="12"/>
                <w:szCs w:val="12"/>
                <w:color w:val="auto"/>
              </w:rPr>
            </w:pPr>
          </w:p>
        </w:tc>
      </w:tr>
      <w:tr>
        <w:trPr>
          <w:trHeight w:val="156"/>
        </w:trPr>
        <w:tc>
          <w:tcPr>
            <w:tcW w:w="3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12,065,596</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12,215,480</w:t>
            </w:r>
          </w:p>
        </w:tc>
        <w:tc>
          <w:tcPr>
            <w:tcW w:w="60" w:type="dxa"/>
            <w:vAlign w:val="bottom"/>
          </w:tcPr>
          <w:p>
            <w:pPr>
              <w:spacing w:after="0"/>
              <w:rPr>
                <w:sz w:val="13"/>
                <w:szCs w:val="13"/>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Above</w:t>
            </w:r>
          </w:p>
        </w:tc>
        <w:tc>
          <w:tcPr>
            <w:tcW w:w="58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Maturity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82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Preferred Equity/Partnership Interests—0.1% </w:t>
            </w:r>
            <w:r>
              <w:rPr>
                <w:rFonts w:ascii="Arial" w:cs="Arial" w:eastAsia="Arial" w:hAnsi="Arial"/>
                <w:sz w:val="16"/>
                <w:szCs w:val="16"/>
                <w:b w:val="1"/>
                <w:bCs w:val="1"/>
                <w:color w:val="auto"/>
                <w:vertAlign w:val="superscript"/>
              </w:rPr>
              <w:t>(8)</w:t>
            </w:r>
          </w:p>
        </w:tc>
        <w:tc>
          <w:tcPr>
            <w:tcW w:w="860" w:type="dxa"/>
            <w:vAlign w:val="bottom"/>
            <w:tcBorders>
              <w:top w:val="single" w:sz="8" w:color="auto"/>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86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19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72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12.50%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158</w:t>
            </w:r>
          </w:p>
        </w:tc>
        <w:tc>
          <w:tcPr>
            <w:tcW w:w="3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95,000</w:t>
            </w:r>
          </w:p>
        </w:tc>
        <w:tc>
          <w:tcPr>
            <w:tcW w:w="26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122,104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40" w:type="dxa"/>
            <w:vAlign w:val="bottom"/>
          </w:tcPr>
          <w:p>
            <w:pPr>
              <w:ind w:left="200"/>
              <w:spacing w:after="0" w:line="159" w:lineRule="exact"/>
              <w:rPr>
                <w:sz w:val="20"/>
                <w:szCs w:val="20"/>
                <w:color w:val="auto"/>
              </w:rPr>
            </w:pPr>
            <w:r>
              <w:rPr>
                <w:rFonts w:ascii="Arial" w:cs="Arial" w:eastAsia="Arial" w:hAnsi="Arial"/>
                <w:sz w:val="14"/>
                <w:szCs w:val="14"/>
                <w:color w:val="auto"/>
              </w:rPr>
              <w:t>Group, Inc.)</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Equity—0.4% </w:t>
            </w:r>
            <w:r>
              <w:rPr>
                <w:rFonts w:ascii="Arial" w:cs="Arial" w:eastAsia="Arial" w:hAnsi="Arial"/>
                <w:sz w:val="17"/>
                <w:szCs w:val="17"/>
                <w:b w:val="1"/>
                <w:bCs w:val="1"/>
                <w:color w:val="auto"/>
                <w:vertAlign w:val="superscript"/>
              </w:rPr>
              <w:t>(8)</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86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Telecommunications</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401,797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401,450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401,797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86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7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Inc.)</w:t>
            </w:r>
          </w:p>
        </w:tc>
        <w:tc>
          <w:tcPr>
            <w:tcW w:w="8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406,450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407,974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1"/>
              </w:rPr>
              <w:t>Total Investments in Non-Controlled, Non-Affiliated Portfolio Companies</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146,227,958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146,188,132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Equivalents—4.0%</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3,849,360</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3,849,360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3,849,360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Equivalents—155.1%</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150,077,318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150,037,492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Liabilities in Excess of Other Assets—(55.1)%</w:t>
            </w:r>
          </w:p>
        </w:tc>
        <w:tc>
          <w:tcPr>
            <w:tcW w:w="8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8"/>
              </w:rPr>
              <w:t>(53,315,187)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96,722,305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680" w:right="220" w:hanging="334"/>
        <w:spacing w:after="0" w:line="230"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Prime or “P”. All securities are subject to a LIBOR or Prime rate floor where a spread is provided, unless noted.</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680" w:right="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680" w:right="140" w:hanging="334"/>
        <w:spacing w:after="0" w:line="258" w:lineRule="auto"/>
        <w:tabs>
          <w:tab w:leader="none" w:pos="6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680" w:right="24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680" w:hanging="334"/>
        <w:spacing w:after="0"/>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60" w:type="dxa"/>
            <w:vAlign w:val="bottom"/>
          </w:tcPr>
          <w:p>
            <w:pPr>
              <w:jc w:val="right"/>
              <w:ind w:right="273"/>
              <w:spacing w:after="0" w:line="135" w:lineRule="exact"/>
              <w:rPr>
                <w:sz w:val="20"/>
                <w:szCs w:val="20"/>
                <w:color w:val="auto"/>
              </w:rPr>
            </w:pPr>
            <w:r>
              <w:rPr>
                <w:rFonts w:ascii="Arial" w:cs="Arial" w:eastAsia="Arial" w:hAnsi="Arial"/>
                <w:sz w:val="14"/>
                <w:szCs w:val="14"/>
                <w:b w:val="1"/>
                <w:bCs w:val="1"/>
                <w:color w:val="auto"/>
              </w:rPr>
              <w:t>Current</w:t>
            </w: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Par/</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480" w:type="dxa"/>
            <w:vAlign w:val="bottom"/>
          </w:tcPr>
          <w:p>
            <w:pPr>
              <w:jc w:val="center"/>
              <w:ind w:left="512"/>
              <w:spacing w:after="0"/>
              <w:rPr>
                <w:sz w:val="20"/>
                <w:szCs w:val="20"/>
                <w:color w:val="auto"/>
              </w:rPr>
            </w:pPr>
            <w:r>
              <w:rPr>
                <w:rFonts w:ascii="Arial" w:cs="Arial" w:eastAsia="Arial" w:hAnsi="Arial"/>
                <w:sz w:val="14"/>
                <w:szCs w:val="14"/>
                <w:b w:val="1"/>
                <w:bCs w:val="1"/>
                <w:color w:val="auto"/>
                <w:w w:val="99"/>
              </w:rPr>
              <w:t>Maturity</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Coupon</w:t>
            </w:r>
          </w:p>
        </w:tc>
        <w:tc>
          <w:tcPr>
            <w:tcW w:w="9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7"/>
                <w:szCs w:val="17"/>
                <w:b w:val="1"/>
                <w:bCs w:val="1"/>
                <w:color w:val="auto"/>
                <w:vertAlign w:val="superscript"/>
              </w:rPr>
              <w:t>(3),(4)</w:t>
            </w: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Airvana Network Solutions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03/25/2015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L+800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1,209,524</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$ 1,213,365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Artel, LLC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06/01/2016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L+425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987,500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978,043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07/29/2017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1,000,000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995,085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07/31/2016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12.38%</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L+988</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478,873</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488,220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C.H.I. Overhead Doors,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08/17/2017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4,000,000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3,921,236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07/28/2017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P+350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987,500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982,590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05/13/2016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2,966,250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2,939,107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Frac Tech International, LLC</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05/06/2016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Energy: Oil and Gas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2,073,930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2,054,330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Gundle/SLT Environmental,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05/27/2016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7.01%</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2,964,467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(11), (6)</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05/01/2016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2,000,000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08/16/2017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2,493,750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2,481,331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(7)</w:t>
            </w:r>
          </w:p>
        </w:tc>
        <w:tc>
          <w:tcPr>
            <w:tcW w:w="1480" w:type="dxa"/>
            <w:vAlign w:val="bottom"/>
          </w:tcPr>
          <w:p>
            <w:pPr>
              <w:jc w:val="center"/>
              <w:ind w:left="512"/>
              <w:spacing w:after="0" w:line="138" w:lineRule="exact"/>
              <w:rPr>
                <w:sz w:val="20"/>
                <w:szCs w:val="20"/>
                <w:color w:val="auto"/>
              </w:rPr>
            </w:pPr>
            <w:r>
              <w:rPr>
                <w:rFonts w:ascii="Arial" w:cs="Arial" w:eastAsia="Arial" w:hAnsi="Arial"/>
                <w:sz w:val="14"/>
                <w:szCs w:val="14"/>
                <w:color w:val="auto"/>
                <w:w w:val="88"/>
              </w:rPr>
              <w:t>08/07/2014</w:t>
            </w:r>
          </w:p>
        </w:tc>
        <w:tc>
          <w:tcPr>
            <w:tcW w:w="2160" w:type="dxa"/>
            <w:vAlign w:val="bottom"/>
          </w:tcPr>
          <w:p>
            <w:pPr>
              <w:jc w:val="center"/>
              <w:spacing w:after="0" w:line="138" w:lineRule="exact"/>
              <w:rPr>
                <w:sz w:val="20"/>
                <w:szCs w:val="20"/>
                <w:color w:val="auto"/>
              </w:rPr>
            </w:pPr>
            <w:r>
              <w:rPr>
                <w:rFonts w:ascii="Arial" w:cs="Arial" w:eastAsia="Arial" w:hAnsi="Arial"/>
                <w:sz w:val="14"/>
                <w:szCs w:val="14"/>
                <w:color w:val="auto"/>
                <w:w w:val="91"/>
              </w:rPr>
              <w:t>Media: Advertising, Printing and</w:t>
            </w:r>
          </w:p>
        </w:tc>
        <w:tc>
          <w:tcPr>
            <w:tcW w:w="96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3.61%</w:t>
            </w:r>
          </w:p>
        </w:tc>
        <w:tc>
          <w:tcPr>
            <w:tcW w:w="920" w:type="dxa"/>
            <w:vAlign w:val="bottom"/>
          </w:tcPr>
          <w:p>
            <w:pPr>
              <w:jc w:val="right"/>
              <w:ind w:right="93"/>
              <w:spacing w:after="0" w:line="138" w:lineRule="exact"/>
              <w:rPr>
                <w:sz w:val="20"/>
                <w:szCs w:val="20"/>
                <w:color w:val="auto"/>
              </w:rPr>
            </w:pPr>
            <w:r>
              <w:rPr>
                <w:rFonts w:ascii="Arial" w:cs="Arial" w:eastAsia="Arial" w:hAnsi="Arial"/>
                <w:sz w:val="14"/>
                <w:szCs w:val="14"/>
                <w:color w:val="auto"/>
              </w:rPr>
              <w:t>L+338</w:t>
            </w:r>
          </w:p>
        </w:tc>
        <w:tc>
          <w:tcPr>
            <w:tcW w:w="9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6,981,823</w:t>
            </w:r>
          </w:p>
        </w:tc>
        <w:tc>
          <w:tcPr>
            <w:tcW w:w="180" w:type="dxa"/>
            <w:vAlign w:val="bottom"/>
          </w:tcPr>
          <w:p>
            <w:pPr>
              <w:spacing w:after="0"/>
              <w:rPr>
                <w:sz w:val="11"/>
                <w:szCs w:val="11"/>
                <w:color w:val="auto"/>
              </w:rPr>
            </w:pP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6,523,240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60" w:type="dxa"/>
            <w:vAlign w:val="bottom"/>
          </w:tcPr>
          <w:p>
            <w:pPr>
              <w:jc w:val="center"/>
              <w:spacing w:after="0" w:line="159" w:lineRule="exact"/>
              <w:rPr>
                <w:sz w:val="20"/>
                <w:szCs w:val="20"/>
                <w:color w:val="auto"/>
              </w:rPr>
            </w:pPr>
            <w:r>
              <w:rPr>
                <w:rFonts w:ascii="Arial" w:cs="Arial" w:eastAsia="Arial" w:hAnsi="Arial"/>
                <w:sz w:val="14"/>
                <w:szCs w:val="14"/>
                <w:color w:val="auto"/>
                <w:w w:val="86"/>
              </w:rPr>
              <w:t>Publishing</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09/10/2015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P+675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5,476,250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5,525,637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KAR Auction Services, Inc.</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05/19/2017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5.00%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L+375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2,978,487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(7)</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05/31/2014</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L+700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4,987,500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4,847,186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Medpace Holdings,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06/17/2017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1,966,025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 (5)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05/06/2018</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3,990,000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3,951,886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Penton Media, Inc.</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08/01/2014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60" w:type="dxa"/>
            <w:vAlign w:val="bottom"/>
          </w:tcPr>
          <w:p>
            <w:pPr>
              <w:jc w:val="right"/>
              <w:ind w:right="33"/>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(8)</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L+400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5,498,048</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4,675,936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3,802,818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Potter’s Holdings II, L.P.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05/08/2017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Containers, Packaging and Glass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L+450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1,976,257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Pro Mach,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07/06/2017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Capital Equipment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997,500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987,986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Securus Technologies,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05/31/2017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2,963,597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Select Medical Corporation</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06/01/2018</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L+375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2,963,943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(11), (6), (7)</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05/15/2019</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9.13%</w:t>
            </w:r>
          </w:p>
        </w:tc>
        <w:tc>
          <w:tcPr>
            <w:tcW w:w="9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Sotera Defense Solutions,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04/22/2017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2,964,848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Tank Intermediate Holding Corp.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04/15/2016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Containers, Packaging and Glass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L+375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1,835,472</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1,831,420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1,807,940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Terex Corporation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04/28/2017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Capital Equipment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L+400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2,000,000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1,980,598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Triple Point Technology,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04/14/2016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4,968,750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4,923,769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Univita Health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06/19/2017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2,964,110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U.S. Healthworks Holding Company,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06/15/2016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2,964,480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Valitas Health Services,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06/02/2017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L+450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1,496,250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1,489,223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480" w:type="dxa"/>
            <w:vAlign w:val="bottom"/>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8"/>
              </w:rPr>
              <w:t>04/19/2016</w:t>
            </w:r>
          </w:p>
        </w:tc>
        <w:tc>
          <w:tcPr>
            <w:tcW w:w="2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Media: Advertising, Printing and</w:t>
            </w:r>
          </w:p>
        </w:tc>
        <w:tc>
          <w:tcPr>
            <w:tcW w:w="9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20" w:type="dxa"/>
            <w:vAlign w:val="bottom"/>
            <w:shd w:val="clear" w:color="auto" w:fill="CCEEFF"/>
          </w:tcPr>
          <w:p>
            <w:pPr>
              <w:jc w:val="right"/>
              <w:ind w:right="93"/>
              <w:spacing w:after="0" w:line="138"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4,750,000</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4,694,273</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4,690,625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Publishing</w:t>
            </w:r>
          </w:p>
        </w:tc>
        <w:tc>
          <w:tcPr>
            <w:tcW w:w="9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12/22/2016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P+450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2,963,172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Water Pik,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08/10/2017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L+525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3,500,000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3,465,501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07/15/2016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11.38%</w:t>
            </w:r>
          </w:p>
        </w:tc>
        <w:tc>
          <w:tcPr>
            <w:tcW w:w="9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4,000,000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4,355,966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4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97,975,314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94,333,126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Maturity</w:t>
            </w:r>
          </w:p>
        </w:tc>
        <w:tc>
          <w:tcPr>
            <w:tcW w:w="2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Above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30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740" w:type="dxa"/>
            <w:vAlign w:val="bottom"/>
            <w:gridSpan w:val="2"/>
            <w:vMerge w:val="continue"/>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40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Second Lien Secured Debt—10.1%</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01/29/2018</w:t>
            </w:r>
          </w:p>
        </w:tc>
        <w:tc>
          <w:tcPr>
            <w:tcW w:w="200" w:type="dxa"/>
            <w:vAlign w:val="bottom"/>
          </w:tcPr>
          <w:p>
            <w:pPr>
              <w:spacing w:after="0"/>
              <w:rPr>
                <w:sz w:val="12"/>
                <w:szCs w:val="12"/>
                <w:color w:val="auto"/>
              </w:rPr>
            </w:pPr>
          </w:p>
        </w:tc>
        <w:tc>
          <w:tcPr>
            <w:tcW w:w="2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L+900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1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05/13/2017</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L+850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4,000,000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11/06/2018</w:t>
            </w:r>
          </w:p>
        </w:tc>
        <w:tc>
          <w:tcPr>
            <w:tcW w:w="200" w:type="dxa"/>
            <w:vAlign w:val="bottom"/>
          </w:tcPr>
          <w:p>
            <w:pPr>
              <w:spacing w:after="0"/>
              <w:rPr>
                <w:sz w:val="12"/>
                <w:szCs w:val="12"/>
                <w:color w:val="auto"/>
              </w:rPr>
            </w:pPr>
          </w:p>
        </w:tc>
        <w:tc>
          <w:tcPr>
            <w:tcW w:w="2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L+875</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1,485,581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1,380,000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09/01/2018</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7"/>
              </w:rPr>
              <w:t>Hotel, Gaming and Leisure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12.13%</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05/09/2018</w:t>
            </w:r>
          </w:p>
        </w:tc>
        <w:tc>
          <w:tcPr>
            <w:tcW w:w="200" w:type="dxa"/>
            <w:vAlign w:val="bottom"/>
          </w:tcPr>
          <w:p>
            <w:pPr>
              <w:spacing w:after="0"/>
              <w:rPr>
                <w:sz w:val="13"/>
                <w:szCs w:val="13"/>
                <w:color w:val="auto"/>
              </w:rPr>
            </w:pPr>
          </w:p>
        </w:tc>
        <w:tc>
          <w:tcPr>
            <w:tcW w:w="2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Utilities: Water</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8.50%</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L+725</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990,624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960,000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(11)</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11/15/2015</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Consumer Goods: Non-Durable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1,524,891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07/31/2018</w:t>
            </w:r>
          </w:p>
        </w:tc>
        <w:tc>
          <w:tcPr>
            <w:tcW w:w="200" w:type="dxa"/>
            <w:vAlign w:val="bottom"/>
          </w:tcPr>
          <w:p>
            <w:pPr>
              <w:spacing w:after="0"/>
              <w:rPr>
                <w:sz w:val="12"/>
                <w:szCs w:val="12"/>
                <w:color w:val="auto"/>
              </w:rPr>
            </w:pPr>
          </w:p>
        </w:tc>
        <w:tc>
          <w:tcPr>
            <w:tcW w:w="2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3,762,500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3,688,091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3,687,250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07/31/2018</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2,206,000</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2,161,880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2,161,880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7,374,862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7,004,130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Preferred Equity/Partnership Interests—0.1%</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(10)</w:t>
            </w:r>
          </w:p>
        </w:tc>
        <w:tc>
          <w:tcPr>
            <w:tcW w:w="2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2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158</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96,985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Equity—0.0% </w:t>
            </w:r>
            <w:r>
              <w:rPr>
                <w:rFonts w:ascii="Arial" w:cs="Arial" w:eastAsia="Arial" w:hAnsi="Arial"/>
                <w:sz w:val="18"/>
                <w:szCs w:val="18"/>
                <w:b w:val="1"/>
                <w:bCs w:val="1"/>
                <w:color w:val="auto"/>
                <w:vertAlign w:val="superscript"/>
              </w:rPr>
              <w:t>(10)</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4"/>
              </w:rPr>
              <w:t>114,829,621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110,724,241</w:t>
            </w: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Equivalents—7.6%</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9"/>
              </w:rPr>
              <w:t>6,987,450</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6,987,450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6,987,450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 Equivalents—</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127.8%</w:t>
            </w:r>
          </w:p>
        </w:tc>
        <w:tc>
          <w:tcPr>
            <w:tcW w:w="2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121,817,071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2"/>
              </w:rPr>
              <w:t>117,711,691</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5"/>
              </w:rPr>
              <w:t>(25,639,586)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92,072,105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00" w:hanging="332"/>
        <w:spacing w:after="0" w:line="258"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securities are pledged as collateral under the Credit Facility.</w:t>
      </w:r>
    </w:p>
    <w:p>
      <w:pPr>
        <w:ind w:left="340" w:right="6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Coupon is payable in cash and/or through PIK.</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on October 28, 2010. We are a closed-end, externally managed, non-diversified investment company that has elected to be treated as a business development company, or BDC, under the 1940 Act.</w:t>
      </w:r>
    </w:p>
    <w:p>
      <w:pPr>
        <w:spacing w:after="0" w:line="13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2"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On April 13, 2011, we closed our initial public offering and our common stock trades on the NASDAQ Global Select Market under the symbol “PFLT.” Also on April 13, 2011, we issued 6,700,000 shares of common stock, and on May 11,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On March 4, 2011, we sold 667 shares of common stock for $10,000 ($15.00 per share) to the Investment Adviser.</w:t>
      </w:r>
    </w:p>
    <w:p>
      <w:pPr>
        <w:spacing w:after="0" w:line="117" w:lineRule="exact"/>
        <w:rPr>
          <w:sz w:val="20"/>
          <w:szCs w:val="20"/>
          <w:color w:val="auto"/>
        </w:rPr>
      </w:pPr>
    </w:p>
    <w:p>
      <w:pPr>
        <w:ind w:right="240" w:firstLine="456"/>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94" w:lineRule="exact"/>
        <w:rPr>
          <w:sz w:val="20"/>
          <w:szCs w:val="20"/>
          <w:color w:val="auto"/>
        </w:rPr>
      </w:pPr>
    </w:p>
    <w:p>
      <w:pPr>
        <w:ind w:right="320" w:firstLine="456"/>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a commercial paper rate that approximates LIBOR plus 225 basis points during the revolving period. The Credit Facility is secured by all of the assets held by Funding I. See Note 9.</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10-Q and Article 6 or 10 of Regulation S-X, as appropriate.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In accordance with Article 6-09 of Regulation S-X, we have provided a Consolidated Statement of Changes in Net Assets in lieu of a Consolidated Statement of Changes in Stockholders’ Equity.</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(a)</w:t>
      </w:r>
      <w:r>
        <w:rPr>
          <w:sz w:val="20"/>
          <w:szCs w:val="20"/>
          <w:color w:val="auto"/>
        </w:rPr>
        <w:tab/>
      </w:r>
      <w:r>
        <w:rPr>
          <w:rFonts w:ascii="Arial" w:cs="Arial" w:eastAsia="Arial" w:hAnsi="Arial"/>
          <w:sz w:val="11"/>
          <w:szCs w:val="11"/>
          <w:b w:val="1"/>
          <w:bCs w:val="1"/>
          <w:i w:val="1"/>
          <w:iCs w:val="1"/>
          <w:color w:val="auto"/>
        </w:rPr>
        <w:t>Investment Valuations</w:t>
      </w:r>
    </w:p>
    <w:p>
      <w:pPr>
        <w:spacing w:after="0" w:line="69"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3"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20" w:hanging="334"/>
        <w:spacing w:after="0" w:line="239"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00" w:hanging="334"/>
        <w:spacing w:after="0" w:line="233"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hanging="334"/>
        <w:spacing w:after="0" w:line="239"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540" w:hanging="334"/>
        <w:spacing w:after="0" w:line="239"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(b)</w:t>
      </w:r>
      <w:r>
        <w:rPr>
          <w:sz w:val="20"/>
          <w:szCs w:val="20"/>
          <w:color w:val="auto"/>
        </w:rPr>
        <w:tab/>
      </w:r>
      <w:r>
        <w:rPr>
          <w:rFonts w:ascii="Arial" w:cs="Arial" w:eastAsia="Arial" w:hAnsi="Arial"/>
          <w:sz w:val="11"/>
          <w:szCs w:val="11"/>
          <w:b w:val="1"/>
          <w:bCs w:val="1"/>
          <w:i w:val="1"/>
          <w:iCs w:val="1"/>
          <w:color w:val="auto"/>
        </w:rPr>
        <w:t>Security Transactions, Revenue Recognition and Realized/Unrealized Gains or Losses</w:t>
      </w:r>
    </w:p>
    <w:p>
      <w:pPr>
        <w:spacing w:after="0" w:line="150"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39"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1"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(c)</w:t>
      </w:r>
      <w:r>
        <w:rPr>
          <w:sz w:val="20"/>
          <w:szCs w:val="20"/>
          <w:color w:val="auto"/>
        </w:rPr>
        <w:tab/>
      </w:r>
      <w:r>
        <w:rPr>
          <w:rFonts w:ascii="Arial" w:cs="Arial" w:eastAsia="Arial" w:hAnsi="Arial"/>
          <w:sz w:val="11"/>
          <w:szCs w:val="11"/>
          <w:b w:val="1"/>
          <w:bCs w:val="1"/>
          <w:i w:val="1"/>
          <w:iCs w:val="1"/>
          <w:color w:val="auto"/>
        </w:rPr>
        <w:t>Income Taxes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Because federal income tax regulations differ from GAAP, differences in distributable income arise which could be permanent or temporary. Book and tax basis differences which are permanent are reclassified among our capital accounts, to reflect their tax character. Temporary differences arise when certain items of income, expense, gain or loss are recognized at some time in the future.</w:t>
      </w:r>
    </w:p>
    <w:p>
      <w:pPr>
        <w:spacing w:after="0" w:line="94"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(d)</w:t>
      </w:r>
      <w:r>
        <w:rPr>
          <w:sz w:val="20"/>
          <w:szCs w:val="20"/>
          <w:color w:val="auto"/>
        </w:rPr>
        <w:tab/>
      </w:r>
      <w:r>
        <w:rPr>
          <w:rFonts w:ascii="Arial" w:cs="Arial" w:eastAsia="Arial" w:hAnsi="Arial"/>
          <w:sz w:val="11"/>
          <w:szCs w:val="11"/>
          <w:b w:val="1"/>
          <w:bCs w:val="1"/>
          <w:i w:val="1"/>
          <w:iCs w:val="1"/>
          <w:color w:val="auto"/>
        </w:rPr>
        <w:t>Dividends, Distributions, and Capital Transactions</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39"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(e)</w:t>
      </w:r>
      <w:r>
        <w:rPr>
          <w:sz w:val="20"/>
          <w:szCs w:val="20"/>
          <w:color w:val="auto"/>
        </w:rPr>
        <w:tab/>
      </w:r>
      <w:r>
        <w:rPr>
          <w:rFonts w:ascii="Arial" w:cs="Arial" w:eastAsia="Arial" w:hAnsi="Arial"/>
          <w:sz w:val="11"/>
          <w:szCs w:val="11"/>
          <w:b w:val="1"/>
          <w:bCs w:val="1"/>
          <w:i w:val="1"/>
          <w:iCs w:val="1"/>
          <w:color w:val="auto"/>
        </w:rPr>
        <w:t>Consolidation</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39"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4"/>
          <w:szCs w:val="14"/>
          <w:b w:val="1"/>
          <w:bCs w:val="1"/>
          <w:i w:val="1"/>
          <w:iCs w:val="1"/>
          <w:color w:val="auto"/>
        </w:rPr>
        <w:t>(f)</w:t>
      </w:r>
      <w:r>
        <w:rPr>
          <w:sz w:val="20"/>
          <w:szCs w:val="20"/>
          <w:color w:val="auto"/>
        </w:rPr>
        <w:tab/>
      </w:r>
      <w:r>
        <w:rPr>
          <w:rFonts w:ascii="Arial" w:cs="Arial" w:eastAsia="Arial" w:hAnsi="Arial"/>
          <w:sz w:val="11"/>
          <w:szCs w:val="11"/>
          <w:b w:val="1"/>
          <w:bCs w:val="1"/>
          <w:i w:val="1"/>
          <w:iCs w:val="1"/>
          <w:color w:val="auto"/>
        </w:rPr>
        <w:t>Asset Transfers and Servicing</w:t>
      </w:r>
    </w:p>
    <w:p>
      <w:pPr>
        <w:spacing w:after="0" w:line="15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 The creditors of Funding I have received security interests in any such assets and are not intended to be available to the creditors of PennantPark Floating Rate Capital Ltd. (or any affiliate of the Company).</w:t>
      </w:r>
    </w:p>
    <w:p>
      <w:pPr>
        <w:spacing w:after="0" w:line="94"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(g)</w:t>
      </w:r>
      <w:r>
        <w:rPr>
          <w:sz w:val="20"/>
          <w:szCs w:val="20"/>
          <w:color w:val="auto"/>
        </w:rPr>
        <w:tab/>
      </w:r>
      <w:r>
        <w:rPr>
          <w:rFonts w:ascii="Arial" w:cs="Arial" w:eastAsia="Arial" w:hAnsi="Arial"/>
          <w:sz w:val="11"/>
          <w:szCs w:val="11"/>
          <w:b w:val="1"/>
          <w:bCs w:val="1"/>
          <w:i w:val="1"/>
          <w:iCs w:val="1"/>
          <w:color w:val="auto"/>
        </w:rPr>
        <w:t>New Accounting Pronouncement</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May 2011, the Financial Accounting Standards Board issued Accounting Standards Update 2011-04, Amendments to Achieve Common Fair Value Measurement and Disclosure Requirements in U.S. GAAP and IFRSs, or ASU 2011-04. ASU 2011-04 amends ASC 820, Fair Value Measurements,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on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as adopted, did not have a material impact on our Consolidated Financial Statements. See Note 5.</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and/or temporary draws under any credit facility and/or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the Investment Adviser earned a base management fee of $0.4 million and $0.7 million, respectively, from us.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4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20" w:firstLine="456"/>
        <w:spacing w:after="0" w:line="227"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resulted in no accrual.</w:t>
      </w:r>
    </w:p>
    <w:p>
      <w:pPr>
        <w:spacing w:after="0" w:line="14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w:t>
      </w:r>
    </w:p>
    <w:p>
      <w:pPr>
        <w:spacing w:after="0" w:line="122" w:lineRule="exact"/>
        <w:rPr>
          <w:sz w:val="20"/>
          <w:szCs w:val="20"/>
          <w:color w:val="auto"/>
        </w:rPr>
      </w:pPr>
    </w:p>
    <w:p>
      <w:pPr>
        <w:ind w:right="20" w:firstLine="456"/>
        <w:spacing w:after="0" w:line="269" w:lineRule="auto"/>
        <w:rPr>
          <w:sz w:val="20"/>
          <w:szCs w:val="20"/>
          <w:color w:val="auto"/>
        </w:rPr>
      </w:pPr>
      <w:r>
        <w:rPr>
          <w:rFonts w:ascii="Arial" w:cs="Arial" w:eastAsia="Arial" w:hAnsi="Arial"/>
          <w:sz w:val="12"/>
          <w:szCs w:val="12"/>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2012, the Investment Adviser and Administrator, collectively, were reimbursed approximately $0.1 million, from us, including expenses incurred by the Investment Adviser on behalf of the Administrator, for the services described above.</w:t>
      </w:r>
    </w:p>
    <w:p>
      <w:pPr>
        <w:spacing w:after="0" w:line="274"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March 31, 2012, as well as the likelihood of future activity that may generate additional returns, management determined that the 7.0% return on Pre-Incentive Fee Net Investment Income was uncertain. Accordingly, we did not record a liability for it. Management continues to assess performance to determine whether the 7.0% return on Pre-Incentive Fee Net Investment Income is probable before recording the $2.1 million charge to capital.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right="480" w:firstLine="456"/>
        <w:spacing w:after="0" w:line="239" w:lineRule="auto"/>
        <w:rPr>
          <w:sz w:val="20"/>
          <w:szCs w:val="20"/>
          <w:color w:val="auto"/>
        </w:rPr>
      </w:pPr>
      <w:r>
        <w:rPr>
          <w:rFonts w:ascii="Arial" w:cs="Arial" w:eastAsia="Arial" w:hAnsi="Arial"/>
          <w:sz w:val="14"/>
          <w:szCs w:val="14"/>
          <w:color w:val="auto"/>
        </w:rPr>
        <w:t>Purchases of long-term investments, including PIK, for the three and six months ended March 31, 2012 totaled $32.9 million and $72.3 million, respectively. Sales and repayments of long-term investments for the three and six months ended March 31, 2012 totaled $19.3 million and $41.6 million, respectively.</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740" w:type="dxa"/>
            <w:vAlign w:val="bottom"/>
            <w:gridSpan w:val="3"/>
          </w:tcPr>
          <w:p>
            <w:pPr>
              <w:spacing w:after="0"/>
              <w:rPr>
                <w:sz w:val="20"/>
                <w:szCs w:val="20"/>
                <w:color w:val="auto"/>
              </w:rPr>
            </w:pPr>
            <w:r>
              <w:rPr>
                <w:rFonts w:ascii="Arial" w:cs="Arial" w:eastAsia="Arial" w:hAnsi="Arial"/>
                <w:sz w:val="14"/>
                <w:szCs w:val="14"/>
                <w:color w:val="auto"/>
              </w:rPr>
              <w:t>Investments and cash equivalents consisted of the following:</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460" w:type="dxa"/>
            <w:vAlign w:val="bottom"/>
          </w:tcPr>
          <w:p>
            <w:pPr>
              <w:spacing w:after="0"/>
              <w:rPr>
                <w:sz w:val="24"/>
                <w:szCs w:val="24"/>
                <w:color w:val="auto"/>
              </w:rPr>
            </w:pPr>
          </w:p>
        </w:tc>
        <w:tc>
          <w:tcPr>
            <w:tcW w:w="2280" w:type="dxa"/>
            <w:vAlign w:val="bottom"/>
            <w:gridSpan w:val="4"/>
          </w:tcPr>
          <w:p>
            <w:pPr>
              <w:ind w:left="500"/>
              <w:spacing w:after="0"/>
              <w:rPr>
                <w:sz w:val="20"/>
                <w:szCs w:val="20"/>
                <w:color w:val="auto"/>
              </w:rPr>
            </w:pPr>
            <w:r>
              <w:rPr>
                <w:rFonts w:ascii="Arial" w:cs="Arial" w:eastAsia="Arial" w:hAnsi="Arial"/>
                <w:sz w:val="14"/>
                <w:szCs w:val="14"/>
                <w:b w:val="1"/>
                <w:bCs w:val="1"/>
                <w:color w:val="auto"/>
              </w:rPr>
              <w:t>March 31, 2012</w:t>
            </w:r>
          </w:p>
        </w:tc>
        <w:tc>
          <w:tcPr>
            <w:tcW w:w="80" w:type="dxa"/>
            <w:vAlign w:val="bottom"/>
          </w:tcPr>
          <w:p>
            <w:pPr>
              <w:spacing w:after="0"/>
              <w:rPr>
                <w:sz w:val="24"/>
                <w:szCs w:val="24"/>
                <w:color w:val="auto"/>
              </w:rPr>
            </w:pPr>
          </w:p>
        </w:tc>
        <w:tc>
          <w:tcPr>
            <w:tcW w:w="1940" w:type="dxa"/>
            <w:vAlign w:val="bottom"/>
            <w:gridSpan w:val="6"/>
          </w:tcPr>
          <w:p>
            <w:pPr>
              <w:ind w:left="34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9"/>
        </w:trPr>
        <w:tc>
          <w:tcPr>
            <w:tcW w:w="474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31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$ 126,721,245</w:t>
            </w:r>
          </w:p>
        </w:tc>
        <w:tc>
          <w:tcPr>
            <w:tcW w:w="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$ 126,306,324</w:t>
            </w: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97,975,314</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94,333,126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6,939,667</w:t>
            </w:r>
          </w:p>
        </w:tc>
        <w:tc>
          <w:tcPr>
            <w:tcW w:w="15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7,136,250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9,379,445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12,065,596</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12,215,480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7,004,130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4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501,450</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530,078</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146,227,958</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146,188,132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7"/>
              </w:rPr>
              <w:t>114,829,621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110,724,241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14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3,849,360</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3,849,360</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6,987,450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6,987,450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$ 150,077,318</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$ 150,037,492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121,817,071</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2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March 31, 2012</w:t>
            </w:r>
          </w:p>
        </w:tc>
        <w:tc>
          <w:tcPr>
            <w:tcW w:w="1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4"/>
              </w:rPr>
              <w:t>September 30, 2011</w:t>
            </w:r>
          </w:p>
        </w:tc>
      </w:tr>
      <w:tr>
        <w:trPr>
          <w:trHeight w:val="136"/>
        </w:trPr>
        <w:tc>
          <w:tcPr>
            <w:tcW w:w="35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Business Services</w:t>
            </w:r>
          </w:p>
        </w:tc>
        <w:tc>
          <w:tcPr>
            <w:tcW w:w="29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172"/>
              <w:spacing w:after="0" w:line="136" w:lineRule="exact"/>
              <w:rPr>
                <w:sz w:val="20"/>
                <w:szCs w:val="20"/>
                <w:color w:val="auto"/>
              </w:rPr>
            </w:pPr>
            <w:r>
              <w:rPr>
                <w:rFonts w:ascii="Arial" w:cs="Arial" w:eastAsia="Arial" w:hAnsi="Arial"/>
                <w:sz w:val="14"/>
                <w:szCs w:val="14"/>
                <w:color w:val="auto"/>
              </w:rPr>
              <w:t>10%</w:t>
            </w:r>
          </w:p>
        </w:tc>
        <w:tc>
          <w:tcPr>
            <w:tcW w:w="1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292"/>
              <w:spacing w:after="0" w:line="136" w:lineRule="exact"/>
              <w:rPr>
                <w:sz w:val="20"/>
                <w:szCs w:val="20"/>
                <w:color w:val="auto"/>
              </w:rPr>
            </w:pPr>
            <w:r>
              <w:rPr>
                <w:rFonts w:ascii="Arial" w:cs="Arial" w:eastAsia="Arial" w:hAnsi="Arial"/>
                <w:sz w:val="14"/>
                <w:szCs w:val="14"/>
                <w:color w:val="auto"/>
              </w:rPr>
              <w:t>10%</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Beverage, Food and Tobacco</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8</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7</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8</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10</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8</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5</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5</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10</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Hotel, Gaming and Leisure</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9</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8</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5</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2</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Equipment</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3</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Industries</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3</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2</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56"/>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All Other</w:t>
            </w:r>
          </w:p>
        </w:tc>
        <w:tc>
          <w:tcPr>
            <w:tcW w:w="2920" w:type="dxa"/>
            <w:vAlign w:val="bottom"/>
          </w:tcPr>
          <w:p>
            <w:pPr>
              <w:spacing w:after="0"/>
              <w:rPr>
                <w:sz w:val="13"/>
                <w:szCs w:val="13"/>
                <w:color w:val="auto"/>
              </w:rPr>
            </w:pPr>
          </w:p>
        </w:tc>
        <w:tc>
          <w:tcPr>
            <w:tcW w:w="9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4</w:t>
            </w:r>
          </w:p>
        </w:tc>
        <w:tc>
          <w:tcPr>
            <w:tcW w:w="1100" w:type="dxa"/>
            <w:vAlign w:val="bottom"/>
          </w:tcPr>
          <w:p>
            <w:pPr>
              <w:spacing w:after="0"/>
              <w:rPr>
                <w:sz w:val="13"/>
                <w:szCs w:val="13"/>
                <w:color w:val="auto"/>
              </w:rPr>
            </w:pPr>
          </w:p>
        </w:tc>
        <w:tc>
          <w:tcPr>
            <w:tcW w:w="112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9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100%</w:t>
            </w:r>
          </w:p>
        </w:tc>
        <w:tc>
          <w:tcPr>
            <w:tcW w:w="11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100%</w:t>
            </w:r>
          </w:p>
        </w:tc>
      </w:tr>
      <w:tr>
        <w:trPr>
          <w:trHeight w:val="20"/>
        </w:trPr>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4"/>
        </w:trPr>
        <w:tc>
          <w:tcPr>
            <w:tcW w:w="1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20" w:type="dxa"/>
            <w:vAlign w:val="bottom"/>
            <w:gridSpan w:val="2"/>
          </w:tcPr>
          <w:p>
            <w:pPr>
              <w:jc w:val="right"/>
              <w:ind w:right="2372"/>
              <w:spacing w:after="0"/>
              <w:rPr>
                <w:sz w:val="20"/>
                <w:szCs w:val="20"/>
                <w:color w:val="auto"/>
              </w:rPr>
            </w:pPr>
            <w:r>
              <w:rPr>
                <w:rFonts w:ascii="Arial" w:cs="Arial" w:eastAsia="Arial" w:hAnsi="Arial"/>
                <w:sz w:val="14"/>
                <w:szCs w:val="14"/>
                <w:color w:val="auto"/>
              </w:rPr>
              <w:t>F-38</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1"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In accordance with ASU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Range of</w:t>
            </w:r>
          </w:p>
        </w:tc>
      </w:tr>
      <w:tr>
        <w:trPr>
          <w:trHeight w:val="149"/>
        </w:trPr>
        <w:tc>
          <w:tcPr>
            <w:tcW w:w="9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Values/</w:t>
            </w:r>
          </w:p>
        </w:tc>
      </w:t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Asset Category</w:t>
            </w:r>
          </w:p>
        </w:tc>
        <w:tc>
          <w:tcPr>
            <w:tcW w:w="4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86"/>
              </w:rPr>
              <w:t>Fair Value</w:t>
            </w: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Valuation Techniques</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Unobservable Inputs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Input</w:t>
            </w:r>
          </w:p>
        </w:tc>
      </w:tr>
      <w:tr>
        <w:trPr>
          <w:trHeight w:val="136"/>
        </w:trPr>
        <w:tc>
          <w:tcPr>
            <w:tcW w:w="52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w w:val="92"/>
              </w:rPr>
              <w:t>First lien, second lien, subordinated debt/corporate notes and preferred and common equity</w:t>
            </w:r>
          </w:p>
        </w:tc>
        <w:tc>
          <w:tcPr>
            <w:tcW w:w="8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90</w:t>
            </w:r>
          </w:p>
        </w:tc>
        <w:tc>
          <w:tcPr>
            <w:tcW w:w="360" w:type="dxa"/>
            <w:vAlign w:val="bottom"/>
            <w:tcBorders>
              <w:top w:val="single" w:sz="8" w:color="CCEEFF"/>
            </w:tcBorders>
            <w:shd w:val="clear" w:color="auto" w:fill="CCEEFF"/>
          </w:tcPr>
          <w:p>
            <w:pPr>
              <w:jc w:val="right"/>
              <w:ind w:right="172"/>
              <w:spacing w:after="0" w:line="136" w:lineRule="exact"/>
              <w:rPr>
                <w:sz w:val="20"/>
                <w:szCs w:val="20"/>
                <w:color w:val="auto"/>
              </w:rPr>
            </w:pPr>
            <w:r>
              <w:rPr>
                <w:rFonts w:ascii="Arial" w:cs="Arial" w:eastAsia="Arial" w:hAnsi="Arial"/>
                <w:sz w:val="14"/>
                <w:szCs w:val="14"/>
                <w:color w:val="auto"/>
                <w:w w:val="79"/>
              </w:rPr>
              <w:t>%</w:t>
            </w:r>
          </w:p>
        </w:tc>
        <w:tc>
          <w:tcPr>
            <w:tcW w:w="16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7"/>
              </w:rPr>
              <w:t>Market approach</w:t>
            </w:r>
          </w:p>
        </w:tc>
        <w:tc>
          <w:tcPr>
            <w:tcW w:w="2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9"/>
              </w:rPr>
              <w:t>Broker/Dealer bids</w:t>
            </w: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5"/>
              </w:rPr>
              <w:t>1 - 9</w:t>
            </w:r>
          </w:p>
        </w:tc>
      </w:tr>
      <w:tr>
        <w:trPr>
          <w:trHeight w:val="138"/>
        </w:trPr>
        <w:tc>
          <w:tcPr>
            <w:tcW w:w="5260" w:type="dxa"/>
            <w:vAlign w:val="bottom"/>
            <w:gridSpan w:val="2"/>
          </w:tcPr>
          <w:p>
            <w:pPr>
              <w:spacing w:after="0" w:line="138" w:lineRule="exact"/>
              <w:rPr>
                <w:sz w:val="20"/>
                <w:szCs w:val="20"/>
                <w:color w:val="auto"/>
              </w:rPr>
            </w:pPr>
            <w:r>
              <w:rPr>
                <w:rFonts w:ascii="Arial" w:cs="Arial" w:eastAsia="Arial" w:hAnsi="Arial"/>
                <w:sz w:val="14"/>
                <w:szCs w:val="14"/>
                <w:color w:val="auto"/>
                <w:w w:val="92"/>
              </w:rPr>
              <w:t>First lien, second lien, subordinated debt/corporate notes and preferred and common equity</w:t>
            </w:r>
          </w:p>
        </w:tc>
        <w:tc>
          <w:tcPr>
            <w:tcW w:w="1820" w:type="dxa"/>
            <w:vAlign w:val="bottom"/>
            <w:gridSpan w:val="3"/>
          </w:tcPr>
          <w:p>
            <w:pPr>
              <w:jc w:val="right"/>
              <w:ind w:right="172"/>
              <w:spacing w:after="0" w:line="138" w:lineRule="exact"/>
              <w:rPr>
                <w:sz w:val="20"/>
                <w:szCs w:val="20"/>
                <w:color w:val="auto"/>
              </w:rPr>
            </w:pPr>
            <w:r>
              <w:rPr>
                <w:rFonts w:ascii="Arial" w:cs="Arial" w:eastAsia="Arial" w:hAnsi="Arial"/>
                <w:sz w:val="14"/>
                <w:szCs w:val="14"/>
                <w:color w:val="auto"/>
              </w:rPr>
              <w:t>10%</w:t>
            </w:r>
          </w:p>
        </w:tc>
        <w:tc>
          <w:tcPr>
            <w:tcW w:w="1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7"/>
              </w:rPr>
              <w:t>Market comparable /</w:t>
            </w:r>
          </w:p>
        </w:tc>
        <w:tc>
          <w:tcPr>
            <w:tcW w:w="168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2"/>
              </w:rPr>
              <w:t>EBITDA multiples</w:t>
            </w: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9"/>
              </w:rPr>
              <w:t>7.6x – 10.7x</w:t>
            </w:r>
          </w:p>
        </w:tc>
      </w:tr>
      <w:tr>
        <w:trPr>
          <w:trHeight w:val="159"/>
        </w:trPr>
        <w:tc>
          <w:tcPr>
            <w:tcW w:w="9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6"/>
              </w:rPr>
              <w:t>Enterprise value</w:t>
            </w: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8"/>
        </w:trPr>
        <w:tc>
          <w:tcPr>
            <w:tcW w:w="5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Long-Term Credit Facility</w:t>
            </w:r>
          </w:p>
        </w:tc>
        <w:tc>
          <w:tcPr>
            <w:tcW w:w="1820" w:type="dxa"/>
            <w:vAlign w:val="bottom"/>
            <w:gridSpan w:val="3"/>
            <w:shd w:val="clear" w:color="auto" w:fill="CCEEFF"/>
          </w:tcPr>
          <w:p>
            <w:pPr>
              <w:jc w:val="right"/>
              <w:ind w:right="172"/>
              <w:spacing w:after="0" w:line="138" w:lineRule="exact"/>
              <w:rPr>
                <w:sz w:val="20"/>
                <w:szCs w:val="20"/>
                <w:color w:val="auto"/>
              </w:rPr>
            </w:pPr>
            <w:r>
              <w:rPr>
                <w:rFonts w:ascii="Arial" w:cs="Arial" w:eastAsia="Arial" w:hAnsi="Arial"/>
                <w:sz w:val="14"/>
                <w:szCs w:val="14"/>
                <w:color w:val="auto"/>
              </w:rPr>
              <w:t>100%</w:t>
            </w:r>
          </w:p>
        </w:tc>
        <w:tc>
          <w:tcPr>
            <w:tcW w:w="18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Market comparable / Income</w:t>
            </w:r>
          </w:p>
        </w:tc>
        <w:tc>
          <w:tcPr>
            <w:tcW w:w="16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Discount rate</w:t>
            </w: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3.5%</w:t>
            </w:r>
          </w:p>
        </w:tc>
      </w:tr>
      <w:tr>
        <w:trPr>
          <w:trHeight w:val="159"/>
        </w:trPr>
        <w:tc>
          <w:tcPr>
            <w:tcW w:w="92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2"/>
              </w:rPr>
              <w:t>approach</w:t>
            </w: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10"/>
        </w:trPr>
        <w:tc>
          <w:tcPr>
            <w:tcW w:w="9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20" w:type="dxa"/>
            <w:vAlign w:val="bottom"/>
            <w:gridSpan w:val="3"/>
          </w:tcPr>
          <w:p>
            <w:pPr>
              <w:jc w:val="right"/>
              <w:ind w:right="1172"/>
              <w:spacing w:after="0"/>
              <w:rPr>
                <w:sz w:val="20"/>
                <w:szCs w:val="20"/>
                <w:color w:val="auto"/>
              </w:rPr>
            </w:pPr>
            <w:r>
              <w:rPr>
                <w:rFonts w:ascii="Arial" w:cs="Arial" w:eastAsia="Arial" w:hAnsi="Arial"/>
                <w:sz w:val="14"/>
                <w:szCs w:val="14"/>
                <w:color w:val="auto"/>
              </w:rPr>
              <w:t>F-40</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5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4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March 31, 2012 and September 30, 2011, our cash equivalents, investments and our long-term Credit Facility were categorized as follows in the fair value hierarchy for ASC 820 purposes.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40" w:type="dxa"/>
            <w:vAlign w:val="bottom"/>
            <w:gridSpan w:val="7"/>
          </w:tcPr>
          <w:p>
            <w:pPr>
              <w:ind w:left="40"/>
              <w:spacing w:after="0"/>
              <w:rPr>
                <w:sz w:val="20"/>
                <w:szCs w:val="20"/>
                <w:color w:val="auto"/>
              </w:rPr>
            </w:pPr>
            <w:r>
              <w:rPr>
                <w:rFonts w:ascii="Arial" w:cs="Arial" w:eastAsia="Arial" w:hAnsi="Arial"/>
                <w:sz w:val="14"/>
                <w:szCs w:val="14"/>
                <w:b w:val="1"/>
                <w:bCs w:val="1"/>
                <w:color w:val="auto"/>
                <w:w w:val="88"/>
              </w:rPr>
              <w:t>Fair Value Measurements at March 31, 2012</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6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5620" w:type="dxa"/>
            <w:vAlign w:val="bottom"/>
            <w:vMerge w:val="continue"/>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6"/>
              </w:rPr>
              <w:t>Fair Value</w:t>
            </w: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2</w:t>
            </w: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6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126,306,324</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126,306,324</w:t>
            </w:r>
          </w:p>
        </w:tc>
        <w:tc>
          <w:tcPr>
            <w:tcW w:w="0" w:type="dxa"/>
            <w:vAlign w:val="bottom"/>
          </w:tcPr>
          <w:p>
            <w:pPr>
              <w:spacing w:after="0"/>
              <w:rPr>
                <w:sz w:val="1"/>
                <w:szCs w:val="1"/>
                <w:color w:val="auto"/>
              </w:rPr>
            </w:pPr>
          </w:p>
        </w:tc>
      </w:tr>
      <w:tr>
        <w:trPr>
          <w:trHeight w:val="175"/>
        </w:trPr>
        <w:tc>
          <w:tcPr>
            <w:tcW w:w="63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7,136,250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7,136,250</w:t>
            </w: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12,215,480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8,504,980</w:t>
            </w: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530,078</w:t>
            </w: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530,078</w:t>
            </w: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146,188,132</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142,477,632</w:t>
            </w: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rPr>
                <w:sz w:val="20"/>
                <w:szCs w:val="20"/>
                <w:color w:val="auto"/>
              </w:rPr>
            </w:pPr>
            <w:r>
              <w:rPr>
                <w:rFonts w:ascii="Arial" w:cs="Arial" w:eastAsia="Arial" w:hAnsi="Arial"/>
                <w:sz w:val="14"/>
                <w:szCs w:val="14"/>
                <w:color w:val="auto"/>
              </w:rPr>
              <w:t>Cash equivalents</w:t>
            </w: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3,849,360</w:t>
            </w: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3"/>
              </w:rPr>
              <w:t>3,849,360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 and cash equivalents</w:t>
            </w: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150,037,492</w:t>
            </w:r>
          </w:p>
        </w:tc>
        <w:tc>
          <w:tcPr>
            <w:tcW w:w="4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3"/>
              </w:rPr>
              <w:t>3,849,360</w:t>
            </w: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3"/>
              </w:rPr>
              <w:t>3,710,500</w:t>
            </w:r>
          </w:p>
        </w:tc>
        <w:tc>
          <w:tcPr>
            <w:tcW w:w="480" w:type="dxa"/>
            <w:vAlign w:val="bottom"/>
            <w:tcBorders>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142,477,632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20" w:type="dxa"/>
            <w:vAlign w:val="bottom"/>
            <w:gridSpan w:val="2"/>
            <w:vMerge w:val="continue"/>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47,561,000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47,561,000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120" w:type="dxa"/>
            <w:vAlign w:val="bottom"/>
            <w:gridSpan w:val="11"/>
          </w:tcPr>
          <w:p>
            <w:pPr>
              <w:jc w:val="right"/>
              <w:ind w:right="672"/>
              <w:spacing w:after="0"/>
              <w:rPr>
                <w:sz w:val="20"/>
                <w:szCs w:val="20"/>
                <w:color w:val="auto"/>
              </w:rPr>
            </w:pPr>
            <w:r>
              <w:rPr>
                <w:rFonts w:ascii="Arial" w:cs="Arial" w:eastAsia="Arial" w:hAnsi="Arial"/>
                <w:sz w:val="14"/>
                <w:szCs w:val="14"/>
                <w:b w:val="1"/>
                <w:bCs w:val="1"/>
                <w:color w:val="auto"/>
              </w:rPr>
              <w:t>Fair Value Measurements at September 30, 2011</w:t>
            </w: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14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254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25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40" w:type="dxa"/>
            <w:vAlign w:val="bottom"/>
            <w:gridSpan w:val="2"/>
            <w:vMerge w:val="continue"/>
            <w:shd w:val="clear" w:color="auto" w:fill="CCEEFF"/>
          </w:tcPr>
          <w:p>
            <w:pPr>
              <w:spacing w:after="0"/>
              <w:rPr>
                <w:sz w:val="14"/>
                <w:szCs w:val="14"/>
                <w:color w:val="auto"/>
              </w:rPr>
            </w:pPr>
          </w:p>
        </w:tc>
        <w:tc>
          <w:tcPr>
            <w:tcW w:w="2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4"/>
              </w:rPr>
              <w:t>94,333,126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3"/>
              </w:rPr>
              <w:t>2,033,747</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92,299,379</w:t>
            </w:r>
          </w:p>
        </w:tc>
        <w:tc>
          <w:tcPr>
            <w:tcW w:w="0" w:type="dxa"/>
            <w:vAlign w:val="bottom"/>
          </w:tcPr>
          <w:p>
            <w:pPr>
              <w:spacing w:after="0"/>
              <w:rPr>
                <w:sz w:val="1"/>
                <w:szCs w:val="1"/>
                <w:color w:val="auto"/>
              </w:rPr>
            </w:pPr>
          </w:p>
        </w:tc>
      </w:tr>
      <w:tr>
        <w:trPr>
          <w:trHeight w:val="175"/>
        </w:trPr>
        <w:tc>
          <w:tcPr>
            <w:tcW w:w="38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5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9,285,000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254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7,004,130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3"/>
              </w:rPr>
              <w:t>1,155,000</w:t>
            </w: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5,849,130</w:t>
            </w:r>
          </w:p>
        </w:tc>
        <w:tc>
          <w:tcPr>
            <w:tcW w:w="0" w:type="dxa"/>
            <w:vAlign w:val="bottom"/>
          </w:tcPr>
          <w:p>
            <w:pPr>
              <w:spacing w:after="0"/>
              <w:rPr>
                <w:sz w:val="1"/>
                <w:szCs w:val="1"/>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2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101,985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101,985</w:t>
            </w:r>
          </w:p>
        </w:tc>
        <w:tc>
          <w:tcPr>
            <w:tcW w:w="0" w:type="dxa"/>
            <w:vAlign w:val="bottom"/>
          </w:tcPr>
          <w:p>
            <w:pPr>
              <w:spacing w:after="0"/>
              <w:rPr>
                <w:sz w:val="1"/>
                <w:szCs w:val="1"/>
                <w:color w:val="auto"/>
              </w:rPr>
            </w:pPr>
          </w:p>
        </w:tc>
      </w:tr>
      <w:tr>
        <w:trPr>
          <w:trHeight w:val="196"/>
        </w:trPr>
        <w:tc>
          <w:tcPr>
            <w:tcW w:w="3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w:t>
            </w:r>
          </w:p>
        </w:tc>
        <w:tc>
          <w:tcPr>
            <w:tcW w:w="254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4"/>
              </w:rPr>
              <w:t>110,724,241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3"/>
              </w:rPr>
              <w:t>3,188,747</w:t>
            </w: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0" w:type="dxa"/>
            <w:vAlign w:val="bottom"/>
          </w:tcPr>
          <w:p>
            <w:pPr>
              <w:spacing w:after="0"/>
              <w:rPr>
                <w:sz w:val="1"/>
                <w:szCs w:val="1"/>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4"/>
                <w:szCs w:val="14"/>
                <w:color w:val="auto"/>
              </w:rPr>
              <w:t>Cash equivalents</w:t>
            </w:r>
          </w:p>
        </w:tc>
        <w:tc>
          <w:tcPr>
            <w:tcW w:w="2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3"/>
              </w:rPr>
              <w:t>6,987,450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 and cash equivalents</w:t>
            </w:r>
          </w:p>
        </w:tc>
        <w:tc>
          <w:tcPr>
            <w:tcW w:w="254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117,711,691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3"/>
              </w:rPr>
              <w:t>6,987,450</w:t>
            </w: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3,188,747</w:t>
            </w: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40" w:type="dxa"/>
            <w:vAlign w:val="bottom"/>
            <w:gridSpan w:val="2"/>
            <w:vMerge w:val="continue"/>
          </w:tcPr>
          <w:p>
            <w:pPr>
              <w:spacing w:after="0"/>
              <w:rPr>
                <w:sz w:val="15"/>
                <w:szCs w:val="15"/>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24,650,000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24,650,000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tcPr>
          <w:p>
            <w:pPr>
              <w:jc w:val="right"/>
              <w:ind w:right="932"/>
              <w:spacing w:after="0"/>
              <w:rPr>
                <w:sz w:val="20"/>
                <w:szCs w:val="20"/>
                <w:color w:val="auto"/>
              </w:rPr>
            </w:pPr>
            <w:r>
              <w:rPr>
                <w:rFonts w:ascii="Arial" w:cs="Arial" w:eastAsia="Arial" w:hAnsi="Arial"/>
                <w:sz w:val="14"/>
                <w:szCs w:val="14"/>
                <w:color w:val="auto"/>
              </w:rPr>
              <w:t>F-41</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 for the six months ended March 31, 2012 and for the period from March 4, 2011 (commencement of operations) to September 30, 2011:</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98" w:lineRule="auto"/>
        <w:rPr>
          <w:sz w:val="20"/>
          <w:szCs w:val="20"/>
          <w:color w:val="auto"/>
        </w:rPr>
      </w:pPr>
      <w:r>
        <w:rPr>
          <w:rFonts w:ascii="Arial" w:cs="Arial" w:eastAsia="Arial" w:hAnsi="Arial"/>
          <w:sz w:val="14"/>
          <w:szCs w:val="14"/>
          <w:color w:val="auto"/>
        </w:rPr>
        <w:t>Beginning Balance, October 1, 2011</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00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Realized gains</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Unrealized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200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PIK and net discount accretion</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Sales /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200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and/or out of Level 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Ending Balance,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200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62"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Net change in unrealized appreciation for the six months ended March 31, 2012 reported within the net change in unrealized appreciation on investments in our Consolidated Statement of Operations attributable to our Level 3 assets still held at the reporting date.</w:t>
      </w:r>
    </w:p>
    <w:p>
      <w:pPr>
        <w:spacing w:after="0" w:line="153"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22"/>
          <w:szCs w:val="22"/>
          <w:color w:val="auto"/>
          <w:vertAlign w:val="superscript"/>
        </w:rPr>
      </w:pPr>
      <w:r>
        <w:rPr>
          <w:rFonts w:ascii="Arial" w:cs="Arial" w:eastAsia="Arial" w:hAnsi="Arial"/>
          <w:sz w:val="14"/>
          <w:szCs w:val="14"/>
          <w:color w:val="auto"/>
        </w:rPr>
        <w:t>As-adjusted to conform to current year presentation.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Six Months Ended March 31, 2012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Second lien,</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First Lien</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and equity investments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Totals</w:t>
            </w:r>
          </w:p>
        </w:tc>
        <w:tc>
          <w:tcPr>
            <w:tcW w:w="40" w:type="dxa"/>
            <w:vAlign w:val="bottom"/>
          </w:tcPr>
          <w:p>
            <w:pPr>
              <w:spacing w:after="0"/>
              <w:rPr>
                <w:sz w:val="14"/>
                <w:szCs w:val="14"/>
                <w:color w:val="auto"/>
              </w:rPr>
            </w:pPr>
          </w:p>
        </w:tc>
      </w:tr>
      <w:tr>
        <w:trPr>
          <w:trHeight w:val="169"/>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89,329,379</w:t>
            </w:r>
          </w:p>
        </w:tc>
        <w:tc>
          <w:tcPr>
            <w:tcW w:w="260" w:type="dxa"/>
            <w:vAlign w:val="bottom"/>
          </w:tcPr>
          <w:p>
            <w:pPr>
              <w:spacing w:after="0"/>
              <w:rPr>
                <w:sz w:val="14"/>
                <w:szCs w:val="14"/>
                <w:color w:val="auto"/>
              </w:rPr>
            </w:pP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18,206,115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84"/>
              </w:rPr>
              <w:t>107,535,494</w:t>
            </w:r>
          </w:p>
        </w:tc>
        <w:tc>
          <w:tcPr>
            <w:tcW w:w="40" w:type="dxa"/>
            <w:vAlign w:val="bottom"/>
          </w:tcPr>
          <w:p>
            <w:pPr>
              <w:spacing w:after="0"/>
              <w:rPr>
                <w:sz w:val="14"/>
                <w:szCs w:val="14"/>
                <w:color w:val="auto"/>
              </w:rPr>
            </w:pPr>
          </w:p>
        </w:tc>
      </w:tr>
      <w:tr>
        <w:trPr>
          <w:trHeight w:val="176"/>
        </w:trPr>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315,366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86,442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401,808</w:t>
            </w:r>
          </w:p>
        </w:tc>
        <w:tc>
          <w:tcPr>
            <w:tcW w:w="40" w:type="dxa"/>
            <w:vAlign w:val="bottom"/>
          </w:tcPr>
          <w:p>
            <w:pPr>
              <w:spacing w:after="0"/>
              <w:rPr>
                <w:sz w:val="15"/>
                <w:szCs w:val="15"/>
                <w:color w:val="auto"/>
              </w:rPr>
            </w:pPr>
          </w:p>
        </w:tc>
      </w:tr>
      <w:tr>
        <w:trPr>
          <w:trHeight w:val="189"/>
        </w:trPr>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3,176,684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543,615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3,720,299</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67,494,977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2,868,886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70,363,863</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(34,010,082)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(5,533,750)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8"/>
              </w:rPr>
              <w:t>(39,543,832)</w:t>
            </w:r>
          </w:p>
        </w:tc>
      </w:tr>
      <w:tr>
        <w:trPr>
          <w:trHeight w:val="197"/>
        </w:trPr>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196"/>
        </w:trPr>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126,306,324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16,171,308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142,477,632</w:t>
            </w:r>
          </w:p>
        </w:tc>
        <w:tc>
          <w:tcPr>
            <w:tcW w:w="40" w:type="dxa"/>
            <w:vAlign w:val="bottom"/>
          </w:tcPr>
          <w:p>
            <w:pPr>
              <w:spacing w:after="0"/>
              <w:rPr>
                <w:sz w:val="17"/>
                <w:szCs w:val="17"/>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3,638,956</w:t>
            </w:r>
          </w:p>
        </w:tc>
        <w:tc>
          <w:tcPr>
            <w:tcW w:w="260" w:type="dxa"/>
            <w:vAlign w:val="bottom"/>
          </w:tcPr>
          <w:p>
            <w:pPr>
              <w:spacing w:after="0"/>
              <w:rPr>
                <w:sz w:val="24"/>
                <w:szCs w:val="24"/>
                <w:color w:val="auto"/>
              </w:rPr>
            </w:pP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546,020</w:t>
            </w:r>
          </w:p>
        </w:tc>
        <w:tc>
          <w:tcPr>
            <w:tcW w:w="2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4,184,976</w:t>
            </w:r>
          </w:p>
        </w:tc>
        <w:tc>
          <w:tcPr>
            <w:tcW w:w="40" w:type="dxa"/>
            <w:vAlign w:val="bottom"/>
          </w:tcPr>
          <w:p>
            <w:pPr>
              <w:spacing w:after="0"/>
              <w:rPr>
                <w:sz w:val="24"/>
                <w:szCs w:val="24"/>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54" w:lineRule="exact"/>
        <w:rPr>
          <w:sz w:val="20"/>
          <w:szCs w:val="20"/>
          <w:color w:val="auto"/>
        </w:rPr>
      </w:pPr>
    </w:p>
    <w:p>
      <w:pPr>
        <w:sectPr>
          <w:pgSz w:w="11900" w:h="16838" w:orient="portrait"/>
          <w:cols w:equalWidth="0" w:num="2">
            <w:col w:w="7120" w:space="440"/>
            <w:col w:w="38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87"/>
              </w:rPr>
              <w:t>March 4, 2011 (commencement of operations) to September 30, 2011</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subordinated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0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debt and equity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tcBorders>
            <w:vMerge w:val="continue"/>
          </w:tcPr>
          <w:p>
            <w:pPr>
              <w:spacing w:after="0"/>
              <w:rPr>
                <w:sz w:val="12"/>
                <w:szCs w:val="12"/>
                <w:color w:val="auto"/>
              </w:rPr>
            </w:pPr>
          </w:p>
        </w:tc>
        <w:tc>
          <w:tcPr>
            <w:tcW w:w="6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Beginning Balance, March 4, 2011</w:t>
            </w: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60" w:type="dxa"/>
            <w:vAlign w:val="bottom"/>
            <w:gridSpan w:val="2"/>
            <w:vMerge w:val="continue"/>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760" w:type="dxa"/>
            <w:vAlign w:val="bottom"/>
            <w:gridSpan w:val="2"/>
          </w:tcPr>
          <w:p>
            <w:pPr>
              <w:ind w:left="440"/>
              <w:spacing w:after="0"/>
              <w:rPr>
                <w:sz w:val="20"/>
                <w:szCs w:val="20"/>
                <w:color w:val="auto"/>
              </w:rPr>
            </w:pPr>
            <w:r>
              <w:rPr>
                <w:rFonts w:ascii="Arial" w:cs="Arial" w:eastAsia="Arial" w:hAnsi="Arial"/>
                <w:sz w:val="14"/>
                <w:szCs w:val="14"/>
                <w:color w:val="auto"/>
              </w:rPr>
              <w:t>Realized gains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218,684</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93,319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312,003</w:t>
            </w:r>
          </w:p>
        </w:tc>
        <w:tc>
          <w:tcPr>
            <w:tcW w:w="0" w:type="dxa"/>
            <w:vAlign w:val="bottom"/>
          </w:tcPr>
          <w:p>
            <w:pPr>
              <w:spacing w:after="0"/>
              <w:rPr>
                <w:sz w:val="1"/>
                <w:szCs w:val="1"/>
                <w:color w:val="auto"/>
              </w:rPr>
            </w:pPr>
          </w:p>
        </w:tc>
      </w:tr>
      <w:tr>
        <w:trPr>
          <w:trHeight w:val="196"/>
        </w:trPr>
        <w:tc>
          <w:tcPr>
            <w:tcW w:w="6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Unrealized depreciation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(3,621,606)</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(93,301)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182"/>
        </w:trPr>
        <w:tc>
          <w:tcPr>
            <w:tcW w:w="6760" w:type="dxa"/>
            <w:vAlign w:val="bottom"/>
            <w:gridSpan w:val="2"/>
          </w:tcPr>
          <w:p>
            <w:pPr>
              <w:ind w:left="440"/>
              <w:spacing w:after="0"/>
              <w:rPr>
                <w:sz w:val="20"/>
                <w:szCs w:val="20"/>
                <w:color w:val="auto"/>
              </w:rPr>
            </w:pPr>
            <w:r>
              <w:rPr>
                <w:rFonts w:ascii="Arial" w:cs="Arial" w:eastAsia="Arial" w:hAnsi="Arial"/>
                <w:sz w:val="14"/>
                <w:szCs w:val="14"/>
                <w:color w:val="auto"/>
              </w:rPr>
              <w:t>Purchases, PIK and net discount accretion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124,246,206</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19,766,732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144,012,938</w:t>
            </w:r>
          </w:p>
        </w:tc>
        <w:tc>
          <w:tcPr>
            <w:tcW w:w="0" w:type="dxa"/>
            <w:vAlign w:val="bottom"/>
          </w:tcPr>
          <w:p>
            <w:pPr>
              <w:spacing w:after="0"/>
              <w:rPr>
                <w:sz w:val="1"/>
                <w:szCs w:val="1"/>
                <w:color w:val="auto"/>
              </w:rPr>
            </w:pPr>
          </w:p>
        </w:tc>
      </w:tr>
      <w:tr>
        <w:trPr>
          <w:trHeight w:val="196"/>
        </w:trPr>
        <w:tc>
          <w:tcPr>
            <w:tcW w:w="6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Sales / repayments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(28,543,905)</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(4,530,635)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(33,074,540)</w:t>
            </w:r>
          </w:p>
        </w:tc>
        <w:tc>
          <w:tcPr>
            <w:tcW w:w="0" w:type="dxa"/>
            <w:vAlign w:val="bottom"/>
          </w:tcPr>
          <w:p>
            <w:pPr>
              <w:spacing w:after="0"/>
              <w:rPr>
                <w:sz w:val="1"/>
                <w:szCs w:val="1"/>
                <w:color w:val="auto"/>
              </w:rPr>
            </w:pPr>
          </w:p>
        </w:tc>
      </w:tr>
      <w:tr>
        <w:trPr>
          <w:trHeight w:val="183"/>
        </w:trPr>
        <w:tc>
          <w:tcPr>
            <w:tcW w:w="6760" w:type="dxa"/>
            <w:vAlign w:val="bottom"/>
            <w:gridSpan w:val="2"/>
          </w:tcPr>
          <w:p>
            <w:pPr>
              <w:ind w:left="440"/>
              <w:spacing w:after="0"/>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Ending Balance, September 30, 2011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92,299,379</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15,236,115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4"/>
                <w:szCs w:val="14"/>
                <w:color w:val="auto"/>
                <w:w w:val="98"/>
              </w:rPr>
              <w:t>Net change in unrealized depreciation for the year reported within the net change in unrealized depreciation on</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7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760" w:type="dxa"/>
            <w:vAlign w:val="bottom"/>
            <w:gridSpan w:val="2"/>
          </w:tcPr>
          <w:p>
            <w:pPr>
              <w:spacing w:after="0" w:line="159" w:lineRule="exact"/>
              <w:rPr>
                <w:sz w:val="20"/>
                <w:szCs w:val="20"/>
                <w:color w:val="auto"/>
              </w:rPr>
            </w:pPr>
            <w:r>
              <w:rPr>
                <w:rFonts w:ascii="Arial" w:cs="Arial" w:eastAsia="Arial" w:hAnsi="Arial"/>
                <w:sz w:val="14"/>
                <w:szCs w:val="14"/>
                <w:color w:val="auto"/>
                <w:w w:val="90"/>
              </w:rPr>
              <w:t>investments in our Consolidated Statement of Operations attributable to our Level 3 assets still held at the reporting date.</w:t>
            </w:r>
          </w:p>
        </w:tc>
        <w:tc>
          <w:tcPr>
            <w:tcW w:w="3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(3,621,606)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(93,301)</w:t>
            </w:r>
          </w:p>
        </w:tc>
        <w:tc>
          <w:tcPr>
            <w:tcW w:w="4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40" w:type="dxa"/>
            <w:vAlign w:val="bottom"/>
            <w:vMerge w:val="restart"/>
          </w:tcPr>
          <w:p>
            <w:pPr>
              <w:ind w:left="4860"/>
              <w:spacing w:after="0"/>
              <w:rPr>
                <w:sz w:val="20"/>
                <w:szCs w:val="20"/>
                <w:color w:val="auto"/>
              </w:rPr>
            </w:pPr>
            <w:r>
              <w:rPr>
                <w:rFonts w:ascii="Arial" w:cs="Arial" w:eastAsia="Arial" w:hAnsi="Arial"/>
                <w:sz w:val="14"/>
                <w:szCs w:val="14"/>
                <w:color w:val="auto"/>
              </w:rPr>
              <w:t>F-42</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shows a reconciliation of the beginning and ending balances for fair valued liabilities measured using significant unobservable inputs (Level 3) for the six months ended March 31,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0" w:type="dxa"/>
            <w:vAlign w:val="bottom"/>
          </w:tcPr>
          <w:p>
            <w:pPr>
              <w:spacing w:after="0"/>
              <w:rPr>
                <w:sz w:val="20"/>
                <w:szCs w:val="20"/>
                <w:color w:val="auto"/>
              </w:rPr>
            </w:pPr>
            <w:r>
              <w:rPr>
                <w:rFonts w:ascii="Arial" w:cs="Arial" w:eastAsia="Arial" w:hAnsi="Arial"/>
                <w:sz w:val="14"/>
                <w:szCs w:val="14"/>
                <w:b w:val="1"/>
                <w:bCs w:val="1"/>
                <w:color w:val="auto"/>
              </w:rPr>
              <w:t>Six Months Ended March 31, 2012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5"/>
        </w:trPr>
        <w:tc>
          <w:tcPr>
            <w:tcW w:w="106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Carrying /</w:t>
            </w:r>
          </w:p>
        </w:tc>
      </w:tr>
      <w:tr>
        <w:trPr>
          <w:trHeight w:val="161"/>
        </w:trPr>
        <w:tc>
          <w:tcPr>
            <w:tcW w:w="1060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r>
      <w:tr>
        <w:trPr>
          <w:trHeight w:val="169"/>
        </w:trPr>
        <w:tc>
          <w:tcPr>
            <w:tcW w:w="106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Beginning Balance, September 30, 2011 (cost – $24,650,000)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$ 24,650,000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82"/>
        </w:trPr>
        <w:tc>
          <w:tcPr>
            <w:tcW w:w="10600" w:type="dxa"/>
            <w:vAlign w:val="bottom"/>
          </w:tcPr>
          <w:p>
            <w:pPr>
              <w:ind w:left="440"/>
              <w:spacing w:after="0"/>
              <w:rPr>
                <w:sz w:val="20"/>
                <w:szCs w:val="20"/>
                <w:color w:val="auto"/>
              </w:rPr>
            </w:pPr>
            <w:r>
              <w:rPr>
                <w:rFonts w:ascii="Arial" w:cs="Arial" w:eastAsia="Arial" w:hAnsi="Arial"/>
                <w:sz w:val="14"/>
                <w:szCs w:val="14"/>
                <w:color w:val="auto"/>
              </w:rPr>
              <w:t>Total unrealized depreciation included in earnings</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(239,000)</w:t>
            </w:r>
          </w:p>
        </w:tc>
      </w:tr>
      <w:tr>
        <w:trPr>
          <w:trHeight w:val="196"/>
        </w:trPr>
        <w:tc>
          <w:tcPr>
            <w:tcW w:w="106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Borrowings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54,050,000</w:t>
            </w:r>
          </w:p>
        </w:tc>
        <w:tc>
          <w:tcPr>
            <w:tcW w:w="100" w:type="dxa"/>
            <w:vAlign w:val="bottom"/>
            <w:shd w:val="clear" w:color="auto" w:fill="CCEEFF"/>
          </w:tcPr>
          <w:p>
            <w:pPr>
              <w:spacing w:after="0"/>
              <w:rPr>
                <w:sz w:val="17"/>
                <w:szCs w:val="17"/>
                <w:color w:val="auto"/>
              </w:rPr>
            </w:pPr>
          </w:p>
        </w:tc>
      </w:tr>
      <w:tr>
        <w:trPr>
          <w:trHeight w:val="182"/>
        </w:trPr>
        <w:tc>
          <w:tcPr>
            <w:tcW w:w="10600" w:type="dxa"/>
            <w:vAlign w:val="bottom"/>
          </w:tcPr>
          <w:p>
            <w:pPr>
              <w:ind w:left="440"/>
              <w:spacing w:after="0"/>
              <w:rPr>
                <w:sz w:val="20"/>
                <w:szCs w:val="20"/>
                <w:color w:val="auto"/>
              </w:rPr>
            </w:pPr>
            <w:r>
              <w:rPr>
                <w:rFonts w:ascii="Arial" w:cs="Arial" w:eastAsia="Arial" w:hAnsi="Arial"/>
                <w:sz w:val="14"/>
                <w:szCs w:val="14"/>
                <w:color w:val="auto"/>
              </w:rPr>
              <w:t>Repayments</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(30,900,000)</w:t>
            </w:r>
          </w:p>
        </w:tc>
      </w:tr>
      <w:tr>
        <w:trPr>
          <w:trHeight w:val="196"/>
        </w:trPr>
        <w:tc>
          <w:tcPr>
            <w:tcW w:w="106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Transfers in and/or out of Level 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0"/>
        </w:trPr>
        <w:tc>
          <w:tcPr>
            <w:tcW w:w="10600" w:type="dxa"/>
            <w:vAlign w:val="bottom"/>
          </w:tcPr>
          <w:p>
            <w:pPr>
              <w:spacing w:after="0"/>
              <w:rPr>
                <w:sz w:val="20"/>
                <w:szCs w:val="20"/>
                <w:color w:val="auto"/>
              </w:rPr>
            </w:pPr>
            <w:r>
              <w:rPr>
                <w:rFonts w:ascii="Arial" w:cs="Arial" w:eastAsia="Arial" w:hAnsi="Arial"/>
                <w:sz w:val="14"/>
                <w:szCs w:val="14"/>
                <w:color w:val="auto"/>
              </w:rPr>
              <w:t>Ending Balance, March 31, 2012 (cost – $47,800,000)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$ 47,561,000</w:t>
            </w:r>
          </w:p>
        </w:tc>
        <w:tc>
          <w:tcPr>
            <w:tcW w:w="100" w:type="dxa"/>
            <w:vAlign w:val="bottom"/>
          </w:tcPr>
          <w:p>
            <w:pPr>
              <w:spacing w:after="0"/>
              <w:rPr>
                <w:sz w:val="16"/>
                <w:szCs w:val="16"/>
                <w:color w:val="auto"/>
              </w:rPr>
            </w:pPr>
          </w:p>
        </w:tc>
      </w:tr>
      <w:tr>
        <w:trPr>
          <w:trHeight w:val="20"/>
        </w:trPr>
        <w:tc>
          <w:tcPr>
            <w:tcW w:w="10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net unrealized depreciation of $0.2 million and zero, respectively. We use one or more nationally recognized independent valuation service to measure the fair value of the Credit Facility in a manner consistent with the valuation process that the board of directors uses to value investments.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gridSpan w:val="2"/>
          </w:tcPr>
          <w:p>
            <w:pPr>
              <w:ind w:left="460"/>
              <w:spacing w:after="0"/>
              <w:rPr>
                <w:sz w:val="20"/>
                <w:szCs w:val="20"/>
                <w:color w:val="auto"/>
              </w:rPr>
            </w:pPr>
            <w:r>
              <w:rPr>
                <w:rFonts w:ascii="Arial" w:cs="Arial" w:eastAsia="Arial" w:hAnsi="Arial"/>
                <w:sz w:val="14"/>
                <w:szCs w:val="14"/>
                <w:color w:val="auto"/>
                <w:w w:val="93"/>
              </w:rPr>
              <w:t>The following information sets forth the computation of basic and diluted per share net increase in net assets resulting from operations.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7300" w:type="dxa"/>
            <w:vAlign w:val="bottom"/>
            <w:vMerge w:val="restart"/>
          </w:tcPr>
          <w:p>
            <w:pPr>
              <w:spacing w:after="0"/>
              <w:rPr>
                <w:sz w:val="24"/>
                <w:szCs w:val="2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7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March 31, 2012</w:t>
            </w:r>
          </w:p>
        </w:tc>
        <w:tc>
          <w:tcPr>
            <w:tcW w:w="80" w:type="dxa"/>
            <w:vAlign w:val="bottom"/>
          </w:tcPr>
          <w:p>
            <w:pPr>
              <w:spacing w:after="0"/>
              <w:rPr>
                <w:sz w:val="14"/>
                <w:szCs w:val="14"/>
                <w:color w:val="auto"/>
              </w:rPr>
            </w:pPr>
          </w:p>
        </w:tc>
        <w:tc>
          <w:tcPr>
            <w:tcW w:w="10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63"/>
        </w:trPr>
        <w:tc>
          <w:tcPr>
            <w:tcW w:w="8240" w:type="dxa"/>
            <w:vAlign w:val="bottom"/>
            <w:tcBorders>
              <w:top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Numerator for net increase in net assets resulting from operations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4,525,075</w:t>
            </w: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7,630,240</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40" w:type="dxa"/>
            <w:vAlign w:val="bottom"/>
            <w:gridSpan w:val="2"/>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6,850,667</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6,850,667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2012 and September 30, 2011, cash equivalents consisted of $3.8 million and $7.0 million, including amounts in money market funds,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net assets and net asset value per share on March 31, 2012 were $96.7 million and $14.12 per share, respectively. Below are the financial highlights for the six months ended March 31, 2012.</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20" w:type="dxa"/>
            <w:vAlign w:val="bottom"/>
            <w:gridSpan w:val="4"/>
          </w:tcPr>
          <w:p>
            <w:pPr>
              <w:ind w:left="1620"/>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March 31, 2012</w:t>
            </w:r>
          </w:p>
        </w:tc>
      </w:tr>
      <w:tr>
        <w:trPr>
          <w:trHeight w:val="129"/>
        </w:trPr>
        <w:tc>
          <w:tcPr>
            <w:tcW w:w="20" w:type="dxa"/>
            <w:vAlign w:val="bottom"/>
          </w:tcPr>
          <w:p>
            <w:pPr>
              <w:spacing w:after="0"/>
              <w:rPr>
                <w:sz w:val="11"/>
                <w:szCs w:val="11"/>
                <w:color w:val="auto"/>
              </w:rPr>
            </w:pPr>
          </w:p>
        </w:tc>
        <w:tc>
          <w:tcPr>
            <w:tcW w:w="49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Per Share Data</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w:t>
            </w:r>
          </w:p>
        </w:tc>
        <w:tc>
          <w:tcPr>
            <w:tcW w:w="16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700" w:type="dxa"/>
            <w:vAlign w:val="bottom"/>
            <w:gridSpan w:val="2"/>
          </w:tcPr>
          <w:p>
            <w:pPr>
              <w:ind w:left="16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Net change in realized and unrealized gain</w:t>
            </w:r>
          </w:p>
        </w:tc>
        <w:tc>
          <w:tcPr>
            <w:tcW w:w="1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0.69</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1"/>
                <w:szCs w:val="11"/>
                <w:color w:val="auto"/>
              </w:rPr>
              <w:t xml:space="preserve">Dividends to stockholders </w:t>
            </w:r>
            <w:r>
              <w:rPr>
                <w:rFonts w:ascii="Arial" w:cs="Arial" w:eastAsia="Arial" w:hAnsi="Arial"/>
                <w:sz w:val="17"/>
                <w:szCs w:val="17"/>
                <w:color w:val="auto"/>
                <w:vertAlign w:val="superscript"/>
              </w:rPr>
              <w:t>(2)</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(0.44)</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6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12"/>
                <w:szCs w:val="12"/>
                <w:color w:val="auto"/>
              </w:rPr>
            </w:pPr>
          </w:p>
        </w:tc>
      </w:tr>
      <w:tr>
        <w:trPr>
          <w:trHeight w:val="163"/>
        </w:trPr>
        <w:tc>
          <w:tcPr>
            <w:tcW w:w="4940" w:type="dxa"/>
            <w:vAlign w:val="bottom"/>
            <w:gridSpan w:val="2"/>
          </w:tcPr>
          <w:p>
            <w:pPr>
              <w:spacing w:after="0" w:line="155" w:lineRule="exact"/>
              <w:rPr>
                <w:sz w:val="20"/>
                <w:szCs w:val="20"/>
                <w:color w:val="auto"/>
              </w:rPr>
            </w:pPr>
            <w:r>
              <w:rPr>
                <w:rFonts w:ascii="Arial" w:cs="Arial" w:eastAsia="Arial" w:hAnsi="Arial"/>
                <w:sz w:val="14"/>
                <w:szCs w:val="14"/>
                <w:color w:val="auto"/>
              </w:rPr>
              <w:t>Per share market value, end of period</w:t>
            </w:r>
          </w:p>
        </w:tc>
        <w:tc>
          <w:tcPr>
            <w:tcW w:w="1620" w:type="dxa"/>
            <w:vAlign w:val="bottom"/>
          </w:tcPr>
          <w:p>
            <w:pPr>
              <w:spacing w:after="0"/>
              <w:rPr>
                <w:sz w:val="14"/>
                <w:szCs w:val="14"/>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w:t>
            </w: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(3)</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15.75%</w:t>
            </w: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6,850,667</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Supplemental Data: **</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Ratio of operating expenses to average net assets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3.88%</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w:t>
            </w: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5.20%</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6.19%</w:t>
            </w: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620" w:type="dxa"/>
            <w:vAlign w:val="bottom"/>
          </w:tcPr>
          <w:p>
            <w:pPr>
              <w:spacing w:after="0"/>
              <w:rPr>
                <w:sz w:val="13"/>
                <w:szCs w:val="13"/>
                <w:color w:val="auto"/>
              </w:rPr>
            </w:pPr>
          </w:p>
        </w:tc>
        <w:tc>
          <w:tcPr>
            <w:tcW w:w="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96,722,305</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outstanding</w:t>
            </w:r>
          </w:p>
        </w:tc>
        <w:tc>
          <w:tcPr>
            <w:tcW w:w="16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34,512,568</w:t>
            </w:r>
          </w:p>
        </w:tc>
        <w:tc>
          <w:tcPr>
            <w:tcW w:w="120" w:type="dxa"/>
            <w:vAlign w:val="bottom"/>
            <w:shd w:val="clear" w:color="auto" w:fill="CCEEFF"/>
          </w:tcPr>
          <w:p>
            <w:pPr>
              <w:spacing w:after="0"/>
              <w:rPr>
                <w:sz w:val="12"/>
                <w:szCs w:val="12"/>
                <w:color w:val="auto"/>
              </w:rPr>
            </w:pPr>
          </w:p>
        </w:tc>
      </w:tr>
      <w:tr>
        <w:trPr>
          <w:trHeight w:val="156"/>
        </w:trPr>
        <w:tc>
          <w:tcPr>
            <w:tcW w:w="4940" w:type="dxa"/>
            <w:vAlign w:val="bottom"/>
            <w:gridSpan w:val="2"/>
          </w:tcPr>
          <w:p>
            <w:pPr>
              <w:spacing w:after="0" w:line="155" w:lineRule="exact"/>
              <w:rPr>
                <w:sz w:val="20"/>
                <w:szCs w:val="20"/>
                <w:color w:val="auto"/>
              </w:rPr>
            </w:pPr>
            <w:r>
              <w:rPr>
                <w:rFonts w:ascii="Arial" w:cs="Arial" w:eastAsia="Arial" w:hAnsi="Arial"/>
                <w:sz w:val="14"/>
                <w:szCs w:val="14"/>
                <w:color w:val="auto"/>
              </w:rPr>
              <w:t>Average debt per share</w:t>
            </w:r>
          </w:p>
        </w:tc>
        <w:tc>
          <w:tcPr>
            <w:tcW w:w="1700" w:type="dxa"/>
            <w:vAlign w:val="bottom"/>
            <w:gridSpan w:val="2"/>
          </w:tcPr>
          <w:p>
            <w:pPr>
              <w:ind w:left="1620"/>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5.04</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right="8700" w:firstLine="8"/>
        <w:spacing w:after="0" w:line="268" w:lineRule="auto"/>
        <w:tabs>
          <w:tab w:leader="none" w:pos="216"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Not annualized for periods less than one year. ** Annualized for periods less than one year.</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(1)</w:t>
      </w:r>
      <w:r>
        <w:rPr>
          <w:rFonts w:ascii="Arial" w:cs="Arial" w:eastAsia="Arial" w:hAnsi="Arial"/>
          <w:sz w:val="11"/>
          <w:szCs w:val="11"/>
          <w:color w:val="auto"/>
        </w:rPr>
        <w:t xml:space="preserve">  Per share data are calculated based on the weighted average shares outstanding for the period except for net asset value.</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(2)</w:t>
      </w:r>
      <w:r>
        <w:rPr>
          <w:rFonts w:ascii="Arial" w:cs="Arial" w:eastAsia="Arial" w:hAnsi="Arial"/>
          <w:sz w:val="11"/>
          <w:szCs w:val="11"/>
          <w:color w:val="auto"/>
        </w:rPr>
        <w:t xml:space="preserve">  Dividends and distributions are determined based on taxable income calculated in accordance with income tax regulations, which may differ from amounts determined under GAAP.</w:t>
      </w:r>
    </w:p>
    <w:p>
      <w:pPr>
        <w:spacing w:after="0"/>
        <w:rPr>
          <w:rFonts w:ascii="Arial" w:cs="Arial" w:eastAsia="Arial" w:hAnsi="Arial"/>
          <w:sz w:val="12"/>
          <w:szCs w:val="12"/>
          <w:color w:val="auto"/>
        </w:rPr>
      </w:pPr>
      <w:r>
        <w:rPr>
          <w:rFonts w:ascii="Arial" w:cs="Arial" w:eastAsia="Arial" w:hAnsi="Arial"/>
          <w:sz w:val="19"/>
          <w:szCs w:val="19"/>
          <w:color w:val="auto"/>
          <w:vertAlign w:val="superscript"/>
        </w:rPr>
        <w:t>(3)</w:t>
      </w:r>
      <w:r>
        <w:rPr>
          <w:rFonts w:ascii="Arial" w:cs="Arial" w:eastAsia="Arial" w:hAnsi="Arial"/>
          <w:sz w:val="12"/>
          <w:szCs w:val="12"/>
          <w:color w:val="auto"/>
        </w:rPr>
        <w:t xml:space="preserve">  Total return is based on the change in market price per share during the period and takes into account dividends and distributions, if any, reinvested in accordance with our dividend reinvestment plan.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On June 23, 2011, Funding I entered into a five-year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March 31, 2012 and September 30, 2011, Funding I had $47.8 million and $24.7 million of outstanding borrowings under the Credit Facility, carried an interest rate of 2.54% and 2.53%, excluding the 0.50% undrawn commitment fee.</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substantially all of the assets of the Company.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required to be used for assets or liabilities for such compliance reporting). As of March 31, 2012, we were in compliance with our covenants relating to our Credit Facility.</w:t>
      </w:r>
    </w:p>
    <w:p>
      <w:pPr>
        <w:spacing w:after="0" w:line="140" w:lineRule="exact"/>
        <w:rPr>
          <w:sz w:val="20"/>
          <w:szCs w:val="20"/>
          <w:color w:val="auto"/>
        </w:rPr>
      </w:pPr>
    </w:p>
    <w:p>
      <w:pPr>
        <w:ind w:right="140" w:firstLine="456"/>
        <w:spacing w:after="0" w:line="22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7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PART C</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OTHER INFORMATION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1"/>
          <w:szCs w:val="11"/>
          <w:b w:val="1"/>
          <w:bCs w:val="1"/>
          <w:color w:val="auto"/>
        </w:rPr>
        <w:t>Financial statements and exhibits</w:t>
      </w:r>
    </w:p>
    <w:p>
      <w:pPr>
        <w:spacing w:after="0" w:line="192" w:lineRule="exact"/>
        <w:rPr>
          <w:sz w:val="20"/>
          <w:szCs w:val="20"/>
          <w:color w:val="auto"/>
        </w:rPr>
      </w:pPr>
    </w:p>
    <w:p>
      <w:pPr>
        <w:ind w:left="660" w:hanging="456"/>
        <w:spacing w:after="0"/>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203"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The Index to Consolidated Financial Statements on page F-1 of this Registration Statement is hereby incorporated by reference.</w:t>
      </w:r>
    </w:p>
    <w:p>
      <w:pPr>
        <w:spacing w:after="0" w:line="204" w:lineRule="exact"/>
        <w:rPr>
          <w:sz w:val="20"/>
          <w:szCs w:val="20"/>
          <w:color w:val="auto"/>
        </w:rPr>
      </w:pPr>
    </w:p>
    <w:p>
      <w:pPr>
        <w:ind w:left="660" w:hanging="456"/>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Exhibits.</w:t>
      </w:r>
    </w:p>
    <w:p>
      <w:pPr>
        <w:spacing w:after="0" w:line="163" w:lineRule="exact"/>
        <w:rPr>
          <w:sz w:val="20"/>
          <w:szCs w:val="20"/>
          <w:color w:val="auto"/>
        </w:rPr>
      </w:pPr>
    </w:p>
    <w:p>
      <w:pPr>
        <w:ind w:left="660" w:hanging="497"/>
        <w:spacing w:after="0"/>
        <w:tabs>
          <w:tab w:leader="none" w:pos="6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Articles of Amendment and Restatement of the Registrant (Incorporated by reference to the Registrant’s Registration Statement on Form N-2 (File No. 333-170243), filed on March 29, 2011).</w:t>
      </w:r>
    </w:p>
    <w:p>
      <w:pPr>
        <w:spacing w:after="0" w:line="186" w:lineRule="exact"/>
        <w:rPr>
          <w:rFonts w:ascii="Arial" w:cs="Arial" w:eastAsia="Arial" w:hAnsi="Arial"/>
          <w:sz w:val="12"/>
          <w:szCs w:val="12"/>
          <w:color w:val="auto"/>
        </w:rPr>
      </w:pPr>
    </w:p>
    <w:p>
      <w:pPr>
        <w:ind w:left="80" w:right="400" w:firstLine="79"/>
        <w:spacing w:after="0" w:line="563" w:lineRule="auto"/>
        <w:tabs>
          <w:tab w:leader="none" w:pos="67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Amended and Restated By-Laws of the Registrant (Incorporated by reference to Exhibit 3.2 to the Registrant’s Quarterly Report on Form 10-Q (File No. 814-00891), filed on May 3, 2012). (d)(1) Form of Share Certificate (Incorporated by reference to the Registrant’s Registration Statement on Form N-2 (File No. 333-170243), filed on April 5, 2011).</w:t>
      </w:r>
    </w:p>
    <w:p>
      <w:pPr>
        <w:sectPr>
          <w:pgSz w:w="11900" w:h="16838" w:orient="portrait"/>
          <w:cols w:equalWidth="0" w:num="1">
            <w:col w:w="11280"/>
          </w:cols>
          <w:pgMar w:left="240" w:top="459" w:right="379" w:bottom="1440" w:gutter="0" w:footer="0" w:header="0"/>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Subscription Certificate</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Indenture.</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Subscription Agent Agreement.</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Warrant Agreement.</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T-1 Statement of Eligibility with respect to the Form of Indenture.</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Articles Supplementary.</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660" w:hanging="497"/>
        <w:spacing w:after="0"/>
        <w:tabs>
          <w:tab w:leader="none" w:pos="6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Dividend Reinvestment Plan (Incorporated by reference to Exhibit 99(e) to the Registrant’s Registration Statement on Form N-2 (File No. 333-170243), filed on March 29, 2011).</w:t>
      </w:r>
    </w:p>
    <w:p>
      <w:pPr>
        <w:spacing w:after="0" w:line="186" w:lineRule="exact"/>
        <w:rPr>
          <w:sz w:val="20"/>
          <w:szCs w:val="20"/>
          <w:color w:val="auto"/>
        </w:rPr>
      </w:pPr>
    </w:p>
    <w:p>
      <w:pPr>
        <w:ind w:left="660" w:hanging="501"/>
        <w:spacing w:after="0"/>
        <w:tabs>
          <w:tab w:leader="none" w:pos="6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Investment Advisory Agreement (Incorporated by reference to Exhibit 99(g) to the Registrant’s Registration Statement on Form N-2 (File No. 333-170243), filed on March 29, 2011).</w:t>
      </w:r>
    </w:p>
    <w:p>
      <w:pPr>
        <w:sectPr>
          <w:pgSz w:w="11900" w:h="16838" w:orient="portrait"/>
          <w:cols w:equalWidth="0" w:num="1">
            <w:col w:w="11280"/>
          </w:cols>
          <w:pgMar w:left="240" w:top="459" w:right="379" w:bottom="1440" w:gutter="0" w:footer="0" w:header="0"/>
          <w:type w:val="continuous"/>
        </w:sectPr>
      </w:pP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Form of Underwriting Agreement for equity.</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Underwriting Agreement for debt.</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660" w:hanging="486"/>
        <w:spacing w:after="0" w:line="239" w:lineRule="auto"/>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Custodian Agreement between the Registrant and The Bank of New York Mellon (Incorporated by reference to Exhibit 99.(J) to the Registrant’s Registration Statement on Form N-2 (File No. 333-170243), filed on March 29, 2011).</w:t>
      </w:r>
    </w:p>
    <w:p>
      <w:pPr>
        <w:spacing w:after="0" w:line="152" w:lineRule="exact"/>
        <w:rPr>
          <w:sz w:val="20"/>
          <w:szCs w:val="20"/>
          <w:color w:val="auto"/>
        </w:rPr>
      </w:pPr>
    </w:p>
    <w:p>
      <w:pPr>
        <w:ind w:left="660" w:right="240" w:hanging="579"/>
        <w:spacing w:after="0" w:line="239" w:lineRule="auto"/>
        <w:tabs>
          <w:tab w:leader="none" w:pos="640" w:val="left"/>
        </w:tabs>
        <w:rPr>
          <w:sz w:val="20"/>
          <w:szCs w:val="20"/>
          <w:color w:val="auto"/>
        </w:rPr>
      </w:pPr>
      <w:r>
        <w:rPr>
          <w:rFonts w:ascii="Arial" w:cs="Arial" w:eastAsia="Arial" w:hAnsi="Arial"/>
          <w:sz w:val="14"/>
          <w:szCs w:val="14"/>
          <w:color w:val="auto"/>
        </w:rPr>
        <w:t>(k)(1)</w:t>
      </w:r>
      <w:r>
        <w:rPr>
          <w:sz w:val="20"/>
          <w:szCs w:val="20"/>
          <w:color w:val="auto"/>
        </w:rPr>
        <w:tab/>
      </w:r>
      <w:r>
        <w:rPr>
          <w:rFonts w:ascii="Arial" w:cs="Arial" w:eastAsia="Arial" w:hAnsi="Arial"/>
          <w:sz w:val="14"/>
          <w:szCs w:val="14"/>
          <w:color w:val="auto"/>
        </w:rPr>
        <w:t>Stock Transfer Agency Agreement between the Registrant and American Stock Transfer &amp; Trust Company, LLC (Incorporated by reference to Exhibit 99.(k)(1) to the Registrant’s Registration Statement on Form N-2 (File No. 333-170243), filed on March 29, 2011).</w:t>
      </w:r>
    </w:p>
    <w:p>
      <w:pPr>
        <w:spacing w:after="0" w:line="152" w:lineRule="exact"/>
        <w:rPr>
          <w:sz w:val="20"/>
          <w:szCs w:val="20"/>
          <w:color w:val="auto"/>
        </w:rPr>
      </w:pPr>
    </w:p>
    <w:p>
      <w:pPr>
        <w:ind w:left="660" w:right="160" w:hanging="579"/>
        <w:spacing w:after="0" w:line="239" w:lineRule="auto"/>
        <w:tabs>
          <w:tab w:leader="none" w:pos="640" w:val="left"/>
        </w:tabs>
        <w:rPr>
          <w:sz w:val="20"/>
          <w:szCs w:val="20"/>
          <w:color w:val="auto"/>
        </w:rPr>
      </w:pPr>
      <w:r>
        <w:rPr>
          <w:rFonts w:ascii="Arial" w:cs="Arial" w:eastAsia="Arial" w:hAnsi="Arial"/>
          <w:sz w:val="14"/>
          <w:szCs w:val="14"/>
          <w:color w:val="auto"/>
        </w:rPr>
        <w:t>(k)(2)</w:t>
      </w:r>
      <w:r>
        <w:rPr>
          <w:sz w:val="20"/>
          <w:szCs w:val="20"/>
          <w:color w:val="auto"/>
        </w:rPr>
        <w:tab/>
      </w:r>
      <w:r>
        <w:rPr>
          <w:rFonts w:ascii="Arial" w:cs="Arial" w:eastAsia="Arial" w:hAnsi="Arial"/>
          <w:sz w:val="14"/>
          <w:szCs w:val="14"/>
          <w:color w:val="auto"/>
        </w:rPr>
        <w:t>Administration Agreement between the Registrant and PennantPark Investment Administration, LLC (Incorporated by reference to Exhibit 99(k)(2) to the Registrant’s Registration Statement on Form N-2 (File No. 333-170243), filed on March 29, 2011).</w:t>
      </w:r>
    </w:p>
    <w:p>
      <w:pPr>
        <w:spacing w:after="0" w:line="152"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2"/>
          <w:szCs w:val="12"/>
          <w:color w:val="auto"/>
        </w:rPr>
        <w:t>(k)(3)</w:t>
      </w:r>
      <w:r>
        <w:rPr>
          <w:sz w:val="20"/>
          <w:szCs w:val="20"/>
          <w:color w:val="auto"/>
        </w:rPr>
        <w:tab/>
      </w:r>
      <w:r>
        <w:rPr>
          <w:rFonts w:ascii="Arial" w:cs="Arial" w:eastAsia="Arial" w:hAnsi="Arial"/>
          <w:sz w:val="12"/>
          <w:szCs w:val="12"/>
          <w:color w:val="auto"/>
        </w:rPr>
        <w:t>Trademark License Agreement (Incorporated by reference to Exhibit 99.(k)(3) to the Registrant’s Registration Statement on Form N-2 (File No. 333-170243), filed on March 29, 2011).</w:t>
      </w:r>
    </w:p>
    <w:p>
      <w:pPr>
        <w:spacing w:after="0" w:line="186" w:lineRule="exact"/>
        <w:rPr>
          <w:sz w:val="20"/>
          <w:szCs w:val="20"/>
          <w:color w:val="auto"/>
        </w:rPr>
      </w:pPr>
    </w:p>
    <w:p>
      <w:pPr>
        <w:ind w:left="660" w:right="60" w:hanging="579"/>
        <w:spacing w:after="0" w:line="230" w:lineRule="auto"/>
        <w:tabs>
          <w:tab w:leader="none" w:pos="640" w:val="left"/>
        </w:tabs>
        <w:rPr>
          <w:sz w:val="20"/>
          <w:szCs w:val="20"/>
          <w:color w:val="auto"/>
        </w:rPr>
      </w:pPr>
      <w:r>
        <w:rPr>
          <w:rFonts w:ascii="Arial" w:cs="Arial" w:eastAsia="Arial" w:hAnsi="Arial"/>
          <w:sz w:val="14"/>
          <w:szCs w:val="14"/>
          <w:color w:val="auto"/>
        </w:rPr>
        <w:t>(k)(4)</w:t>
      </w:r>
      <w:r>
        <w:rPr>
          <w:sz w:val="20"/>
          <w:szCs w:val="20"/>
          <w:color w:val="auto"/>
        </w:rPr>
        <w:tab/>
      </w:r>
      <w:r>
        <w:rPr>
          <w:rFonts w:ascii="Arial" w:cs="Arial" w:eastAsia="Arial" w:hAnsi="Arial"/>
          <w:sz w:val="14"/>
          <w:szCs w:val="14"/>
          <w:color w:val="auto"/>
        </w:rPr>
        <w:t>Revolving Credit and Security Agreement, dated as of June 23, 2011, among PennantPark Floating Rate Funding I, LLC, as the borrower, PennantPark Investment Advisers, LLC, as the collateral manager, the lenders from time to time party thereto, SunTrust Robinson Humphrey, Inc., as administrative agent, U.S. Bank National Association, as collateral agent, U.S. Bank National Association, as backup collateral manager, and U.S. Bank National Association, as custodian (Incorporated by reference to Exhibit 10.1 to the Registrant’s Periodic Report on Form 8-K, (File No. 814-00891), filed on June 29, 2011).</w:t>
      </w:r>
    </w:p>
    <w:p>
      <w:pPr>
        <w:spacing w:after="0" w:line="153" w:lineRule="exact"/>
        <w:rPr>
          <w:sz w:val="20"/>
          <w:szCs w:val="20"/>
          <w:color w:val="auto"/>
        </w:rPr>
      </w:pPr>
    </w:p>
    <w:p>
      <w:pPr>
        <w:ind w:left="660" w:right="460" w:hanging="579"/>
        <w:spacing w:after="0" w:line="318" w:lineRule="auto"/>
        <w:tabs>
          <w:tab w:leader="none" w:pos="640" w:val="left"/>
        </w:tabs>
        <w:rPr>
          <w:sz w:val="20"/>
          <w:szCs w:val="20"/>
          <w:color w:val="auto"/>
        </w:rPr>
      </w:pPr>
      <w:r>
        <w:rPr>
          <w:rFonts w:ascii="Arial" w:cs="Arial" w:eastAsia="Arial" w:hAnsi="Arial"/>
          <w:sz w:val="12"/>
          <w:szCs w:val="12"/>
          <w:color w:val="auto"/>
        </w:rPr>
        <w:t>(k)(5)</w:t>
      </w:r>
      <w:r>
        <w:rPr>
          <w:sz w:val="20"/>
          <w:szCs w:val="20"/>
          <w:color w:val="auto"/>
        </w:rPr>
        <w:tab/>
      </w:r>
      <w:r>
        <w:rPr>
          <w:rFonts w:ascii="Arial" w:cs="Arial" w:eastAsia="Arial" w:hAnsi="Arial"/>
          <w:sz w:val="12"/>
          <w:szCs w:val="12"/>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280"/>
          </w:cols>
          <w:pgMar w:left="240" w:top="459" w:right="37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 (continued)</w:t>
      </w:r>
    </w:p>
    <w:p>
      <w:pPr>
        <w:spacing w:after="0" w:line="300" w:lineRule="exact"/>
        <w:rPr>
          <w:sz w:val="20"/>
          <w:szCs w:val="20"/>
          <w:color w:val="auto"/>
        </w:rPr>
      </w:pPr>
    </w:p>
    <w:p>
      <w:pPr>
        <w:ind w:left="920" w:hanging="588"/>
        <w:spacing w:after="0"/>
        <w:tabs>
          <w:tab w:leader="none" w:pos="92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Exhibits (Continued)</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600" w:type="dxa"/>
            <w:vAlign w:val="bottom"/>
          </w:tcPr>
          <w:p>
            <w:pPr>
              <w:jc w:val="center"/>
              <w:ind w:right="72"/>
              <w:spacing w:after="0"/>
              <w:rPr>
                <w:sz w:val="20"/>
                <w:szCs w:val="20"/>
                <w:color w:val="auto"/>
              </w:rPr>
            </w:pPr>
            <w:r>
              <w:rPr>
                <w:rFonts w:ascii="Arial" w:cs="Arial" w:eastAsia="Arial" w:hAnsi="Arial"/>
                <w:sz w:val="14"/>
                <w:szCs w:val="14"/>
                <w:color w:val="auto"/>
              </w:rPr>
              <w:t>(l)(1)**</w:t>
            </w:r>
          </w:p>
        </w:tc>
        <w:tc>
          <w:tcPr>
            <w:tcW w:w="10400" w:type="dxa"/>
            <w:vAlign w:val="bottom"/>
          </w:tcPr>
          <w:p>
            <w:pPr>
              <w:ind w:left="180"/>
              <w:spacing w:after="0"/>
              <w:rPr>
                <w:sz w:val="20"/>
                <w:szCs w:val="20"/>
                <w:color w:val="auto"/>
              </w:rPr>
            </w:pPr>
            <w:r>
              <w:rPr>
                <w:rFonts w:ascii="Arial" w:cs="Arial" w:eastAsia="Arial" w:hAnsi="Arial"/>
                <w:sz w:val="14"/>
                <w:szCs w:val="14"/>
                <w:color w:val="auto"/>
              </w:rPr>
              <w:t>Opinion and Consent of Venable LLP.</w:t>
            </w:r>
          </w:p>
        </w:tc>
      </w:tr>
      <w:tr>
        <w:trPr>
          <w:trHeight w:val="324"/>
        </w:trPr>
        <w:tc>
          <w:tcPr>
            <w:tcW w:w="600" w:type="dxa"/>
            <w:vAlign w:val="bottom"/>
          </w:tcPr>
          <w:p>
            <w:pPr>
              <w:jc w:val="center"/>
              <w:ind w:right="72"/>
              <w:spacing w:after="0"/>
              <w:rPr>
                <w:sz w:val="20"/>
                <w:szCs w:val="20"/>
                <w:color w:val="auto"/>
              </w:rPr>
            </w:pPr>
            <w:r>
              <w:rPr>
                <w:rFonts w:ascii="Arial" w:cs="Arial" w:eastAsia="Arial" w:hAnsi="Arial"/>
                <w:sz w:val="14"/>
                <w:szCs w:val="14"/>
                <w:color w:val="auto"/>
              </w:rPr>
              <w:t>(l)(2)**</w:t>
            </w:r>
          </w:p>
        </w:tc>
        <w:tc>
          <w:tcPr>
            <w:tcW w:w="10400" w:type="dxa"/>
            <w:vAlign w:val="bottom"/>
          </w:tcPr>
          <w:p>
            <w:pPr>
              <w:ind w:left="180"/>
              <w:spacing w:after="0"/>
              <w:rPr>
                <w:sz w:val="20"/>
                <w:szCs w:val="20"/>
                <w:color w:val="auto"/>
              </w:rPr>
            </w:pPr>
            <w:r>
              <w:rPr>
                <w:rFonts w:ascii="Arial" w:cs="Arial" w:eastAsia="Arial" w:hAnsi="Arial"/>
                <w:sz w:val="14"/>
                <w:szCs w:val="14"/>
                <w:color w:val="auto"/>
              </w:rPr>
              <w:t>Opinion and Consent of Dechert LLP.</w:t>
            </w:r>
          </w:p>
        </w:tc>
      </w:tr>
      <w:tr>
        <w:trPr>
          <w:trHeight w:val="324"/>
        </w:trPr>
        <w:tc>
          <w:tcPr>
            <w:tcW w:w="600" w:type="dxa"/>
            <w:vAlign w:val="bottom"/>
          </w:tcPr>
          <w:p>
            <w:pPr>
              <w:jc w:val="center"/>
              <w:ind w:right="72"/>
              <w:spacing w:after="0"/>
              <w:rPr>
                <w:sz w:val="20"/>
                <w:szCs w:val="20"/>
                <w:color w:val="auto"/>
              </w:rPr>
            </w:pPr>
            <w:r>
              <w:rPr>
                <w:rFonts w:ascii="Arial" w:cs="Arial" w:eastAsia="Arial" w:hAnsi="Arial"/>
                <w:sz w:val="14"/>
                <w:szCs w:val="14"/>
                <w:color w:val="auto"/>
                <w:w w:val="95"/>
              </w:rPr>
              <w:t>(n)(1)*</w:t>
            </w:r>
          </w:p>
        </w:tc>
        <w:tc>
          <w:tcPr>
            <w:tcW w:w="10400" w:type="dxa"/>
            <w:vAlign w:val="bottom"/>
          </w:tcPr>
          <w:p>
            <w:pPr>
              <w:ind w:left="18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324"/>
        </w:trPr>
        <w:tc>
          <w:tcPr>
            <w:tcW w:w="600" w:type="dxa"/>
            <w:vAlign w:val="bottom"/>
          </w:tcPr>
          <w:p>
            <w:pPr>
              <w:jc w:val="center"/>
              <w:ind w:right="72"/>
              <w:spacing w:after="0"/>
              <w:rPr>
                <w:sz w:val="20"/>
                <w:szCs w:val="20"/>
                <w:color w:val="auto"/>
              </w:rPr>
            </w:pPr>
            <w:r>
              <w:rPr>
                <w:rFonts w:ascii="Arial" w:cs="Arial" w:eastAsia="Arial" w:hAnsi="Arial"/>
                <w:sz w:val="14"/>
                <w:szCs w:val="14"/>
                <w:color w:val="auto"/>
                <w:w w:val="95"/>
              </w:rPr>
              <w:t>(n)(2)*</w:t>
            </w:r>
          </w:p>
        </w:tc>
        <w:tc>
          <w:tcPr>
            <w:tcW w:w="10400" w:type="dxa"/>
            <w:vAlign w:val="bottom"/>
          </w:tcPr>
          <w:p>
            <w:pPr>
              <w:ind w:left="180"/>
              <w:spacing w:after="0"/>
              <w:rPr>
                <w:sz w:val="20"/>
                <w:szCs w:val="20"/>
                <w:color w:val="auto"/>
              </w:rPr>
            </w:pPr>
            <w:r>
              <w:rPr>
                <w:rFonts w:ascii="Arial" w:cs="Arial" w:eastAsia="Arial" w:hAnsi="Arial"/>
                <w:sz w:val="14"/>
                <w:szCs w:val="14"/>
                <w:color w:val="auto"/>
              </w:rPr>
              <w:t>Awareness Letter of Independent Registered Public Accounting Firm.</w:t>
            </w:r>
          </w:p>
        </w:tc>
      </w:tr>
      <w:tr>
        <w:trPr>
          <w:trHeight w:val="300"/>
        </w:trPr>
        <w:tc>
          <w:tcPr>
            <w:tcW w:w="600" w:type="dxa"/>
            <w:vAlign w:val="bottom"/>
          </w:tcPr>
          <w:p>
            <w:pPr>
              <w:jc w:val="center"/>
              <w:ind w:right="72"/>
              <w:spacing w:after="0"/>
              <w:rPr>
                <w:sz w:val="20"/>
                <w:szCs w:val="20"/>
                <w:color w:val="auto"/>
              </w:rPr>
            </w:pPr>
            <w:r>
              <w:rPr>
                <w:rFonts w:ascii="Arial" w:cs="Arial" w:eastAsia="Arial" w:hAnsi="Arial"/>
                <w:sz w:val="14"/>
                <w:szCs w:val="14"/>
                <w:color w:val="auto"/>
                <w:w w:val="96"/>
              </w:rPr>
              <w:t>(r)(1)</w:t>
            </w:r>
          </w:p>
        </w:tc>
        <w:tc>
          <w:tcPr>
            <w:tcW w:w="10400" w:type="dxa"/>
            <w:vAlign w:val="bottom"/>
          </w:tcPr>
          <w:p>
            <w:pPr>
              <w:ind w:left="180"/>
              <w:spacing w:after="0"/>
              <w:rPr>
                <w:sz w:val="20"/>
                <w:szCs w:val="20"/>
                <w:color w:val="auto"/>
              </w:rPr>
            </w:pPr>
            <w:r>
              <w:rPr>
                <w:rFonts w:ascii="Arial" w:cs="Arial" w:eastAsia="Arial" w:hAnsi="Arial"/>
                <w:sz w:val="14"/>
                <w:szCs w:val="14"/>
                <w:color w:val="auto"/>
                <w:w w:val="88"/>
              </w:rPr>
              <w:t>Joint Code of Ethics of the Registrant and PennantPark Investment Advisers, LLC (Incorporated by reference to Exhibit 14.1 to the Registrant’s Annual Report on Form 10-K (File No. 814-</w:t>
            </w:r>
          </w:p>
        </w:tc>
      </w:tr>
      <w:tr>
        <w:trPr>
          <w:trHeight w:val="172"/>
        </w:trPr>
        <w:tc>
          <w:tcPr>
            <w:tcW w:w="600" w:type="dxa"/>
            <w:vAlign w:val="bottom"/>
          </w:tcPr>
          <w:p>
            <w:pPr>
              <w:spacing w:after="0"/>
              <w:rPr>
                <w:sz w:val="14"/>
                <w:szCs w:val="14"/>
                <w:color w:val="auto"/>
              </w:rPr>
            </w:pPr>
          </w:p>
        </w:tc>
        <w:tc>
          <w:tcPr>
            <w:tcW w:w="10400" w:type="dxa"/>
            <w:vAlign w:val="bottom"/>
          </w:tcPr>
          <w:p>
            <w:pPr>
              <w:ind w:left="180"/>
              <w:spacing w:after="0"/>
              <w:rPr>
                <w:sz w:val="20"/>
                <w:szCs w:val="20"/>
                <w:color w:val="auto"/>
              </w:rPr>
            </w:pPr>
            <w:r>
              <w:rPr>
                <w:rFonts w:ascii="Arial" w:cs="Arial" w:eastAsia="Arial" w:hAnsi="Arial"/>
                <w:sz w:val="14"/>
                <w:szCs w:val="14"/>
                <w:color w:val="auto"/>
              </w:rPr>
              <w:t>00891), filed on November 17, 2011).</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(s)(1)**</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Common Stock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(s)(2)**</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Preferred Stock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(s)(3)**</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Debt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(s)(4)**</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Rights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(s)(5)**</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Warrant Offerings.</w:t>
            </w:r>
          </w:p>
        </w:tc>
      </w:tr>
    </w:tbl>
    <w:p>
      <w:pPr>
        <w:spacing w:after="0" w:line="259"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Filed herewith</w:t>
      </w:r>
    </w:p>
    <w:p>
      <w:pPr>
        <w:ind w:left="580" w:hanging="572"/>
        <w:spacing w:after="0"/>
        <w:tabs>
          <w:tab w:leader="none" w:pos="5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contained under the heading “Plan of Distribution” in this Registration Statement is hereby incorporated by reference.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140"/>
          </w:cols>
          <w:pgMar w:left="240" w:top="459" w:right="519" w:bottom="1440" w:gutter="0" w:footer="0" w:header="0"/>
        </w:sectPr>
      </w:pP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-94615</wp:posOffset>
            </wp:positionV>
            <wp:extent cx="4922520" cy="946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FINRA filing fee</w:t>
      </w:r>
    </w:p>
    <w:p>
      <w:pPr>
        <w:ind w:left="1840"/>
        <w:spacing w:after="0" w:line="222" w:lineRule="auto"/>
        <w:rPr>
          <w:sz w:val="20"/>
          <w:szCs w:val="20"/>
          <w:color w:val="auto"/>
        </w:rPr>
      </w:pPr>
      <w:r>
        <w:rPr>
          <w:rFonts w:ascii="Arial" w:cs="Arial" w:eastAsia="Arial" w:hAnsi="Arial"/>
          <w:sz w:val="14"/>
          <w:szCs w:val="14"/>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Legal fees and expenses</w:t>
      </w:r>
    </w:p>
    <w:p>
      <w:pPr>
        <w:ind w:left="1840"/>
        <w:spacing w:after="0" w:line="222" w:lineRule="auto"/>
        <w:rPr>
          <w:sz w:val="20"/>
          <w:szCs w:val="20"/>
          <w:color w:val="auto"/>
        </w:rPr>
      </w:pPr>
      <w:r>
        <w:rPr>
          <w:rFonts w:ascii="Arial" w:cs="Arial" w:eastAsia="Arial" w:hAnsi="Arial"/>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11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136" w:lineRule="exact"/>
        <w:rPr>
          <w:sz w:val="20"/>
          <w:szCs w:val="20"/>
          <w:color w:val="auto"/>
        </w:rPr>
      </w:pPr>
    </w:p>
    <w:p>
      <w:pPr>
        <w:jc w:val="right"/>
        <w:ind w:right="1666"/>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94" w:hanging="894"/>
        <w:spacing w:after="0"/>
        <w:tabs>
          <w:tab w:leader="none" w:pos="89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17,190</w:t>
      </w:r>
    </w:p>
    <w:p>
      <w:pPr>
        <w:spacing w:after="0" w:line="34" w:lineRule="exact"/>
        <w:rPr>
          <w:sz w:val="20"/>
          <w:szCs w:val="20"/>
          <w:color w:val="auto"/>
        </w:rPr>
      </w:pPr>
    </w:p>
    <w:p>
      <w:pPr>
        <w:ind w:left="894" w:hanging="894"/>
        <w:spacing w:after="0"/>
        <w:tabs>
          <w:tab w:leader="none" w:pos="894" w:val="left"/>
        </w:tabs>
        <w:numPr>
          <w:ilvl w:val="0"/>
          <w:numId w:val="101"/>
        </w:numPr>
        <w:rPr>
          <w:rFonts w:ascii="Arial" w:cs="Arial" w:eastAsia="Arial" w:hAnsi="Arial"/>
          <w:sz w:val="11"/>
          <w:szCs w:val="11"/>
          <w:color w:val="auto"/>
        </w:rPr>
      </w:pPr>
      <w:r>
        <w:rPr>
          <w:rFonts w:ascii="Arial" w:cs="Arial" w:eastAsia="Arial" w:hAnsi="Arial"/>
          <w:sz w:val="11"/>
          <w:szCs w:val="11"/>
          <w:color w:val="auto"/>
        </w:rPr>
        <w:t>38,462</w:t>
      </w:r>
    </w:p>
    <w:p>
      <w:pPr>
        <w:spacing w:after="0" w:line="22" w:lineRule="exact"/>
        <w:rPr>
          <w:sz w:val="20"/>
          <w:szCs w:val="20"/>
          <w:color w:val="auto"/>
        </w:rPr>
      </w:pPr>
    </w:p>
    <w:p>
      <w:pPr>
        <w:ind w:left="894" w:hanging="894"/>
        <w:spacing w:after="0"/>
        <w:tabs>
          <w:tab w:leader="none" w:pos="894" w:val="left"/>
        </w:tabs>
        <w:numPr>
          <w:ilvl w:val="0"/>
          <w:numId w:val="102"/>
        </w:numPr>
        <w:rPr>
          <w:rFonts w:ascii="Arial" w:cs="Arial" w:eastAsia="Arial" w:hAnsi="Arial"/>
          <w:sz w:val="11"/>
          <w:szCs w:val="11"/>
          <w:color w:val="auto"/>
        </w:rPr>
      </w:pPr>
      <w:r>
        <w:rPr>
          <w:rFonts w:ascii="Arial" w:cs="Arial" w:eastAsia="Arial" w:hAnsi="Arial"/>
          <w:sz w:val="11"/>
          <w:szCs w:val="11"/>
          <w:color w:val="auto"/>
        </w:rPr>
        <w:t>15,500</w:t>
      </w:r>
    </w:p>
    <w:p>
      <w:pPr>
        <w:spacing w:after="0" w:line="22" w:lineRule="exact"/>
        <w:rPr>
          <w:sz w:val="20"/>
          <w:szCs w:val="20"/>
          <w:color w:val="auto"/>
        </w:rPr>
      </w:pPr>
    </w:p>
    <w:p>
      <w:pPr>
        <w:ind w:left="814" w:hanging="814"/>
        <w:spacing w:after="0"/>
        <w:tabs>
          <w:tab w:leader="none" w:pos="814" w:val="left"/>
        </w:tabs>
        <w:numPr>
          <w:ilvl w:val="0"/>
          <w:numId w:val="103"/>
        </w:numPr>
        <w:rPr>
          <w:rFonts w:ascii="Arial" w:cs="Arial" w:eastAsia="Arial" w:hAnsi="Arial"/>
          <w:sz w:val="12"/>
          <w:szCs w:val="12"/>
          <w:color w:val="auto"/>
        </w:rPr>
      </w:pPr>
      <w:r>
        <w:rPr>
          <w:rFonts w:ascii="Arial" w:cs="Arial" w:eastAsia="Arial" w:hAnsi="Arial"/>
          <w:sz w:val="12"/>
          <w:szCs w:val="12"/>
          <w:color w:val="auto"/>
        </w:rPr>
        <w:t>225,000</w:t>
      </w:r>
    </w:p>
    <w:p>
      <w:pPr>
        <w:spacing w:after="0" w:line="11" w:lineRule="exact"/>
        <w:rPr>
          <w:sz w:val="20"/>
          <w:szCs w:val="20"/>
          <w:color w:val="auto"/>
        </w:rPr>
      </w:pPr>
    </w:p>
    <w:p>
      <w:pPr>
        <w:ind w:left="814" w:hanging="814"/>
        <w:spacing w:after="0"/>
        <w:tabs>
          <w:tab w:leader="none" w:pos="814" w:val="left"/>
        </w:tabs>
        <w:numPr>
          <w:ilvl w:val="0"/>
          <w:numId w:val="104"/>
        </w:numPr>
        <w:rPr>
          <w:rFonts w:ascii="Arial" w:cs="Arial" w:eastAsia="Arial" w:hAnsi="Arial"/>
          <w:sz w:val="12"/>
          <w:szCs w:val="12"/>
          <w:color w:val="auto"/>
        </w:rPr>
      </w:pPr>
      <w:r>
        <w:rPr>
          <w:rFonts w:ascii="Arial" w:cs="Arial" w:eastAsia="Arial" w:hAnsi="Arial"/>
          <w:sz w:val="12"/>
          <w:szCs w:val="12"/>
          <w:color w:val="auto"/>
        </w:rPr>
        <w:t>400,000</w:t>
      </w:r>
    </w:p>
    <w:p>
      <w:pPr>
        <w:spacing w:after="0" w:line="11" w:lineRule="exact"/>
        <w:rPr>
          <w:sz w:val="20"/>
          <w:szCs w:val="20"/>
          <w:color w:val="auto"/>
        </w:rPr>
      </w:pPr>
    </w:p>
    <w:p>
      <w:pPr>
        <w:ind w:left="814" w:hanging="814"/>
        <w:spacing w:after="0"/>
        <w:tabs>
          <w:tab w:leader="none" w:pos="814" w:val="left"/>
        </w:tabs>
        <w:numPr>
          <w:ilvl w:val="0"/>
          <w:numId w:val="105"/>
        </w:numPr>
        <w:rPr>
          <w:rFonts w:ascii="Arial" w:cs="Arial" w:eastAsia="Arial" w:hAnsi="Arial"/>
          <w:sz w:val="12"/>
          <w:szCs w:val="12"/>
          <w:color w:val="auto"/>
        </w:rPr>
      </w:pPr>
      <w:r>
        <w:rPr>
          <w:rFonts w:ascii="Arial" w:cs="Arial" w:eastAsia="Arial" w:hAnsi="Arial"/>
          <w:sz w:val="12"/>
          <w:szCs w:val="12"/>
          <w:color w:val="auto"/>
        </w:rPr>
        <w:t>175,000</w:t>
      </w:r>
    </w:p>
    <w:p>
      <w:pPr>
        <w:spacing w:after="0" w:line="10" w:lineRule="exact"/>
        <w:rPr>
          <w:rFonts w:ascii="Arial" w:cs="Arial" w:eastAsia="Arial" w:hAnsi="Arial"/>
          <w:sz w:val="12"/>
          <w:szCs w:val="12"/>
          <w:color w:val="auto"/>
        </w:rPr>
      </w:pPr>
    </w:p>
    <w:p>
      <w:pPr>
        <w:ind w:left="814" w:hanging="814"/>
        <w:spacing w:after="0"/>
        <w:tabs>
          <w:tab w:leader="none" w:pos="814" w:val="left"/>
        </w:tabs>
        <w:numPr>
          <w:ilvl w:val="0"/>
          <w:numId w:val="105"/>
        </w:numPr>
        <w:rPr>
          <w:rFonts w:ascii="Arial" w:cs="Arial" w:eastAsia="Arial" w:hAnsi="Arial"/>
          <w:sz w:val="12"/>
          <w:szCs w:val="12"/>
          <w:color w:val="auto"/>
        </w:rPr>
      </w:pPr>
      <w:r>
        <w:rPr>
          <w:rFonts w:ascii="Arial" w:cs="Arial" w:eastAsia="Arial" w:hAnsi="Arial"/>
          <w:sz w:val="12"/>
          <w:szCs w:val="12"/>
          <w:color w:val="auto"/>
        </w:rPr>
        <w:t>128,848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5715</wp:posOffset>
            </wp:positionV>
            <wp:extent cx="84074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714" w:hanging="714"/>
        <w:spacing w:after="0"/>
        <w:tabs>
          <w:tab w:leader="none" w:pos="71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84074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30480</wp:posOffset>
            </wp:positionV>
            <wp:extent cx="84074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ectPr>
          <w:pgSz w:w="11900" w:h="16838" w:orient="portrait"/>
          <w:cols w:equalWidth="0" w:num="2">
            <w:col w:w="7486" w:space="720"/>
            <w:col w:w="2934"/>
          </w:cols>
          <w:pgMar w:left="240" w:top="459" w:right="51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lists sets forth each of the companies considered to be controlled by us as defined by the 1940 Act.</w:t>
      </w:r>
    </w:p>
    <w:p>
      <w:pPr>
        <w:spacing w:after="0" w:line="3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028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PennantPark Floating Rate Funding I, LLC (Delaware)</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59"/>
        <w:spacing w:after="0"/>
        <w:rPr>
          <w:sz w:val="20"/>
          <w:szCs w:val="20"/>
          <w:color w:val="auto"/>
        </w:rPr>
      </w:pPr>
      <w:r>
        <w:rPr>
          <w:rFonts w:ascii="Arial" w:cs="Arial" w:eastAsia="Arial" w:hAnsi="Arial"/>
          <w:sz w:val="11"/>
          <w:szCs w:val="11"/>
          <w:b w:val="1"/>
          <w:bCs w:val="1"/>
          <w:color w:val="auto"/>
        </w:rPr>
        <w:t>Owned Percentage</w:t>
      </w:r>
    </w:p>
    <w:p>
      <w:pPr>
        <w:spacing w:after="0" w:line="22" w:lineRule="exact"/>
        <w:rPr>
          <w:sz w:val="20"/>
          <w:szCs w:val="20"/>
          <w:color w:val="auto"/>
        </w:rPr>
      </w:pPr>
    </w:p>
    <w:p>
      <w:pPr>
        <w:jc w:val="right"/>
        <w:ind w:right="659"/>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7360" w:space="720"/>
            <w:col w:w="2139"/>
          </w:cols>
          <w:pgMar w:left="240" w:top="459"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29.</w:t>
      </w:r>
      <w:r>
        <w:rPr>
          <w:sz w:val="20"/>
          <w:szCs w:val="20"/>
          <w:color w:val="auto"/>
        </w:rPr>
        <w:tab/>
      </w:r>
      <w:r>
        <w:rPr>
          <w:rFonts w:ascii="Arial" w:cs="Arial" w:eastAsia="Arial" w:hAnsi="Arial"/>
          <w:sz w:val="12"/>
          <w:szCs w:val="12"/>
          <w:b w:val="1"/>
          <w:bCs w:val="1"/>
          <w:color w:val="auto"/>
        </w:rPr>
        <w:t>Number of holders of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July 24, 2012</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 of Record Holders</w:t>
      </w:r>
    </w:p>
    <w:tbl>
      <w:tblPr>
        <w:tblLayout w:type="fixed"/>
        <w:tblInd w:w="0" w:type="dxa"/>
        <w:tblCellMar>
          <w:top w:w="0" w:type="dxa"/>
          <w:left w:w="0" w:type="dxa"/>
          <w:bottom w:w="0" w:type="dxa"/>
          <w:right w:w="0" w:type="dxa"/>
        </w:tblCellMar>
      </w:tblPr>
      <w:tr>
        <w:trPr>
          <w:trHeight w:val="169"/>
        </w:trPr>
        <w:tc>
          <w:tcPr>
            <w:tcW w:w="40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Class</w:t>
            </w:r>
          </w:p>
        </w:tc>
        <w:tc>
          <w:tcPr>
            <w:tcW w:w="4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59"/>
        </w:trPr>
        <w:tc>
          <w:tcPr>
            <w:tcW w:w="4020" w:type="dxa"/>
            <w:vAlign w:val="bottom"/>
          </w:tcPr>
          <w:p>
            <w:pPr>
              <w:jc w:val="center"/>
              <w:spacing w:after="0" w:line="159" w:lineRule="exact"/>
              <w:rPr>
                <w:sz w:val="20"/>
                <w:szCs w:val="20"/>
                <w:color w:val="auto"/>
              </w:rPr>
            </w:pPr>
            <w:r>
              <w:rPr>
                <w:rFonts w:ascii="Arial" w:cs="Arial" w:eastAsia="Arial" w:hAnsi="Arial"/>
                <w:sz w:val="14"/>
                <w:szCs w:val="14"/>
                <w:color w:val="auto"/>
                <w:w w:val="87"/>
              </w:rPr>
              <w:t>Common Stock, $0.001 par value</w:t>
            </w:r>
          </w:p>
        </w:tc>
        <w:tc>
          <w:tcPr>
            <w:tcW w:w="596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4</w:t>
            </w:r>
          </w:p>
        </w:tc>
      </w:tr>
      <w:tr>
        <w:trPr>
          <w:trHeight w:val="286"/>
        </w:trPr>
        <w:tc>
          <w:tcPr>
            <w:tcW w:w="4020" w:type="dxa"/>
            <w:vAlign w:val="bottom"/>
          </w:tcPr>
          <w:p>
            <w:pPr>
              <w:spacing w:after="0"/>
              <w:rPr>
                <w:sz w:val="24"/>
                <w:szCs w:val="24"/>
                <w:color w:val="auto"/>
              </w:rPr>
            </w:pPr>
          </w:p>
        </w:tc>
        <w:tc>
          <w:tcPr>
            <w:tcW w:w="5960" w:type="dxa"/>
            <w:vAlign w:val="bottom"/>
            <w:gridSpan w:val="2"/>
          </w:tcPr>
          <w:p>
            <w:pPr>
              <w:jc w:val="right"/>
              <w:ind w:right="4160"/>
              <w:spacing w:after="0"/>
              <w:rPr>
                <w:sz w:val="20"/>
                <w:szCs w:val="20"/>
                <w:color w:val="auto"/>
              </w:rPr>
            </w:pPr>
            <w:r>
              <w:rPr>
                <w:rFonts w:ascii="Arial" w:cs="Arial" w:eastAsia="Arial" w:hAnsi="Arial"/>
                <w:sz w:val="14"/>
                <w:szCs w:val="14"/>
                <w:color w:val="auto"/>
              </w:rPr>
              <w:t>C-4</w:t>
            </w:r>
          </w:p>
        </w:tc>
      </w:tr>
    </w:tbl>
    <w:p>
      <w:pPr>
        <w:sectPr>
          <w:pgSz w:w="11900" w:h="16838" w:orient="portrait"/>
          <w:cols w:equalWidth="0" w:num="1">
            <w:col w:w="10520"/>
          </w:cols>
          <w:pgMar w:left="240" w:top="460" w:right="11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information contained under the heading “Description of our Capital Stock —Limitation on Liability of Directors and Officers; Indemnification and Advance of Expenses” is incorporated herein by reference.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1"/>
          <w:szCs w:val="11"/>
          <w:b w:val="1"/>
          <w:bCs w:val="1"/>
          <w:color w:val="auto"/>
        </w:rPr>
        <w:t>Business and other connections of Investment Adviser</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accounts, books and other documents required to be maintained by Section 31(a) of the 1940 Act, and the rules thereunder are maintained at the offices of:</w:t>
      </w:r>
    </w:p>
    <w:p>
      <w:pPr>
        <w:spacing w:after="0" w:line="173" w:lineRule="exact"/>
        <w:rPr>
          <w:sz w:val="20"/>
          <w:szCs w:val="20"/>
          <w:color w:val="auto"/>
        </w:rPr>
      </w:pPr>
    </w:p>
    <w:p>
      <w:pPr>
        <w:ind w:left="660" w:hanging="196"/>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590 Madison Avenue, 15th Floor, New York, NY 10022;</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59 Maiden Lane, New York, NY 10038;</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Custodian, The Bank of New York Mellon, One Wall Street, New York, NY 10286; and</w:t>
      </w:r>
    </w:p>
    <w:p>
      <w:pPr>
        <w:spacing w:after="0" w:line="149" w:lineRule="exact"/>
        <w:rPr>
          <w:rFonts w:ascii="Arial" w:cs="Arial" w:eastAsia="Arial" w:hAnsi="Arial"/>
          <w:sz w:val="14"/>
          <w:szCs w:val="14"/>
          <w:color w:val="auto"/>
        </w:rPr>
      </w:pPr>
    </w:p>
    <w:p>
      <w:pPr>
        <w:ind w:left="5620" w:right="3579" w:hanging="5156"/>
        <w:spacing w:after="0" w:line="576" w:lineRule="auto"/>
        <w:tabs>
          <w:tab w:leader="none" w:pos="66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Adviser, PennantPark Investment Advisers, LLC, 590 Madison Avenue, 15th Floor, New York, NY 10022. C-7</w:t>
      </w:r>
    </w:p>
    <w:p>
      <w:pPr>
        <w:sectPr>
          <w:pgSz w:w="11900" w:h="16838" w:orient="portrait"/>
          <w:cols w:equalWidth="0" w:num="1">
            <w:col w:w="10219"/>
          </w:cols>
          <w:pgMar w:left="240" w:top="45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219"/>
          </w:cols>
          <w:pgMar w:left="240" w:top="459" w:right="1440"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34.</w:t>
      </w:r>
      <w:r>
        <w:rPr>
          <w:sz w:val="20"/>
          <w:szCs w:val="20"/>
          <w:color w:val="auto"/>
        </w:rPr>
        <w:tab/>
      </w:r>
      <w:r>
        <w:rPr>
          <w:rFonts w:ascii="Arial" w:cs="Arial" w:eastAsia="Arial" w:hAnsi="Arial"/>
          <w:sz w:val="12"/>
          <w:szCs w:val="12"/>
          <w:b w:val="1"/>
          <w:bCs w:val="1"/>
          <w:color w:val="auto"/>
        </w:rPr>
        <w:t>Undertakings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Registrant hereby undertakes:</w:t>
      </w:r>
    </w:p>
    <w:p>
      <w:pPr>
        <w:spacing w:after="0" w:line="150" w:lineRule="exact"/>
        <w:rPr>
          <w:sz w:val="20"/>
          <w:szCs w:val="20"/>
          <w:color w:val="auto"/>
        </w:rPr>
      </w:pPr>
    </w:p>
    <w:p>
      <w:pPr>
        <w:ind w:left="460" w:firstLine="4"/>
        <w:spacing w:after="0" w:line="318" w:lineRule="auto"/>
        <w:tabs>
          <w:tab w:leader="none" w:pos="65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to suspend the offering of shares until the prospectus is amended if (1) subsequent to the effective date of its registration statement, the net asset value declines more than ten percent from its net asset value as of the effective date of the registrations statement or (2) the net asset value increases to an amount greater than its net proceeds as stated in the prospectus;</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firstLine="4"/>
        <w:spacing w:after="0" w:line="278" w:lineRule="auto"/>
        <w:tabs>
          <w:tab w:leader="none" w:pos="65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(4)(a) to file, during any period in which offers or sales are being made, a post-effective amendment to the registration statement:</w:t>
      </w:r>
    </w:p>
    <w:p>
      <w:pPr>
        <w:spacing w:after="0" w:line="69" w:lineRule="exact"/>
        <w:rPr>
          <w:sz w:val="20"/>
          <w:szCs w:val="20"/>
          <w:color w:val="auto"/>
        </w:rPr>
      </w:pPr>
    </w:p>
    <w:p>
      <w:pPr>
        <w:ind w:left="860" w:hanging="167"/>
        <w:spacing w:after="0"/>
        <w:tabs>
          <w:tab w:leader="none" w:pos="86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w:t>
      </w:r>
    </w:p>
    <w:p>
      <w:pPr>
        <w:spacing w:after="0" w:line="68" w:lineRule="exact"/>
        <w:rPr>
          <w:rFonts w:ascii="Arial" w:cs="Arial" w:eastAsia="Arial" w:hAnsi="Arial"/>
          <w:sz w:val="14"/>
          <w:szCs w:val="14"/>
          <w:color w:val="auto"/>
        </w:rPr>
      </w:pPr>
    </w:p>
    <w:p>
      <w:pPr>
        <w:ind w:left="700" w:right="120" w:hanging="7"/>
        <w:spacing w:after="0" w:line="239" w:lineRule="auto"/>
        <w:tabs>
          <w:tab w:leader="none" w:pos="899"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7" w:lineRule="exact"/>
        <w:rPr>
          <w:rFonts w:ascii="Arial" w:cs="Arial" w:eastAsia="Arial" w:hAnsi="Arial"/>
          <w:sz w:val="14"/>
          <w:szCs w:val="14"/>
          <w:color w:val="auto"/>
        </w:rPr>
      </w:pPr>
    </w:p>
    <w:p>
      <w:pPr>
        <w:ind w:left="700" w:right="220" w:hanging="7"/>
        <w:spacing w:after="0" w:line="239" w:lineRule="auto"/>
        <w:tabs>
          <w:tab w:leader="none" w:pos="936"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rFonts w:ascii="Arial" w:cs="Arial" w:eastAsia="Arial" w:hAnsi="Arial"/>
          <w:sz w:val="14"/>
          <w:szCs w:val="14"/>
          <w:color w:val="auto"/>
        </w:rPr>
      </w:pPr>
    </w:p>
    <w:p>
      <w:pPr>
        <w:ind w:left="580" w:right="40" w:hanging="1"/>
        <w:spacing w:after="0" w:line="239" w:lineRule="auto"/>
        <w:tabs>
          <w:tab w:leader="none" w:pos="77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7" w:lineRule="exact"/>
        <w:rPr>
          <w:rFonts w:ascii="Arial" w:cs="Arial" w:eastAsia="Arial" w:hAnsi="Arial"/>
          <w:sz w:val="14"/>
          <w:szCs w:val="14"/>
          <w:color w:val="auto"/>
        </w:rPr>
      </w:pPr>
    </w:p>
    <w:p>
      <w:pPr>
        <w:ind w:left="580" w:right="140" w:hanging="1"/>
        <w:spacing w:after="0" w:line="239" w:lineRule="auto"/>
        <w:tabs>
          <w:tab w:leader="none" w:pos="764"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7" w:lineRule="exact"/>
        <w:rPr>
          <w:rFonts w:ascii="Arial" w:cs="Arial" w:eastAsia="Arial" w:hAnsi="Arial"/>
          <w:sz w:val="14"/>
          <w:szCs w:val="14"/>
          <w:color w:val="auto"/>
        </w:rPr>
      </w:pPr>
    </w:p>
    <w:p>
      <w:pPr>
        <w:ind w:left="760" w:hanging="181"/>
        <w:spacing w:after="0"/>
        <w:tabs>
          <w:tab w:leader="none" w:pos="7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hanging="1"/>
        <w:spacing w:after="0" w:line="270" w:lineRule="auto"/>
        <w:tabs>
          <w:tab w:leader="none" w:pos="764" w:val="left"/>
        </w:tabs>
        <w:numPr>
          <w:ilvl w:val="0"/>
          <w:numId w:val="111"/>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0" w:lineRule="exact"/>
        <w:rPr>
          <w:rFonts w:ascii="Arial" w:cs="Arial" w:eastAsia="Arial" w:hAnsi="Arial"/>
          <w:sz w:val="12"/>
          <w:szCs w:val="12"/>
          <w:color w:val="auto"/>
        </w:rPr>
      </w:pPr>
    </w:p>
    <w:p>
      <w:pPr>
        <w:ind w:left="580" w:hanging="1"/>
        <w:spacing w:after="0" w:line="230" w:lineRule="auto"/>
        <w:tabs>
          <w:tab w:leader="none" w:pos="749"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8" w:lineRule="exact"/>
        <w:rPr>
          <w:rFonts w:ascii="Arial" w:cs="Arial" w:eastAsia="Arial" w:hAnsi="Arial"/>
          <w:sz w:val="14"/>
          <w:szCs w:val="14"/>
          <w:color w:val="auto"/>
        </w:rPr>
      </w:pPr>
    </w:p>
    <w:p>
      <w:pPr>
        <w:ind w:left="860" w:hanging="167"/>
        <w:spacing w:after="0"/>
        <w:tabs>
          <w:tab w:leader="none" w:pos="86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497 under the Securities Act;</w:t>
      </w:r>
    </w:p>
    <w:p>
      <w:pPr>
        <w:spacing w:after="0" w:line="68" w:lineRule="exact"/>
        <w:rPr>
          <w:rFonts w:ascii="Arial" w:cs="Arial" w:eastAsia="Arial" w:hAnsi="Arial"/>
          <w:sz w:val="14"/>
          <w:szCs w:val="14"/>
          <w:color w:val="auto"/>
        </w:rPr>
      </w:pPr>
    </w:p>
    <w:p>
      <w:pPr>
        <w:ind w:left="700" w:right="100" w:hanging="7"/>
        <w:spacing w:after="0" w:line="239" w:lineRule="auto"/>
        <w:tabs>
          <w:tab w:leader="none" w:pos="899" w:val="left"/>
        </w:tabs>
        <w:numPr>
          <w:ilvl w:val="1"/>
          <w:numId w:val="111"/>
        </w:numPr>
        <w:rPr>
          <w:rFonts w:ascii="Arial" w:cs="Arial" w:eastAsia="Arial" w:hAnsi="Arial"/>
          <w:sz w:val="14"/>
          <w:szCs w:val="14"/>
          <w:color w:val="auto"/>
        </w:rPr>
      </w:pPr>
      <w:r>
        <w:rPr>
          <w:rFonts w:ascii="Arial" w:cs="Arial" w:eastAsia="Arial" w:hAnsi="Arial"/>
          <w:sz w:val="14"/>
          <w:szCs w:val="14"/>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7" w:lineRule="exact"/>
        <w:rPr>
          <w:rFonts w:ascii="Arial" w:cs="Arial" w:eastAsia="Arial" w:hAnsi="Arial"/>
          <w:sz w:val="14"/>
          <w:szCs w:val="14"/>
          <w:color w:val="auto"/>
        </w:rPr>
      </w:pPr>
    </w:p>
    <w:p>
      <w:pPr>
        <w:ind w:left="920" w:hanging="227"/>
        <w:spacing w:after="0"/>
        <w:tabs>
          <w:tab w:leader="none" w:pos="92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68" w:lineRule="exact"/>
        <w:rPr>
          <w:rFonts w:ascii="Arial" w:cs="Arial" w:eastAsia="Arial" w:hAnsi="Arial"/>
          <w:sz w:val="14"/>
          <w:szCs w:val="14"/>
          <w:color w:val="auto"/>
        </w:rPr>
      </w:pPr>
    </w:p>
    <w:p>
      <w:pPr>
        <w:ind w:left="580" w:right="380" w:hanging="1"/>
        <w:spacing w:after="0" w:line="228" w:lineRule="auto"/>
        <w:tabs>
          <w:tab w:leader="none" w:pos="771"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0"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58" w:lineRule="exact"/>
        <w:rPr>
          <w:sz w:val="20"/>
          <w:szCs w:val="20"/>
          <w:color w:val="auto"/>
        </w:rPr>
      </w:pPr>
    </w:p>
    <w:p>
      <w:pPr>
        <w:ind w:left="580" w:right="460" w:hanging="1"/>
        <w:spacing w:after="0" w:line="318" w:lineRule="auto"/>
        <w:tabs>
          <w:tab w:leader="none" w:pos="771" w:val="left"/>
        </w:tabs>
        <w:numPr>
          <w:ilvl w:val="1"/>
          <w:numId w:val="112"/>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right="80" w:firstLine="4"/>
        <w:spacing w:after="0" w:line="228" w:lineRule="auto"/>
        <w:tabs>
          <w:tab w:leader="none" w:pos="65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the Registrant has duly caused this Pre-Effective Amendment No. 2 to the Registration Statement on Form N-2 to be signed on its behalf by the undersigned, thereunto duly authorized, in the City of New York, and State of New York, on the 25th day of July 2012.</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Arthur H. Penn</w:t>
            </w:r>
          </w:p>
        </w:tc>
      </w:tr>
      <w:tr>
        <w:trPr>
          <w:trHeight w:val="169"/>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85"/>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2"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this Pre-Effective Amendment No. 1 to the Registration Statement has been signed by the following persons in the capacities set forth below on the 25th day of July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center"/>
              <w:ind w:right="2140"/>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1"/>
        </w:trPr>
        <w:tc>
          <w:tcPr>
            <w:tcW w:w="6060" w:type="dxa"/>
            <w:vAlign w:val="bottom"/>
            <w:gridSpan w:val="8"/>
          </w:tcPr>
          <w:p>
            <w:pPr>
              <w:ind w:left="1940"/>
              <w:spacing w:after="0"/>
              <w:rPr>
                <w:sz w:val="20"/>
                <w:szCs w:val="20"/>
                <w:color w:val="auto"/>
              </w:rPr>
            </w:pPr>
            <w:r>
              <w:rPr>
                <w:rFonts w:ascii="Arial" w:cs="Arial" w:eastAsia="Arial" w:hAnsi="Arial"/>
                <w:sz w:val="14"/>
                <w:szCs w:val="14"/>
                <w:color w:val="auto"/>
              </w:rPr>
              <w:t>/S/  Arthur H. Penn</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Chairman of the Board of Directors and Chief Executive Officer (Principal Executive Officer)</w:t>
            </w:r>
          </w:p>
        </w:tc>
      </w:tr>
      <w:tr>
        <w:trPr>
          <w:trHeight w:val="168"/>
        </w:trPr>
        <w:tc>
          <w:tcPr>
            <w:tcW w:w="19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Arthur H. Penn</w:t>
            </w:r>
          </w:p>
        </w:tc>
        <w:tc>
          <w:tcPr>
            <w:tcW w:w="2740" w:type="dxa"/>
            <w:vAlign w:val="bottom"/>
            <w:gridSpan w:val="2"/>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5"/>
          </w:tcPr>
          <w:p>
            <w:pPr>
              <w:spacing w:after="0"/>
              <w:rPr>
                <w:sz w:val="20"/>
                <w:szCs w:val="20"/>
                <w:color w:val="auto"/>
              </w:rPr>
            </w:pPr>
            <w:r>
              <w:rPr>
                <w:rFonts w:ascii="Arial" w:cs="Arial" w:eastAsia="Arial" w:hAnsi="Arial"/>
                <w:sz w:val="14"/>
                <w:szCs w:val="14"/>
                <w:color w:val="auto"/>
              </w:rPr>
              <w:t>/S/  Aviv Efrat</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Chief Financial Officer and Treasurer (Principal Financial and Accounting Officer)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100" w:type="dxa"/>
            <w:vAlign w:val="bottom"/>
          </w:tcPr>
          <w:p>
            <w:pPr>
              <w:spacing w:after="0"/>
              <w:rPr>
                <w:sz w:val="14"/>
                <w:szCs w:val="14"/>
                <w:color w:val="auto"/>
              </w:rPr>
            </w:pP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Adam K. Bernstein</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Jeffrey Flug</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Samuel L. Katz</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bl>
    <w:p>
      <w:pPr>
        <w:spacing w:after="0" w:line="180" w:lineRule="exact"/>
        <w:rPr>
          <w:sz w:val="20"/>
          <w:szCs w:val="20"/>
          <w:color w:val="auto"/>
        </w:rPr>
      </w:pPr>
    </w:p>
    <w:p>
      <w:pPr>
        <w:ind w:left="5580" w:right="4460" w:hanging="5572"/>
        <w:spacing w:after="0" w:line="459" w:lineRule="auto"/>
        <w:tabs>
          <w:tab w:leader="none" w:pos="115"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Signed by Aviv Efrat on behalf of those identified pursuant to his designation as an attorney-in-fact signed on March 14, 2012. C-11</w:t>
      </w:r>
    </w:p>
    <w:p>
      <w:pPr>
        <w:sectPr>
          <w:pgSz w:w="11900" w:h="16838" w:orient="portrait"/>
          <w:cols w:equalWidth="0" w:num="1">
            <w:col w:w="11420"/>
          </w:cols>
          <w:pgMar w:left="240" w:top="46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right="480"/>
        <w:spacing w:after="0" w:line="318" w:lineRule="auto"/>
        <w:rPr>
          <w:sz w:val="20"/>
          <w:szCs w:val="20"/>
          <w:color w:val="auto"/>
        </w:rPr>
      </w:pPr>
      <w:r>
        <w:rPr>
          <w:rFonts w:ascii="Arial" w:cs="Arial" w:eastAsia="Arial" w:hAnsi="Arial"/>
          <w:sz w:val="12"/>
          <w:szCs w:val="12"/>
          <w:color w:val="auto"/>
        </w:rPr>
        <w:t>We consent to the use of our report dated November 17, 2011 for PennantPark Floating Rate Capital Ltd. and its Subsidiary included herein and to the references to our firm under the headings “Selected Financial Data”, “Senior Securities”, and “Independent Registered Public Accounting Firm” in the Pre-Effective Amendment No. 2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534795" cy="3517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347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July 25, 2012</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Shareholders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Re: Pre-Effective Amendment No. 2 Shelf Registration Statement and Investment Company Act of 1940 File No. 814-00891.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the subject registration statement, we acknowledge our awareness of the use therein of our report dated May 3, 2012 related to our review of interim financial information.</w:t>
      </w:r>
    </w:p>
    <w:p>
      <w:pPr>
        <w:spacing w:after="0" w:line="173"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534795" cy="3517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5347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July 25, 2012</w:t>
      </w:r>
    </w:p>
    <w:p>
      <w:pPr>
        <w:sectPr>
          <w:pgSz w:w="11900" w:h="16838" w:orient="portrait"/>
          <w:cols w:equalWidth="0" w:num="1">
            <w:col w:w="11420"/>
          </w:cols>
          <w:pgMar w:left="240" w:top="125" w:right="239" w:bottom="1440" w:gutter="0" w:footer="0" w:header="0"/>
        </w:sectPr>
      </w:pPr>
    </w:p>
    <w:bookmarkStart w:id="163" w:name="page164"/>
    <w:bookmarkEnd w:id="163"/>
    <w:p>
      <w:pPr>
        <w:ind w:left="8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029335" cy="3517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1029335" cy="351790"/>
                    </a:xfrm>
                    <a:prstGeom prst="rect">
                      <a:avLst/>
                    </a:prstGeom>
                    <a:noFill/>
                  </pic:spPr>
                </pic:pic>
              </a:graphicData>
            </a:graphic>
          </wp:anchor>
        </w:drawing>
        <w:t>1775 I Street, N.W.</w:t>
      </w:r>
    </w:p>
    <w:p>
      <w:pPr>
        <w:ind w:left="8460"/>
        <w:spacing w:after="0" w:line="221" w:lineRule="auto"/>
        <w:rPr>
          <w:sz w:val="20"/>
          <w:szCs w:val="20"/>
          <w:color w:val="auto"/>
        </w:rPr>
      </w:pPr>
      <w:r>
        <w:rPr>
          <w:rFonts w:ascii="Arial" w:cs="Arial" w:eastAsia="Arial" w:hAnsi="Arial"/>
          <w:sz w:val="14"/>
          <w:szCs w:val="14"/>
          <w:color w:val="auto"/>
        </w:rPr>
        <w:t>Washington, DC 20006-2401</w:t>
      </w:r>
    </w:p>
    <w:p>
      <w:pPr>
        <w:ind w:left="8460"/>
        <w:spacing w:after="0" w:line="221" w:lineRule="auto"/>
        <w:rPr>
          <w:sz w:val="20"/>
          <w:szCs w:val="20"/>
          <w:color w:val="auto"/>
        </w:rPr>
      </w:pPr>
      <w:r>
        <w:rPr>
          <w:rFonts w:ascii="Arial" w:cs="Arial" w:eastAsia="Arial" w:hAnsi="Arial"/>
          <w:sz w:val="14"/>
          <w:szCs w:val="14"/>
          <w:color w:val="auto"/>
        </w:rPr>
        <w:t>+1 202 261 3300 Main</w:t>
      </w:r>
    </w:p>
    <w:p>
      <w:pPr>
        <w:ind w:left="8460"/>
        <w:spacing w:after="0" w:line="222" w:lineRule="auto"/>
        <w:rPr>
          <w:sz w:val="20"/>
          <w:szCs w:val="20"/>
          <w:color w:val="auto"/>
        </w:rPr>
      </w:pPr>
      <w:r>
        <w:rPr>
          <w:rFonts w:ascii="Arial" w:cs="Arial" w:eastAsia="Arial" w:hAnsi="Arial"/>
          <w:sz w:val="14"/>
          <w:szCs w:val="14"/>
          <w:color w:val="auto"/>
        </w:rPr>
        <w:t>+1 202 261 3333 Fax</w:t>
      </w:r>
    </w:p>
    <w:p>
      <w:pPr>
        <w:ind w:left="8460"/>
        <w:spacing w:after="0"/>
        <w:rPr>
          <w:sz w:val="20"/>
          <w:szCs w:val="20"/>
          <w:color w:val="auto"/>
        </w:rPr>
      </w:pPr>
      <w:r>
        <w:rPr>
          <w:rFonts w:ascii="Arial" w:cs="Arial" w:eastAsia="Arial" w:hAnsi="Arial"/>
          <w:sz w:val="14"/>
          <w:szCs w:val="14"/>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95250</wp:posOffset>
            </wp:positionV>
            <wp:extent cx="195516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49"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WILLIAM J. TUTTLE</w:t>
      </w:r>
    </w:p>
    <w:p>
      <w:pPr>
        <w:spacing w:after="0" w:line="72"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william.tuttle@dechert.com</w:t>
      </w:r>
    </w:p>
    <w:p>
      <w:pPr>
        <w:ind w:left="8460"/>
        <w:spacing w:after="0" w:line="221" w:lineRule="auto"/>
        <w:rPr>
          <w:sz w:val="20"/>
          <w:szCs w:val="20"/>
          <w:color w:val="auto"/>
        </w:rPr>
      </w:pPr>
      <w:r>
        <w:rPr>
          <w:rFonts w:ascii="Arial" w:cs="Arial" w:eastAsia="Arial" w:hAnsi="Arial"/>
          <w:sz w:val="14"/>
          <w:szCs w:val="14"/>
          <w:color w:val="auto"/>
        </w:rPr>
        <w:t>+1 202 261 3352 Direct</w:t>
      </w:r>
    </w:p>
    <w:p>
      <w:pPr>
        <w:ind w:left="8460"/>
        <w:spacing w:after="0"/>
        <w:rPr>
          <w:sz w:val="20"/>
          <w:szCs w:val="20"/>
          <w:color w:val="auto"/>
        </w:rPr>
      </w:pPr>
      <w:r>
        <w:rPr>
          <w:rFonts w:ascii="Arial" w:cs="Arial" w:eastAsia="Arial" w:hAnsi="Arial"/>
          <w:sz w:val="14"/>
          <w:szCs w:val="14"/>
          <w:color w:val="auto"/>
        </w:rPr>
        <w:t>+1 202 261 3009 Fax</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July 25, 2012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Ganley</w:t>
      </w:r>
    </w:p>
    <w:p>
      <w:pPr>
        <w:spacing w:after="0" w:line="28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PennantPark Floating Rate Capital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File Numbers 333-180084 and 814-00891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today filed with the Securities and Exchange Commission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Pre-Effective Amendment No. 2 (“</w:t>
      </w:r>
      <w:r>
        <w:rPr>
          <w:rFonts w:ascii="Arial" w:cs="Arial" w:eastAsia="Arial" w:hAnsi="Arial"/>
          <w:sz w:val="16"/>
          <w:szCs w:val="16"/>
          <w:u w:val="single" w:color="auto"/>
          <w:color w:val="auto"/>
        </w:rPr>
        <w:t>Amendment No. 2</w:t>
      </w:r>
      <w:r>
        <w:rPr>
          <w:rFonts w:ascii="Arial" w:cs="Arial" w:eastAsia="Arial" w:hAnsi="Arial"/>
          <w:sz w:val="16"/>
          <w:szCs w:val="16"/>
          <w:color w:val="auto"/>
        </w:rPr>
        <w:t>”) to its Registration Statement on Form N-2 (Registration No. 333-180084)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On behalf of the Company,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recent telephone calls between Mr. Ganley and Chad Eskildsen of the Staff and Thomas Friedmann and William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Tuttle of Dechert LLP, outside counsel to the Company, regarding the Registration Statement and the prospectus included therein. For your convenience,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transcription of the Staff’s comments is included in this letter, and each comment is followed by the applicable response. Capitalized terms used in this letter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 otherwise defined herein shall have the meanings specified in the Registration Statement. We will also provide to you under separate cover courtesy copies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Amendment No. 2, as filed and marked to show the changes from Amendment No. 1 to the Registration Statement.</w:t>
      </w:r>
    </w:p>
    <w:p>
      <w:pPr>
        <w:spacing w:after="0" w:line="199" w:lineRule="exact"/>
        <w:rPr>
          <w:sz w:val="20"/>
          <w:szCs w:val="20"/>
          <w:color w:val="auto"/>
        </w:rPr>
      </w:pPr>
    </w:p>
    <w:p>
      <w:pPr>
        <w:ind w:left="900" w:right="100" w:hanging="446"/>
        <w:spacing w:after="0" w:line="258" w:lineRule="auto"/>
        <w:tabs>
          <w:tab w:leader="none" w:pos="9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Except for the fiscal quarter ending December 31 of each year when actual amounts are known, please reflect in the Incentive fees payable under the Investment Management Agreement line of the Fees and Expenses table the accrued capital gains incentive fee amount for the most recently completed quarter even though such amount may not reflect the capital gains incentive fee ultimately paid to the Investment Adviser for the calendar year.</w:t>
      </w:r>
    </w:p>
    <w:p>
      <w:pPr>
        <w:spacing w:after="0" w:line="200" w:lineRule="exact"/>
        <w:rPr>
          <w:sz w:val="20"/>
          <w:szCs w:val="20"/>
          <w:color w:val="auto"/>
        </w:rPr>
      </w:pPr>
    </w:p>
    <w:p>
      <w:pPr>
        <w:spacing w:after="0" w:line="315" w:lineRule="exact"/>
        <w:rPr>
          <w:sz w:val="20"/>
          <w:szCs w:val="20"/>
          <w:color w:val="auto"/>
        </w:rPr>
      </w:pPr>
    </w:p>
    <w:p>
      <w:pPr>
        <w:ind w:right="2880"/>
        <w:spacing w:after="0" w:line="231" w:lineRule="auto"/>
        <w:rPr>
          <w:sz w:val="20"/>
          <w:szCs w:val="20"/>
          <w:color w:val="auto"/>
        </w:rPr>
      </w:pPr>
      <w:r>
        <w:rPr>
          <w:rFonts w:ascii="Arial" w:cs="Arial" w:eastAsia="Arial" w:hAnsi="Arial"/>
          <w:sz w:val="14"/>
          <w:szCs w:val="14"/>
          <w:color w:val="auto"/>
        </w:rPr>
        <w:t>US Austin Boston Charlotte Hartford Los Angeles New York Orange County Philadelphia Princeton San Francisco Silicon Valley Washington DC EUROPE Brussels Dublin Frankfurt London Luxembourg Moscow Munich Paris ASIA Beijing Hong Kong</w:t>
      </w:r>
    </w:p>
    <w:p>
      <w:pPr>
        <w:sectPr>
          <w:pgSz w:w="11900" w:h="16838" w:orient="portrait"/>
          <w:cols w:equalWidth="0" w:num="1">
            <w:col w:w="11340"/>
          </w:cols>
          <w:pgMar w:left="240" w:top="127" w:right="319" w:bottom="1440" w:gutter="0" w:footer="0" w:header="0"/>
        </w:sectPr>
      </w:pPr>
    </w:p>
    <w:bookmarkStart w:id="164" w:name="page165"/>
    <w:bookmarkEnd w:id="164"/>
    <w:p>
      <w:pPr>
        <w:ind w:left="8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29335" cy="3517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8"/>
          <w:szCs w:val="18"/>
          <w:color w:val="auto"/>
        </w:rPr>
        <w:t>July 25, 2012</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As requested, the Company has revised the fee table in Amendment No. 2 to reflect in the Incentive fees payable under the Investment Management</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Agreement line of the Fees and Expenses table the accrued capital gains incentive fees for the quarter ended March 31, 2012 based on the capital gains accrued by the Company for such period.</w:t>
      </w:r>
    </w:p>
    <w:p>
      <w:pPr>
        <w:spacing w:after="0" w:line="172" w:lineRule="exact"/>
        <w:rPr>
          <w:sz w:val="20"/>
          <w:szCs w:val="20"/>
          <w:color w:val="auto"/>
        </w:rPr>
      </w:pPr>
    </w:p>
    <w:p>
      <w:pPr>
        <w:ind w:left="900" w:right="300" w:hanging="446"/>
        <w:spacing w:after="0" w:line="310" w:lineRule="auto"/>
        <w:tabs>
          <w:tab w:leader="none" w:pos="90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Please confirm that there are no operative waivers of any portion of the base management fee to which the Investment Adviser is entitled under the Investment Management Agreement at this time, and that the amount set forth in the Management fees line of the Fees and Expenses table is the full amount of the base management fees payable under such agreement.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confirms that there are no operative waivers of any portion of the base management fee to which the Investment Adviser is entitled under the Investment Management Agreement at this time, and that the amount set forth in the Management fees line of the Fees and Expenses table is the full amount of the base management fees payable under such agreement.</w:t>
      </w:r>
    </w:p>
    <w:p>
      <w:pPr>
        <w:spacing w:after="0" w:line="175" w:lineRule="exact"/>
        <w:rPr>
          <w:sz w:val="20"/>
          <w:szCs w:val="20"/>
          <w:color w:val="auto"/>
        </w:rPr>
      </w:pPr>
    </w:p>
    <w:p>
      <w:pPr>
        <w:ind w:left="900" w:right="60" w:hanging="446"/>
        <w:spacing w:after="0" w:line="293" w:lineRule="auto"/>
        <w:tabs>
          <w:tab w:leader="none" w:pos="90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 to clearly reflect that base management fees are not charged on U.S. Treasury bills, temporary draws under any credit facility and/or repurchase agreements or other balance sheet transactions undertaken at the end of a fiscal quarter for purposes of preserving investment flexibility for the next quarter. In addition, please amend the Investment Management Agreement to clearly reflect that base management fees are not charged on U.S. Treasury bills, temporary draws under any credit facility and/or repurchase agreements or other balance sheet transactions undertaken at the end of a fiscal quarter for purposes of preserving investment flexibility for the next quarter. The Staff does not believe that shareholder approval is required for such amendment.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requested, the Company has revised the disclosure on pages 65, F-13 and F-36 of Amendment No. 2 to state that the base management fee is 1.00% of gross assets (net of U.S. Treasury Bills, temporary draws under any credit facility and/or repurchase agreements or other balance sheet transactions undertaken at the end of a fiscal quarter for purposes of preserving investment flexibility for the next quarter).</w:t>
      </w:r>
    </w:p>
    <w:p>
      <w:pPr>
        <w:spacing w:after="0" w:line="140"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As requested, the Company’s board of directors will be asked to approve an amendment to the Investment Management Agreement at its August 7, 2012 meeting. Assuming that the board of directors approves such amendment, which the Company expects, Section 3(a) will state as follows: “The Base Management Fee shall be calculated at an annual rate of 1.00% of the Corporation’s gross assets (net of U.S. Treasury Bills, temporary draws under any credit facility</w:t>
      </w:r>
    </w:p>
    <w:p>
      <w:pPr>
        <w:sectPr>
          <w:pgSz w:w="11900" w:h="16838" w:orient="portrait"/>
          <w:cols w:equalWidth="0" w:num="1">
            <w:col w:w="11420"/>
          </w:cols>
          <w:pgMar w:left="240" w:top="280" w:right="239" w:bottom="1440" w:gutter="0" w:footer="0" w:header="0"/>
        </w:sectPr>
      </w:pPr>
    </w:p>
    <w:bookmarkStart w:id="165" w:name="page166"/>
    <w:bookmarkEnd w:id="165"/>
    <w:p>
      <w:pPr>
        <w:ind w:left="8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029335" cy="3517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8"/>
          <w:szCs w:val="18"/>
          <w:color w:val="auto"/>
        </w:rPr>
        <w:t>July 25, 2012</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and/or repurchase agreements or other balance sheet transactions undertaken at the end of a fiscal quarter for purposes of preserving investment flexibility for the next quarter).” If the board of directors does not approve such amendment, the Company hereby undertakes to inform the Staff promptly. If the board of directors does approve such amendment, the Investment Management Agreement, as amended and restated, will be filed with the Company’s Quarterly Report on Form 10-Q for the quarter ended June 30, 2012.</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 (iii) the Company may not assert Staff comments as a defense in any proceeding initiated by the Commission or any person under the federal securities laws of the United States.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you have any questions, please feel free to contact the undersigned by telephone at 202.261.3352 (or by facsimile at 202.261.3333) or Thomas J. Friedmann at 202.261.3313 (or by facsimile at 202.261.3333). Thank you for your cooperation and attention to this matter.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H. Penn, PennantPark Floating Rate Capital Ltd.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 PennantPark Floating Rate Capital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J. Friedmann, Dechert LLP</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decimal"/>
      <w:start w:val="1"/>
    </w:lvl>
  </w:abstractNum>
  <w:abstractNum w:abstractNumId="3">
    <w:nsid w:val="D34B6A8"/>
    <w:multiLevelType w:val="hybridMultilevel"/>
    <w:lvl w:ilvl="0">
      <w:lvlJc w:val="left"/>
      <w:lvlText w:val="(%1)"/>
      <w:numFmt w:val="decimal"/>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1)"/>
      <w:numFmt w:val="decimal"/>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1)"/>
      <w:numFmt w:val="decimal"/>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1)"/>
      <w:numFmt w:val="decimal"/>
      <w:start w:val="1"/>
    </w:lvl>
  </w:abstractNum>
  <w:abstractNum w:abstractNumId="15">
    <w:nsid w:val="4AD084E9"/>
    <w:multiLevelType w:val="hybridMultilevel"/>
    <w:lvl w:ilvl="0">
      <w:lvlJc w:val="left"/>
      <w:lvlText w:val="(%1)"/>
      <w:numFmt w:val="decimal"/>
      <w:start w:val="1"/>
    </w:lvl>
  </w:abstractNum>
  <w:abstractNum w:abstractNumId="16">
    <w:nsid w:val="1F48EAA1"/>
    <w:multiLevelType w:val="hybridMultilevel"/>
    <w:lvl w:ilvl="0">
      <w:lvlJc w:val="left"/>
      <w:lvlText w:val="%1."/>
      <w:numFmt w:val="decimal"/>
      <w:start w:val="820"/>
    </w:lvl>
  </w:abstractNum>
  <w:abstractNum w:abstractNumId="17">
    <w:nsid w:val="1381823A"/>
    <w:multiLevelType w:val="hybridMultilevel"/>
    <w:lvl w:ilvl="0">
      <w:lvlJc w:val="left"/>
      <w:lvlText w:val="(%1)"/>
      <w:numFmt w:val="decimal"/>
      <w:start w:val="1"/>
    </w:lvl>
  </w:abstractNum>
  <w:abstractNum w:abstractNumId="18">
    <w:nsid w:val="5DB70AE5"/>
    <w:multiLevelType w:val="hybridMultilevel"/>
    <w:lvl w:ilvl="0">
      <w:lvlJc w:val="left"/>
      <w:lvlText w:val="(%1)"/>
      <w:numFmt w:val="decimal"/>
      <w:start w:val="1"/>
    </w:lvl>
  </w:abstractNum>
  <w:abstractNum w:abstractNumId="19">
    <w:nsid w:val="100F8FCA"/>
    <w:multiLevelType w:val="hybridMultilevel"/>
    <w:lvl w:ilvl="0">
      <w:lvlJc w:val="left"/>
      <w:lvlText w:val="(%1)"/>
      <w:numFmt w:val="decimal"/>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1)"/>
      <w:numFmt w:val="decimal"/>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1)"/>
      <w:numFmt w:val="decimal"/>
      <w:start w:val="4"/>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1)"/>
      <w:numFmt w:val="decimal"/>
      <w:start w:val="3"/>
    </w:lvl>
  </w:abstractNum>
  <w:abstractNum w:abstractNumId="31">
    <w:nsid w:val="540A471C"/>
    <w:multiLevelType w:val="hybridMultilevel"/>
    <w:lvl w:ilvl="0">
      <w:lvlJc w:val="left"/>
      <w:lvlText w:val="(%1)"/>
      <w:numFmt w:val="decimal"/>
      <w:start w:val="1"/>
    </w:lvl>
  </w:abstractNum>
  <w:abstractNum w:abstractNumId="32">
    <w:nsid w:val="7BD3EE7B"/>
    <w:multiLevelType w:val="hybridMultilevel"/>
    <w:lvl w:ilvl="0">
      <w:lvlJc w:val="left"/>
      <w:lvlText w:val="(%1)"/>
      <w:numFmt w:val="decimal"/>
      <w:start w:val="1"/>
    </w:lvl>
  </w:abstractNum>
  <w:abstractNum w:abstractNumId="33">
    <w:nsid w:val="51D9C564"/>
    <w:multiLevelType w:val="hybridMultilevel"/>
    <w:lvl w:ilvl="0">
      <w:lvlJc w:val="left"/>
      <w:lvlText w:val="(%1)"/>
      <w:numFmt w:val="decimal"/>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1)"/>
      <w:numFmt w:val="decimal"/>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1)"/>
      <w:numFmt w:val="decimal"/>
      <w:start w:val="1"/>
    </w:lvl>
  </w:abstractNum>
  <w:abstractNum w:abstractNumId="42">
    <w:nsid w:val="68EB2F63"/>
    <w:multiLevelType w:val="hybridMultilevel"/>
    <w:lvl w:ilvl="0">
      <w:lvlJc w:val="left"/>
      <w:lvlText w:val="(%1)"/>
      <w:numFmt w:val="decimal"/>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1)"/>
      <w:numFmt w:val="lowerLetter"/>
      <w:start w:val="3"/>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1)"/>
      <w:numFmt w:val="decimal"/>
      <w:start w:val="1"/>
    </w:lvl>
    <w:lvl w:ilvl="1">
      <w:lvlJc w:val="left"/>
      <w:lvlText w:val="(%2)"/>
      <w:numFmt w:val="lowerLetter"/>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lvl w:ilvl="1">
      <w:lvlJc w:val="left"/>
      <w:lvlText w:val="%2)"/>
      <w:numFmt w:val="decimal"/>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1)"/>
      <w:numFmt w:val="decimal"/>
      <w:start w:val="1"/>
    </w:lvl>
  </w:abstractNum>
  <w:abstractNum w:abstractNumId="77">
    <w:nsid w:val="488AC1A"/>
    <w:multiLevelType w:val="hybridMultilevel"/>
    <w:lvl w:ilvl="0">
      <w:lvlJc w:val="left"/>
      <w:lvlText w:val="(%1)"/>
      <w:numFmt w:val="decimal"/>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
      <w:numFmt w:val="bullet"/>
      <w:start w:val="1"/>
    </w:lvl>
  </w:abstractNum>
  <w:abstractNum w:abstractNumId="83">
    <w:nsid w:val="7D5E18F8"/>
    <w:multiLevelType w:val="hybridMultilevel"/>
    <w:lvl w:ilvl="0">
      <w:lvlJc w:val="left"/>
      <w:lvlText w:val="(%1)"/>
      <w:numFmt w:val="decimal"/>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1)"/>
      <w:numFmt w:val="decimal"/>
      <w:start w:val="1"/>
    </w:lvl>
  </w:abstractNum>
  <w:abstractNum w:abstractNumId="86">
    <w:nsid w:val="7DE67713"/>
    <w:multiLevelType w:val="hybridMultilevel"/>
    <w:lvl w:ilvl="0">
      <w:lvlJc w:val="left"/>
      <w:lvlText w:val="(%1)"/>
      <w:numFmt w:val="decimal"/>
      <w:start w:val="1"/>
    </w:lvl>
  </w:abstractNum>
  <w:abstractNum w:abstractNumId="87">
    <w:nsid w:val="555C55B5"/>
    <w:multiLevelType w:val="hybridMultilevel"/>
    <w:lvl w:ilvl="0">
      <w:lvlJc w:val="left"/>
      <w:lvlText w:val="(%1)"/>
      <w:numFmt w:val="decimal"/>
      <w:start w:val="1"/>
    </w:lvl>
  </w:abstractNum>
  <w:abstractNum w:abstractNumId="88">
    <w:nsid w:val="3FA62ACA"/>
    <w:multiLevelType w:val="hybridMultilevel"/>
    <w:lvl w:ilvl="0">
      <w:lvlJc w:val="left"/>
      <w:lvlText w:val="(%1)"/>
      <w:numFmt w:val="decimal"/>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1"/>
      <w:numFmt w:val="bullet"/>
      <w:start w:val="1"/>
    </w:lvl>
  </w:abstractNum>
  <w:abstractNum w:abstractNumId="91">
    <w:nsid w:val="71C91298"/>
    <w:multiLevelType w:val="hybridMultilevel"/>
    <w:lvl w:ilvl="0">
      <w:lvlJc w:val="left"/>
      <w:lvlText w:val="2"/>
      <w:numFmt w:val="bullet"/>
      <w:start w:val="1"/>
    </w:lvl>
  </w:abstractNum>
  <w:abstractNum w:abstractNumId="92">
    <w:nsid w:val="9DAF632"/>
    <w:multiLevelType w:val="hybridMultilevel"/>
    <w:lvl w:ilvl="0">
      <w:lvlJc w:val="left"/>
      <w:lvlText w:val="(%1)"/>
      <w:numFmt w:val="lowerLetter"/>
      <w:start w:val="1"/>
    </w:lvl>
  </w:abstractNum>
  <w:abstractNum w:abstractNumId="93">
    <w:nsid w:val="53299938"/>
    <w:multiLevelType w:val="hybridMultilevel"/>
    <w:lvl w:ilvl="0">
      <w:lvlJc w:val="left"/>
      <w:lvlText w:val="(%1)"/>
      <w:numFmt w:val="lowerLetter"/>
      <w:start w:val="5"/>
    </w:lvl>
  </w:abstractNum>
  <w:abstractNum w:abstractNumId="94">
    <w:nsid w:val="1FBFE8E0"/>
    <w:multiLevelType w:val="hybridMultilevel"/>
    <w:lvl w:ilvl="0">
      <w:lvlJc w:val="left"/>
      <w:lvlText w:val="(%1)"/>
      <w:numFmt w:val="lowerLetter"/>
      <w:start w:val="7"/>
    </w:lvl>
  </w:abstractNum>
  <w:abstractNum w:abstractNumId="95">
    <w:nsid w:val="5092CA79"/>
    <w:multiLevelType w:val="hybridMultilevel"/>
    <w:lvl w:ilvl="0">
      <w:lvlJc w:val="left"/>
      <w:lvlText w:val="(%1)"/>
      <w:numFmt w:val="lowerLetter"/>
      <w:start w:val="10"/>
    </w:lvl>
  </w:abstractNum>
  <w:abstractNum w:abstractNumId="96">
    <w:nsid w:val="1D545C4D"/>
    <w:multiLevelType w:val="hybridMultilevel"/>
    <w:lvl w:ilvl="0">
      <w:lvlJc w:val="left"/>
      <w:lvlText w:val="2"/>
      <w:numFmt w:val="bullet"/>
      <w:start w:val="1"/>
    </w:lvl>
  </w:abstractNum>
  <w:abstractNum w:abstractNumId="97">
    <w:nsid w:val="59ADEA3D"/>
    <w:multiLevelType w:val="hybridMultilevel"/>
    <w:lvl w:ilvl="0">
      <w:lvlJc w:val="left"/>
      <w:lvlText w:val="*"/>
      <w:numFmt w:val="bullet"/>
      <w:start w:val="1"/>
    </w:lvl>
  </w:abstractNum>
  <w:abstractNum w:abstractNumId="98">
    <w:nsid w:val="288F1A34"/>
    <w:multiLevelType w:val="hybridMultilevel"/>
    <w:lvl w:ilvl="0">
      <w:lvlJc w:val="left"/>
      <w:lvlText w:val="**"/>
      <w:numFmt w:val="bullet"/>
      <w:start w:val="1"/>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
      <w:numFmt w:val="bullet"/>
      <w:start w:val="1"/>
    </w:lvl>
  </w:abstractNum>
  <w:abstractNum w:abstractNumId="101">
    <w:nsid w:val="97E1B4E"/>
    <w:multiLevelType w:val="hybridMultilevel"/>
    <w:lvl w:ilvl="0">
      <w:lvlJc w:val="left"/>
      <w:lvlText w:val="$"/>
      <w:numFmt w:val="bullet"/>
      <w:start w:val="1"/>
    </w:lvl>
  </w:abstractNum>
  <w:abstractNum w:abstractNumId="102">
    <w:nsid w:val="51088277"/>
    <w:multiLevelType w:val="hybridMultilevel"/>
    <w:lvl w:ilvl="0">
      <w:lvlJc w:val="left"/>
      <w:lvlText w:val="$"/>
      <w:numFmt w:val="bullet"/>
      <w:start w:val="1"/>
    </w:lvl>
  </w:abstractNum>
  <w:abstractNum w:abstractNumId="103">
    <w:nsid w:val="1CA0C5FA"/>
    <w:multiLevelType w:val="hybridMultilevel"/>
    <w:lvl w:ilvl="0">
      <w:lvlJc w:val="left"/>
      <w:lvlText w:val="$"/>
      <w:numFmt w:val="bullet"/>
      <w:start w:val="1"/>
    </w:lvl>
  </w:abstractNum>
  <w:abstractNum w:abstractNumId="104">
    <w:nsid w:val="53584BCB"/>
    <w:multiLevelType w:val="hybridMultilevel"/>
    <w:lvl w:ilvl="0">
      <w:lvlJc w:val="left"/>
      <w:lvlText w:val="$"/>
      <w:numFmt w:val="bullet"/>
      <w:start w:val="1"/>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1)"/>
      <w:numFmt w:val="decimal"/>
      <w:start w:val="1"/>
    </w:lvl>
  </w:abstractNum>
  <w:abstractNum w:abstractNumId="107">
    <w:nsid w:val="23D86AAC"/>
    <w:multiLevelType w:val="hybridMultilevel"/>
    <w:lvl w:ilvl="0">
      <w:lvlJc w:val="left"/>
      <w:lvlText w:val="(%1)"/>
      <w:numFmt w:val="decimal"/>
      <w:start w:val="1"/>
    </w:lvl>
  </w:abstractNum>
  <w:abstractNum w:abstractNumId="108">
    <w:nsid w:val="45E6D486"/>
    <w:multiLevelType w:val="hybridMultilevel"/>
    <w:lvl w:ilvl="0">
      <w:lvlJc w:val="left"/>
      <w:lvlText w:val="%1"/>
      <w:numFmt w:val="lowerLetter"/>
      <w:start w:val="1"/>
    </w:lvl>
    <w:lvl w:ilvl="1">
      <w:lvlJc w:val="left"/>
      <w:lvlText w:val="(%2)"/>
      <w:numFmt w:val="lowerRoman"/>
      <w:start w:val="1"/>
    </w:lvl>
  </w:abstractNum>
  <w:abstractNum w:abstractNumId="109">
    <w:nsid w:val="5C10FE21"/>
    <w:multiLevelType w:val="hybridMultilevel"/>
    <w:lvl w:ilvl="0">
      <w:lvlJc w:val="left"/>
      <w:lvlText w:val="(%1)"/>
      <w:numFmt w:val="lowerLetter"/>
      <w:start w:val="2"/>
    </w:lvl>
    <w:lvl w:ilvl="1">
      <w:lvlJc w:val="left"/>
      <w:lvlText w:val="%2"/>
      <w:numFmt w:val="lowerRoman"/>
      <w:start w:val="1"/>
    </w:lvl>
  </w:abstractNum>
  <w:abstractNum w:abstractNumId="110">
    <w:nsid w:val="E7FFA2B"/>
    <w:multiLevelType w:val="hybridMultilevel"/>
    <w:lvl w:ilvl="0">
      <w:lvlJc w:val="left"/>
      <w:lvlText w:val="(%1)"/>
      <w:numFmt w:val="lowerLetter"/>
      <w:start w:val="5"/>
    </w:lvl>
    <w:lvl w:ilvl="1">
      <w:lvlJc w:val="left"/>
      <w:lvlText w:val="(%2)"/>
      <w:numFmt w:val="lowerRoman"/>
      <w:start w:val="1"/>
    </w:lvl>
  </w:abstractNum>
  <w:abstractNum w:abstractNumId="111">
    <w:nsid w:val="3C5991AA"/>
    <w:multiLevelType w:val="hybridMultilevel"/>
    <w:lvl w:ilvl="0">
      <w:lvlJc w:val="left"/>
      <w:lvlText w:val="%1"/>
      <w:numFmt w:val="decimal"/>
      <w:start w:val="1"/>
    </w:lvl>
    <w:lvl w:ilvl="1">
      <w:lvlJc w:val="left"/>
      <w:lvlText w:val="(%2)"/>
      <w:numFmt w:val="lowerLetter"/>
      <w:start w:val="2"/>
    </w:lvl>
  </w:abstractNum>
  <w:abstractNum w:abstractNumId="112">
    <w:nsid w:val="4BD8591A"/>
    <w:multiLevelType w:val="hybridMultilevel"/>
    <w:lvl w:ilvl="0">
      <w:lvlJc w:val="left"/>
      <w:lvlText w:val="(%1)"/>
      <w:numFmt w:val="decimal"/>
      <w:start w:val="6"/>
    </w:lvl>
    <w:lvl w:ilvl="1">
      <w:lvlJc w:val="left"/>
      <w:lvlText w:val="%2"/>
      <w:numFmt w:val="lowerLetter"/>
      <w:start w:val="1"/>
    </w:lvl>
  </w:abstractNum>
  <w:abstractNum w:abstractNumId="113">
    <w:nsid w:val="78DF6A55"/>
    <w:multiLevelType w:val="hybridMultilevel"/>
    <w:lvl w:ilvl="0">
      <w:lvlJc w:val="left"/>
      <w:lvlText w:val="*"/>
      <w:numFmt w:val="bullet"/>
      <w:start w:val="1"/>
    </w:lvl>
  </w:abstractNum>
  <w:abstractNum w:abstractNumId="114">
    <w:nsid w:val="39B7AAA2"/>
    <w:multiLevelType w:val="hybridMultilevel"/>
    <w:lvl w:ilvl="0">
      <w:lvlJc w:val="left"/>
      <w:lvlText w:val="%1."/>
      <w:numFmt w:val="decimal"/>
      <w:start w:val="1"/>
    </w:lvl>
  </w:abstractNum>
  <w:abstractNum w:abstractNumId="115">
    <w:nsid w:val="2B0D8DBE"/>
    <w:multiLevelType w:val="hybridMultilevel"/>
    <w:lvl w:ilvl="0">
      <w:lvlJc w:val="left"/>
      <w:lvlText w:val="%1."/>
      <w:numFmt w:val="decimal"/>
      <w:start w:val="2"/>
    </w:lvl>
  </w:abstractNum>
  <w:abstractNum w:abstractNumId="116">
    <w:nsid w:val="6C80EC7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2019-12-09T19:49:14Z</dcterms:created>
  <dcterms:modified xsi:type="dcterms:W3CDTF">2019-12-09T19:49:14Z</dcterms:modified>
</cp:coreProperties>
</file>