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333-279726</w:t>
      </w:r>
    </w:p>
    <w:p>
      <w:pPr>
        <w:spacing w:after="0" w:line="133" w:lineRule="exact"/>
        <w:rPr>
          <w:sz w:val="24"/>
          <w:szCs w:val="24"/>
          <w:color w:val="auto"/>
        </w:rPr>
      </w:pPr>
    </w:p>
    <w:p>
      <w:pPr>
        <w:ind w:right="300"/>
        <w:spacing w:after="0" w:line="273" w:lineRule="auto"/>
        <w:rPr>
          <w:sz w:val="20"/>
          <w:szCs w:val="20"/>
          <w:color w:val="auto"/>
        </w:rPr>
      </w:pPr>
      <w:r>
        <w:rPr>
          <w:rFonts w:ascii="Times New Roman" w:cs="Times New Roman" w:eastAsia="Times New Roman" w:hAnsi="Times New Roman"/>
          <w:sz w:val="16"/>
          <w:szCs w:val="16"/>
          <w:b w:val="1"/>
          <w:bCs w:val="1"/>
          <w:color w:val="FF0200"/>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FF0200"/>
        </w:rPr>
        <w:t>Subject to Completion, dated May 27, 2026</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 Supplement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the Prospectus dated July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-5715</wp:posOffset>
            </wp:positionV>
            <wp:extent cx="2021840" cy="492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1840" cy="492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444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 </w:t>
            </w:r>
          </w:p>
        </w:tc>
      </w:tr>
      <w:tr>
        <w:trPr>
          <w:trHeight w:val="289"/>
        </w:trPr>
        <w:tc>
          <w:tcPr>
            <w:tcW w:w="4440" w:type="dxa"/>
            <w:vAlign w:val="bottom"/>
          </w:tcPr>
          <w:p>
            <w:pPr>
              <w:spacing w:after="0"/>
              <w:rPr>
                <w:sz w:val="24"/>
                <w:szCs w:val="24"/>
                <w:color w:val="auto"/>
              </w:rPr>
            </w:pPr>
          </w:p>
        </w:tc>
        <w:tc>
          <w:tcPr>
            <w:tcW w:w="6380" w:type="dxa"/>
            <w:vAlign w:val="bottom"/>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      % Notes due 2031</w:t>
            </w:r>
          </w:p>
        </w:tc>
      </w:tr>
      <w:tr>
        <w:trPr>
          <w:trHeight w:val="342"/>
        </w:trPr>
        <w:tc>
          <w:tcPr>
            <w:tcW w:w="444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r>
      <w:tr>
        <w:trPr>
          <w:trHeight w:val="342"/>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PennantPark Floating Rate Capital Ltd. is offering for sale $   million in aggregate principal amount of  </w:t>
            </w: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9"/>
              </w:rPr>
              <w:t>% notes due 2031 (the “Notes”). The Notes will mature on June 15, 2031. We will pay</w:t>
            </w:r>
          </w:p>
        </w:tc>
      </w:tr>
    </w:tbl>
    <w:p>
      <w:pPr>
        <w:ind w:right="100"/>
        <w:spacing w:after="0" w:line="224" w:lineRule="auto"/>
        <w:rPr>
          <w:sz w:val="20"/>
          <w:szCs w:val="20"/>
          <w:color w:val="auto"/>
        </w:rPr>
      </w:pPr>
      <w:r>
        <w:rPr>
          <w:rFonts w:ascii="Times New Roman" w:cs="Times New Roman" w:eastAsia="Times New Roman" w:hAnsi="Times New Roman"/>
          <w:sz w:val="14"/>
          <w:szCs w:val="14"/>
          <w:color w:val="auto"/>
        </w:rPr>
        <w:t>interest on the Notes on March 15, June 15, September 15 and December 15 of each year, beginning on September 15, 2026. We may redeem the Notes in whole or in part at any time or from time to time on and after June 15, 2028, at a redemption price of 100% of the outstanding principal amount thereof plus accrued and unpaid interest payments otherwise payable for the then-current quarterly interest period accrued to, but excluding, the date fixed for redemption. See “</w:t>
      </w:r>
      <w:r>
        <w:rPr>
          <w:rFonts w:ascii="Times New Roman" w:cs="Times New Roman" w:eastAsia="Times New Roman" w:hAnsi="Times New Roman"/>
          <w:sz w:val="14"/>
          <w:szCs w:val="14"/>
          <w:i w:val="1"/>
          <w:iCs w:val="1"/>
          <w:color w:val="auto"/>
        </w:rPr>
        <w:t>Description of the Notes—Optional Redemption</w:t>
      </w:r>
      <w:r>
        <w:rPr>
          <w:rFonts w:ascii="Times New Roman" w:cs="Times New Roman" w:eastAsia="Times New Roman" w:hAnsi="Times New Roman"/>
          <w:sz w:val="14"/>
          <w:szCs w:val="14"/>
          <w:color w:val="auto"/>
        </w:rPr>
        <w:t>” in this prospectus supplement. The Notes will be issued in minimum denominations of $25 and integral multiples of $25 in excess thereof.</w:t>
      </w:r>
    </w:p>
    <w:p>
      <w:pPr>
        <w:spacing w:after="0" w:line="171" w:lineRule="exact"/>
        <w:rPr>
          <w:sz w:val="24"/>
          <w:szCs w:val="24"/>
          <w:color w:val="auto"/>
        </w:rPr>
      </w:pPr>
    </w:p>
    <w:p>
      <w:pPr>
        <w:ind w:right="20"/>
        <w:spacing w:after="0" w:line="223" w:lineRule="auto"/>
        <w:rPr>
          <w:sz w:val="20"/>
          <w:szCs w:val="20"/>
          <w:color w:val="auto"/>
        </w:rPr>
      </w:pPr>
      <w:r>
        <w:rPr>
          <w:rFonts w:ascii="Times New Roman" w:cs="Times New Roman" w:eastAsia="Times New Roman" w:hAnsi="Times New Roman"/>
          <w:sz w:val="14"/>
          <w:szCs w:val="14"/>
          <w:color w:val="auto"/>
        </w:rPr>
        <w:t xml:space="preserve">The Notes will be our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any current and future unsecured unsubordinated indebtedness issued by PennantPark Floating Rate Capital Ltd.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Floating Rate Capital Ltd.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March 31, 2026, our total consolidated indebtedness was approximately $1.7 billion, approximately $1.3 billion of which was secured indebtedness, all of which was senior indebtedness. On April 1, 2026, the Company paid off its entire outstanding $185 million principal amount of 2026 Notes (as defined below). None of our current indebtedness will be subordinated to the Notes.</w:t>
      </w:r>
    </w:p>
    <w:p>
      <w:pPr>
        <w:spacing w:after="0" w:line="174" w:lineRule="exact"/>
        <w:rPr>
          <w:sz w:val="24"/>
          <w:szCs w:val="24"/>
          <w:color w:val="auto"/>
        </w:rPr>
      </w:pPr>
    </w:p>
    <w:p>
      <w:pPr>
        <w:ind w:right="40"/>
        <w:spacing w:after="0" w:line="234" w:lineRule="auto"/>
        <w:rPr>
          <w:sz w:val="20"/>
          <w:szCs w:val="20"/>
          <w:color w:val="auto"/>
        </w:rPr>
      </w:pPr>
      <w:r>
        <w:rPr>
          <w:rFonts w:ascii="Times New Roman" w:cs="Times New Roman" w:eastAsia="Times New Roman" w:hAnsi="Times New Roman"/>
          <w:sz w:val="14"/>
          <w:szCs w:val="14"/>
          <w:color w:val="auto"/>
        </w:rPr>
        <w:t>We intend to list the Notes on The New York Stock Exchange (“NYSE”) under the trading symbol “PFLA”, and we expect trading in the Notes on the NYSE to begin within 30 days of the original issue date. The Notes are expected to trade “flat,” which means that purchasers will not pay, and sellers will not receive, any accrued and unpaid interest on the Notes that is not reflected in the trading price. Currently, there is no public market for the Notes.</w:t>
      </w:r>
    </w:p>
    <w:p>
      <w:pPr>
        <w:spacing w:after="0" w:line="174" w:lineRule="exact"/>
        <w:rPr>
          <w:sz w:val="24"/>
          <w:szCs w:val="24"/>
          <w:color w:val="auto"/>
        </w:rPr>
      </w:pPr>
    </w:p>
    <w:p>
      <w:pPr>
        <w:ind w:right="40"/>
        <w:spacing w:after="0" w:line="225"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is a closed-end, externally managed, non-diversified investment company that has elected to be treated as a business development company (“BDC”), under the Investment Company Act of 1940, as amended (the “1940 Act”). Our investment objectives are to generate both current income and capital appreciation while seeking to preserve capital. We seek to achieve our investment objectives by investing primarily in loans bearing variable rates of interest (“Floating Rate Loans”), and other investments made to U.S. middle-market private companies whose debt is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We are externally managed by PennantPark Investment Advisers, LLC (the “Investment Adviser”). PennantPark Investment Administration, LLC (the “Administrator”) provides the administrative services necessary for us to operate.</w:t>
      </w:r>
    </w:p>
    <w:p>
      <w:pPr>
        <w:spacing w:after="0" w:line="173" w:lineRule="exact"/>
        <w:rPr>
          <w:sz w:val="24"/>
          <w:szCs w:val="24"/>
          <w:color w:val="auto"/>
        </w:rPr>
      </w:pPr>
    </w:p>
    <w:p>
      <w:pPr>
        <w:ind w:right="60"/>
        <w:spacing w:after="0" w:line="223" w:lineRule="auto"/>
        <w:rPr>
          <w:sz w:val="20"/>
          <w:szCs w:val="20"/>
          <w:color w:val="auto"/>
        </w:rPr>
      </w:pPr>
      <w:r>
        <w:rPr>
          <w:rFonts w:ascii="Times New Roman" w:cs="Times New Roman" w:eastAsia="Times New Roman" w:hAnsi="Times New Roman"/>
          <w:sz w:val="14"/>
          <w:szCs w:val="14"/>
          <w:color w:val="auto"/>
        </w:rPr>
        <w:t xml:space="preserve">This prospectus supplement, the accompanying prospectus, any related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and any related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U.S. Securities and Exchange Commission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supplement and the accompanying prospectus, the information on our website is not part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prospectus supplement or the accompanying prospectus. The SEC also maintains a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210185</wp:posOffset>
            </wp:positionV>
            <wp:extent cx="1504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right="40"/>
        <w:spacing w:after="0" w:line="237" w:lineRule="auto"/>
        <w:rPr>
          <w:sz w:val="20"/>
          <w:szCs w:val="20"/>
          <w:color w:val="auto"/>
        </w:rPr>
      </w:pPr>
      <w:r>
        <w:rPr>
          <w:rFonts w:ascii="Times New Roman" w:cs="Times New Roman" w:eastAsia="Times New Roman" w:hAnsi="Times New Roman"/>
          <w:sz w:val="15"/>
          <w:szCs w:val="15"/>
          <w:b w:val="1"/>
          <w:bCs w:val="1"/>
          <w:color w:val="auto"/>
        </w:rPr>
        <w:t>Investing in the Notes involves a high degree of risk, including the risk of leverage. Before buying any of the Notes, you should read the discussion of the material risks of investing in us in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S-13 of this prospectus supplement and page 11 of the accompanying prospectus, in our most recent Annual Report on Form 10-K, in our most recent Quarterly Report on Form 10-Q and in any of our other filings with the SEC incorporated by reference in this prospectus supplement.</w:t>
      </w:r>
    </w:p>
    <w:p>
      <w:pPr>
        <w:spacing w:after="0" w:line="170" w:lineRule="exact"/>
        <w:rPr>
          <w:sz w:val="24"/>
          <w:szCs w:val="24"/>
          <w:color w:val="auto"/>
        </w:rPr>
      </w:pPr>
    </w:p>
    <w:p>
      <w:pPr>
        <w:ind w:right="280"/>
        <w:spacing w:after="0" w:line="251"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63" w:lineRule="exact"/>
        <w:rPr>
          <w:sz w:val="24"/>
          <w:szCs w:val="24"/>
          <w:color w:val="auto"/>
        </w:rPr>
      </w:pPr>
    </w:p>
    <w:p>
      <w:pPr>
        <w:ind w:right="280"/>
        <w:spacing w:after="0" w:line="251" w:lineRule="auto"/>
        <w:rPr>
          <w:sz w:val="20"/>
          <w:szCs w:val="20"/>
          <w:color w:val="auto"/>
        </w:rPr>
      </w:pPr>
      <w:r>
        <w:rPr>
          <w:rFonts w:ascii="Times New Roman" w:cs="Times New Roman" w:eastAsia="Times New Roman" w:hAnsi="Times New Roman"/>
          <w:sz w:val="14"/>
          <w:szCs w:val="14"/>
          <w:b w:val="1"/>
          <w:bCs w:val="1"/>
          <w:color w:val="auto"/>
        </w:rPr>
        <w:t>THE NOTES ARE NOT DEPOSITS OR OTHER OBLIGATIONS OF A BANK AND ARE NOT INSURED BY THE FEDERAL DEPOSIT INSURANCE CORPORATION OR ANY OTHER GOVERNMENT AGENCY.</w:t>
      </w:r>
    </w:p>
    <w:p>
      <w:pPr>
        <w:spacing w:after="0" w:line="139" w:lineRule="exact"/>
        <w:rPr>
          <w:sz w:val="24"/>
          <w:szCs w:val="24"/>
          <w:color w:val="auto"/>
        </w:rPr>
      </w:pPr>
    </w:p>
    <w:tbl>
      <w:tblPr>
        <w:tblLayout w:type="fixed"/>
        <w:tblInd w:w="136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Per Note</w:t>
            </w:r>
          </w:p>
        </w:tc>
        <w:tc>
          <w:tcPr>
            <w:tcW w:w="360" w:type="dxa"/>
            <w:vAlign w:val="bottom"/>
          </w:tcPr>
          <w:p>
            <w:pPr>
              <w:spacing w:after="0"/>
              <w:rPr>
                <w:sz w:val="18"/>
                <w:szCs w:val="18"/>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r>
              <w:rPr>
                <w:rFonts w:ascii="Times New Roman" w:cs="Times New Roman" w:eastAsia="Times New Roman" w:hAnsi="Times New Roman"/>
                <w:sz w:val="18"/>
                <w:szCs w:val="18"/>
                <w:b w:val="1"/>
                <w:bCs w:val="1"/>
                <w:color w:val="auto"/>
                <w:vertAlign w:val="superscript"/>
              </w:rPr>
              <w:t>(2)</w:t>
            </w:r>
          </w:p>
        </w:tc>
      </w:tr>
      <w:tr>
        <w:trPr>
          <w:trHeight w:val="138"/>
        </w:trPr>
        <w:tc>
          <w:tcPr>
            <w:tcW w:w="50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Public offering price</w:t>
            </w:r>
          </w:p>
        </w:tc>
        <w:tc>
          <w:tcPr>
            <w:tcW w:w="20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shd w:val="clear" w:color="auto" w:fill="CCEEFF"/>
          </w:tcPr>
          <w:p>
            <w:pPr>
              <w:ind w:left="6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0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Underwriting discounts and commissions (sales load)</w:t>
            </w:r>
          </w:p>
        </w:tc>
        <w:tc>
          <w:tcPr>
            <w:tcW w:w="2580" w:type="dxa"/>
            <w:vAlign w:val="bottom"/>
            <w:gridSpan w:val="2"/>
          </w:tcPr>
          <w:p>
            <w:pPr>
              <w:ind w:left="20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r>
      <w:tr>
        <w:trPr>
          <w:trHeight w:val="145"/>
        </w:trPr>
        <w:tc>
          <w:tcPr>
            <w:tcW w:w="50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Proceeds, before expenses, to us</w:t>
            </w:r>
            <w:r>
              <w:rPr>
                <w:rFonts w:ascii="Times New Roman" w:cs="Times New Roman" w:eastAsia="Times New Roman" w:hAnsi="Times New Roman"/>
                <w:sz w:val="10"/>
                <w:szCs w:val="10"/>
                <w:color w:val="auto"/>
              </w:rPr>
              <w:t>(1)</w:t>
            </w:r>
          </w:p>
        </w:tc>
        <w:tc>
          <w:tcPr>
            <w:tcW w:w="2580" w:type="dxa"/>
            <w:vAlign w:val="bottom"/>
            <w:gridSpan w:val="2"/>
            <w:shd w:val="clear" w:color="auto" w:fill="CCEEFF"/>
          </w:tcPr>
          <w:p>
            <w:pPr>
              <w:ind w:left="20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11020" w:type="dxa"/>
            <w:vAlign w:val="bottom"/>
            <w:gridSpan w:val="7"/>
          </w:tcPr>
          <w:p>
            <w:pPr>
              <w:ind w:left="220"/>
              <w:spacing w:after="0"/>
              <w:rPr>
                <w:sz w:val="20"/>
                <w:szCs w:val="20"/>
                <w:color w:val="auto"/>
              </w:rPr>
            </w:pPr>
            <w:r>
              <w:rPr>
                <w:rFonts w:ascii="Times New Roman" w:cs="Times New Roman" w:eastAsia="Times New Roman" w:hAnsi="Times New Roman"/>
                <w:sz w:val="14"/>
                <w:szCs w:val="14"/>
                <w:color w:val="auto"/>
              </w:rPr>
              <w:t>Total expenses of the offering payable by us, excluding the underwriting discount, are estimated to be $   million.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in this prospectus supplement.</w:t>
            </w:r>
          </w:p>
        </w:tc>
      </w:tr>
      <w:tr>
        <w:trPr>
          <w:trHeight w:val="145"/>
        </w:trPr>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364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xml:space="preserve">The underwriters may also purchase up to an additional $    </w:t>
            </w:r>
          </w:p>
        </w:tc>
        <w:tc>
          <w:tcPr>
            <w:tcW w:w="7380" w:type="dxa"/>
            <w:vAlign w:val="bottom"/>
            <w:gridSpan w:val="5"/>
          </w:tcPr>
          <w:p>
            <w:pPr>
              <w:ind w:left="80"/>
              <w:spacing w:after="0" w:line="145" w:lineRule="exact"/>
              <w:rPr>
                <w:sz w:val="20"/>
                <w:szCs w:val="20"/>
                <w:color w:val="auto"/>
              </w:rPr>
            </w:pPr>
            <w:r>
              <w:rPr>
                <w:rFonts w:ascii="Times New Roman" w:cs="Times New Roman" w:eastAsia="Times New Roman" w:hAnsi="Times New Roman"/>
                <w:sz w:val="14"/>
                <w:szCs w:val="14"/>
                <w:color w:val="auto"/>
                <w:w w:val="99"/>
              </w:rPr>
              <w:t>      aggregate principal amount of Notes offered hereby, within 30 days of the date of this prospectus supplement, solely to cover</w:t>
            </w:r>
          </w:p>
        </w:tc>
      </w:tr>
      <w:tr>
        <w:trPr>
          <w:trHeight w:val="145"/>
        </w:trPr>
        <w:tc>
          <w:tcPr>
            <w:tcW w:w="120" w:type="dxa"/>
            <w:vAlign w:val="bottom"/>
          </w:tcPr>
          <w:p>
            <w:pPr>
              <w:spacing w:after="0"/>
              <w:rPr>
                <w:sz w:val="12"/>
                <w:szCs w:val="12"/>
                <w:color w:val="auto"/>
              </w:rPr>
            </w:pPr>
          </w:p>
        </w:tc>
        <w:tc>
          <w:tcPr>
            <w:tcW w:w="11020" w:type="dxa"/>
            <w:vAlign w:val="bottom"/>
            <w:gridSpan w:val="7"/>
          </w:tcPr>
          <w:p>
            <w:pPr>
              <w:ind w:left="220"/>
              <w:spacing w:after="0" w:line="145" w:lineRule="exact"/>
              <w:rPr>
                <w:sz w:val="20"/>
                <w:szCs w:val="20"/>
                <w:color w:val="auto"/>
              </w:rPr>
            </w:pPr>
            <w:r>
              <w:rPr>
                <w:rFonts w:ascii="Times New Roman" w:cs="Times New Roman" w:eastAsia="Times New Roman" w:hAnsi="Times New Roman"/>
                <w:sz w:val="14"/>
                <w:szCs w:val="14"/>
                <w:color w:val="auto"/>
              </w:rPr>
              <w:t>over-allotments, if any. If the underwriters exercise this over-allotment option in full, the total sales load (underwriting discounts and commissions) paid by us will be $            , and total</w:t>
            </w:r>
          </w:p>
        </w:tc>
      </w:tr>
      <w:tr>
        <w:trPr>
          <w:trHeight w:val="183"/>
        </w:trPr>
        <w:tc>
          <w:tcPr>
            <w:tcW w:w="120" w:type="dxa"/>
            <w:vAlign w:val="bottom"/>
          </w:tcPr>
          <w:p>
            <w:pPr>
              <w:spacing w:after="0"/>
              <w:rPr>
                <w:sz w:val="15"/>
                <w:szCs w:val="15"/>
                <w:color w:val="auto"/>
              </w:rPr>
            </w:pPr>
          </w:p>
        </w:tc>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proceeds, before expenses, to us will be $            .</w:t>
            </w:r>
          </w:p>
        </w:tc>
        <w:tc>
          <w:tcPr>
            <w:tcW w:w="6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355"/>
        </w:trPr>
        <w:tc>
          <w:tcPr>
            <w:tcW w:w="690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9"/>
              </w:rPr>
              <w:t>Delivery of the Notes in book-entry form through The Depository Trust Company (the “DTC”) will be made on or about  </w:t>
            </w:r>
          </w:p>
        </w:tc>
        <w:tc>
          <w:tcPr>
            <w:tcW w:w="1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2026.</w:t>
            </w:r>
          </w:p>
        </w:tc>
        <w:tc>
          <w:tcPr>
            <w:tcW w:w="2380" w:type="dxa"/>
            <w:vAlign w:val="bottom"/>
          </w:tcPr>
          <w:p>
            <w:pPr>
              <w:spacing w:after="0"/>
              <w:rPr>
                <w:sz w:val="24"/>
                <w:szCs w:val="24"/>
                <w:color w:val="auto"/>
              </w:rPr>
            </w:pPr>
          </w:p>
        </w:tc>
      </w:tr>
      <w:tr>
        <w:trPr>
          <w:trHeight w:val="326"/>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6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tc>
        <w:tc>
          <w:tcPr>
            <w:tcW w:w="1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41"/>
        </w:trPr>
        <w:tc>
          <w:tcPr>
            <w:tcW w:w="1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Morgan Stanley</w:t>
            </w:r>
          </w:p>
        </w:tc>
        <w:tc>
          <w:tcPr>
            <w:tcW w:w="25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w w:val="99"/>
              </w:rPr>
              <w:t>Goldman Sachs &amp; Co. LLC</w:t>
            </w:r>
          </w:p>
        </w:tc>
        <w:tc>
          <w:tcPr>
            <w:tcW w:w="680" w:type="dxa"/>
            <w:vAlign w:val="bottom"/>
          </w:tcPr>
          <w:p>
            <w:pPr>
              <w:spacing w:after="0"/>
              <w:rPr>
                <w:sz w:val="24"/>
                <w:szCs w:val="24"/>
                <w:color w:val="auto"/>
              </w:rPr>
            </w:pPr>
          </w:p>
        </w:tc>
        <w:tc>
          <w:tcPr>
            <w:tcW w:w="2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Keefe, Bruyette &amp; Woods</w:t>
            </w:r>
          </w:p>
        </w:tc>
        <w:tc>
          <w:tcPr>
            <w:tcW w:w="18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RBC Capital Markets</w:t>
            </w:r>
          </w:p>
        </w:tc>
        <w:tc>
          <w:tcPr>
            <w:tcW w:w="23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UBS Investment Bank</w:t>
            </w:r>
          </w:p>
        </w:tc>
      </w:tr>
      <w:tr>
        <w:trPr>
          <w:trHeight w:val="185"/>
        </w:trPr>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i w:val="1"/>
                <w:iCs w:val="1"/>
                <w:color w:val="auto"/>
              </w:rPr>
              <w:t>           A Stifel Company</w:t>
            </w:r>
          </w:p>
        </w:tc>
        <w:tc>
          <w:tcPr>
            <w:tcW w:w="18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355"/>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Co-Managers</w:t>
            </w:r>
          </w:p>
        </w:tc>
        <w:tc>
          <w:tcPr>
            <w:tcW w:w="1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82"/>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Oppenheimer &amp; Co.</w:t>
            </w:r>
          </w:p>
        </w:tc>
        <w:tc>
          <w:tcPr>
            <w:tcW w:w="680" w:type="dxa"/>
            <w:vAlign w:val="bottom"/>
          </w:tcPr>
          <w:p>
            <w:pPr>
              <w:spacing w:after="0"/>
              <w:rPr>
                <w:sz w:val="24"/>
                <w:szCs w:val="24"/>
                <w:color w:val="auto"/>
              </w:rPr>
            </w:pPr>
          </w:p>
        </w:tc>
        <w:tc>
          <w:tcPr>
            <w:tcW w:w="246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Ladenburg Thalmann</w:t>
            </w:r>
          </w:p>
        </w:tc>
        <w:tc>
          <w:tcPr>
            <w:tcW w:w="18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Maxim Group LLC</w:t>
            </w:r>
          </w:p>
        </w:tc>
      </w:tr>
      <w:tr>
        <w:trPr>
          <w:trHeight w:val="355"/>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The date of this prospectus supplement is May       </w:t>
            </w:r>
          </w:p>
        </w:tc>
        <w:tc>
          <w:tcPr>
            <w:tcW w:w="1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 2026.</w:t>
            </w:r>
          </w:p>
        </w:tc>
        <w:tc>
          <w:tcPr>
            <w:tcW w:w="2380" w:type="dxa"/>
            <w:vAlign w:val="bottom"/>
          </w:tcPr>
          <w:p>
            <w:pPr>
              <w:spacing w:after="0"/>
              <w:rPr>
                <w:sz w:val="24"/>
                <w:szCs w:val="24"/>
                <w:color w:val="auto"/>
              </w:rPr>
            </w:pPr>
          </w:p>
        </w:tc>
      </w:tr>
    </w:tbl>
    <w:p>
      <w:pPr>
        <w:sectPr>
          <w:pgSz w:w="11900" w:h="16838" w:orient="portrait"/>
          <w:cols w:equalWidth="0" w:num="1">
            <w:col w:w="11240"/>
          </w:cols>
          <w:pgMar w:left="320" w:top="224" w:right="339" w:bottom="7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00" w:type="dxa"/>
            <w:vAlign w:val="bottom"/>
            <w:gridSpan w:val="4"/>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0" w:type="dxa"/>
            <w:vAlign w:val="bottom"/>
            <w:gridSpan w:val="7"/>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3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w w:val="97"/>
              </w:rPr>
              <w:t>ABOUT THIS PROSPECTUS SUPPLEMENT</w:t>
            </w:r>
          </w:p>
        </w:tc>
        <w:tc>
          <w:tcPr>
            <w:tcW w:w="7420" w:type="dxa"/>
            <w:vAlign w:val="bottom"/>
            <w:gridSpan w:val="10"/>
            <w:vMerge w:val="restart"/>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3360" w:type="dxa"/>
            <w:vAlign w:val="bottom"/>
            <w:tcBorders>
              <w:bottom w:val="single" w:sz="8" w:color="0000EE"/>
            </w:tcBorders>
            <w:gridSpan w:val="22"/>
            <w:vMerge w:val="continue"/>
          </w:tcPr>
          <w:p>
            <w:pPr>
              <w:spacing w:after="0"/>
              <w:rPr>
                <w:sz w:val="13"/>
                <w:szCs w:val="13"/>
                <w:color w:val="auto"/>
              </w:rPr>
            </w:pPr>
          </w:p>
        </w:tc>
        <w:tc>
          <w:tcPr>
            <w:tcW w:w="7420" w:type="dxa"/>
            <w:vAlign w:val="bottom"/>
            <w:gridSpan w:val="10"/>
            <w:vMerge w:val="continue"/>
          </w:tcPr>
          <w:p>
            <w:pPr>
              <w:spacing w:after="0"/>
              <w:rPr>
                <w:sz w:val="13"/>
                <w:szCs w:val="13"/>
                <w:color w:val="auto"/>
              </w:rPr>
            </w:pPr>
          </w:p>
        </w:tc>
        <w:tc>
          <w:tcPr>
            <w:tcW w:w="4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0780" w:type="dxa"/>
            <w:vAlign w:val="bottom"/>
            <w:gridSpan w:val="32"/>
          </w:tcPr>
          <w:p>
            <w:pPr>
              <w:spacing w:after="0" w:line="204" w:lineRule="exact"/>
              <w:rPr>
                <w:sz w:val="20"/>
                <w:szCs w:val="20"/>
                <w:color w:val="auto"/>
              </w:rPr>
            </w:pPr>
            <w:r>
              <w:rPr>
                <w:rFonts w:ascii="Times New Roman" w:cs="Times New Roman" w:eastAsia="Times New Roman" w:hAnsi="Times New Roman"/>
                <w:sz w:val="18"/>
                <w:szCs w:val="18"/>
                <w:color w:val="0000EE"/>
              </w:rPr>
              <w:t>THE OFFERING</w:t>
            </w:r>
          </w:p>
        </w:tc>
        <w:tc>
          <w:tcPr>
            <w:tcW w:w="42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2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PROSPECTUS SUPPLEMENT SUMMARY</w:t>
            </w:r>
          </w:p>
        </w:tc>
        <w:tc>
          <w:tcPr>
            <w:tcW w:w="7560" w:type="dxa"/>
            <w:vAlign w:val="bottom"/>
            <w:gridSpan w:val="12"/>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7920" w:type="dxa"/>
            <w:vAlign w:val="bottom"/>
            <w:gridSpan w:val="1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00" w:type="dxa"/>
            <w:vAlign w:val="bottom"/>
            <w:tcBorders>
              <w:bottom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w w:val="96"/>
              </w:rPr>
              <w:t>RISKS RELATED TO THE NOTES</w:t>
            </w:r>
          </w:p>
        </w:tc>
        <w:tc>
          <w:tcPr>
            <w:tcW w:w="8180" w:type="dxa"/>
            <w:vAlign w:val="bottom"/>
            <w:gridSpan w:val="18"/>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1"/>
        </w:trPr>
        <w:tc>
          <w:tcPr>
            <w:tcW w:w="144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5"/>
              </w:rPr>
              <w:t>CAPITALIZATION</w:t>
            </w:r>
          </w:p>
        </w:tc>
        <w:tc>
          <w:tcPr>
            <w:tcW w:w="100" w:type="dxa"/>
            <w:vAlign w:val="bottom"/>
            <w:tcBorders>
              <w:top w:val="single" w:sz="8" w:color="0000EE"/>
            </w:tcBorders>
          </w:tcPr>
          <w:p>
            <w:pPr>
              <w:spacing w:after="0"/>
              <w:rPr>
                <w:sz w:val="16"/>
                <w:szCs w:val="16"/>
                <w:color w:val="auto"/>
              </w:rPr>
            </w:pPr>
          </w:p>
        </w:tc>
        <w:tc>
          <w:tcPr>
            <w:tcW w:w="9240" w:type="dxa"/>
            <w:vAlign w:val="bottom"/>
            <w:gridSpan w:val="26"/>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DESCRIPTION OF THE NOTES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0" w:type="dxa"/>
            <w:vAlign w:val="bottom"/>
            <w:tcBorders>
              <w:bottom w:val="single" w:sz="8" w:color="0000EE"/>
            </w:tcBorders>
            <w:gridSpan w:val="27"/>
          </w:tcPr>
          <w:p>
            <w:pPr>
              <w:spacing w:after="0" w:line="190" w:lineRule="exact"/>
              <w:rPr>
                <w:sz w:val="20"/>
                <w:szCs w:val="20"/>
                <w:color w:val="auto"/>
              </w:rPr>
            </w:pPr>
            <w:r>
              <w:rPr>
                <w:rFonts w:ascii="Times New Roman" w:cs="Times New Roman" w:eastAsia="Times New Roman" w:hAnsi="Times New Roman"/>
                <w:sz w:val="18"/>
                <w:szCs w:val="18"/>
                <w:color w:val="0000EE"/>
                <w:w w:val="95"/>
              </w:rPr>
              <w:t>CERTAIN U.S. FEDERAL INCOME TAX CONSIDERATIONS</w:t>
            </w:r>
          </w:p>
        </w:tc>
        <w:tc>
          <w:tcPr>
            <w:tcW w:w="6180" w:type="dxa"/>
            <w:vAlign w:val="bottom"/>
            <w:gridSpan w:val="5"/>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191"/>
        </w:trPr>
        <w:tc>
          <w:tcPr>
            <w:tcW w:w="136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5"/>
              </w:rPr>
              <w:t>UNDERWRITING</w:t>
            </w:r>
          </w:p>
        </w:tc>
        <w:tc>
          <w:tcPr>
            <w:tcW w:w="9420" w:type="dxa"/>
            <w:vAlign w:val="bottom"/>
            <w:gridSpan w:val="29"/>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S-45</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S-46</w:t>
            </w:r>
          </w:p>
        </w:tc>
        <w:tc>
          <w:tcPr>
            <w:tcW w:w="0" w:type="dxa"/>
            <w:vAlign w:val="bottom"/>
          </w:tcPr>
          <w:p>
            <w:pPr>
              <w:spacing w:after="0"/>
              <w:rPr>
                <w:sz w:val="1"/>
                <w:szCs w:val="1"/>
                <w:color w:val="auto"/>
              </w:rPr>
            </w:pPr>
          </w:p>
        </w:tc>
      </w:tr>
      <w:tr>
        <w:trPr>
          <w:trHeight w:val="191"/>
        </w:trPr>
        <w:tc>
          <w:tcPr>
            <w:tcW w:w="2060" w:type="dxa"/>
            <w:vAlign w:val="bottom"/>
            <w:tcBorders>
              <w:top w:val="single" w:sz="8" w:color="0000EE"/>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INDEPENDENT AUDITOR</w:t>
            </w:r>
          </w:p>
        </w:tc>
        <w:tc>
          <w:tcPr>
            <w:tcW w:w="2620" w:type="dxa"/>
            <w:vAlign w:val="bottom"/>
            <w:tcBorders>
              <w:top w:val="single" w:sz="8" w:color="0000EE"/>
            </w:tcBorders>
            <w:gridSpan w:val="18"/>
          </w:tcPr>
          <w:p>
            <w:pPr>
              <w:spacing w:after="0"/>
              <w:rPr>
                <w:sz w:val="16"/>
                <w:szCs w:val="16"/>
                <w:color w:val="auto"/>
              </w:rPr>
            </w:pPr>
          </w:p>
        </w:tc>
        <w:tc>
          <w:tcPr>
            <w:tcW w:w="6100" w:type="dxa"/>
            <w:vAlign w:val="bottom"/>
            <w:gridSpan w:val="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S-47</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INCORPORATION BY REFERENCE</w:t>
            </w:r>
          </w:p>
        </w:tc>
        <w:tc>
          <w:tcPr>
            <w:tcW w:w="8020" w:type="dxa"/>
            <w:vAlign w:val="bottom"/>
            <w:gridSpan w:val="17"/>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S-48</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520" w:type="dxa"/>
            <w:vAlign w:val="bottom"/>
            <w:gridSpan w:val="20"/>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S-49</w:t>
            </w:r>
          </w:p>
        </w:tc>
        <w:tc>
          <w:tcPr>
            <w:tcW w:w="0" w:type="dxa"/>
            <w:vAlign w:val="bottom"/>
          </w:tcPr>
          <w:p>
            <w:pPr>
              <w:spacing w:after="0"/>
              <w:rPr>
                <w:sz w:val="1"/>
                <w:szCs w:val="1"/>
                <w:color w:val="auto"/>
              </w:rPr>
            </w:pPr>
          </w:p>
        </w:tc>
      </w:tr>
      <w:tr>
        <w:trPr>
          <w:trHeight w:val="375"/>
        </w:trPr>
        <w:tc>
          <w:tcPr>
            <w:tcW w:w="20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740" w:type="dxa"/>
            <w:vAlign w:val="bottom"/>
            <w:gridSpan w:val="23"/>
            <w:vMerge w:val="restart"/>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9"/>
            <w:vMerge w:val="continue"/>
          </w:tcPr>
          <w:p>
            <w:pPr>
              <w:spacing w:after="0"/>
              <w:rPr>
                <w:sz w:val="14"/>
                <w:szCs w:val="14"/>
                <w:color w:val="auto"/>
              </w:rPr>
            </w:pPr>
          </w:p>
        </w:tc>
        <w:tc>
          <w:tcPr>
            <w:tcW w:w="8740" w:type="dxa"/>
            <w:vAlign w:val="bottom"/>
            <w:gridSpan w:val="23"/>
            <w:vMerge w:val="continue"/>
          </w:tcPr>
          <w:p>
            <w:pPr>
              <w:spacing w:after="0"/>
              <w:rPr>
                <w:sz w:val="14"/>
                <w:szCs w:val="14"/>
                <w:color w:val="auto"/>
              </w:rPr>
            </w:pPr>
          </w:p>
        </w:tc>
        <w:tc>
          <w:tcPr>
            <w:tcW w:w="4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8720" w:type="dxa"/>
            <w:vAlign w:val="bottom"/>
            <w:gridSpan w:val="22"/>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8"/>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7920" w:type="dxa"/>
            <w:vAlign w:val="bottom"/>
            <w:gridSpan w:val="1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9040" w:type="dxa"/>
            <w:vAlign w:val="bottom"/>
            <w:gridSpan w:val="25"/>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24"/>
          </w:tcPr>
          <w:p>
            <w:pPr>
              <w:spacing w:after="0"/>
              <w:rPr>
                <w:sz w:val="16"/>
                <w:szCs w:val="16"/>
                <w:color w:val="auto"/>
              </w:rPr>
            </w:pPr>
          </w:p>
        </w:tc>
        <w:tc>
          <w:tcPr>
            <w:tcW w:w="6260" w:type="dxa"/>
            <w:vAlign w:val="bottom"/>
            <w:gridSpan w:val="6"/>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30"/>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5260" w:type="dxa"/>
            <w:vAlign w:val="bottom"/>
            <w:gridSpan w:val="2"/>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7500" w:type="dxa"/>
            <w:vAlign w:val="bottom"/>
            <w:gridSpan w:val="11"/>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7"/>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7300" w:type="dxa"/>
            <w:vAlign w:val="bottom"/>
            <w:gridSpan w:val="9"/>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6980" w:type="dxa"/>
            <w:vAlign w:val="bottom"/>
            <w:gridSpan w:val="8"/>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6400" w:type="dxa"/>
            <w:vAlign w:val="bottom"/>
            <w:gridSpan w:val="7"/>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9"/>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6020" w:type="dxa"/>
            <w:vAlign w:val="bottom"/>
            <w:gridSpan w:val="3"/>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19"/>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31"/>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4980" w:type="dxa"/>
            <w:vAlign w:val="bottom"/>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4"/>
            <w:shd w:val="clear" w:color="auto" w:fill="0000EE"/>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20" w:type="dxa"/>
            <w:vAlign w:val="bottom"/>
            <w:gridSpan w:val="2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7"/>
          </w:tcPr>
          <w:p>
            <w:pPr>
              <w:spacing w:after="0"/>
              <w:rPr>
                <w:sz w:val="16"/>
                <w:szCs w:val="16"/>
                <w:color w:val="auto"/>
              </w:rPr>
            </w:pPr>
          </w:p>
        </w:tc>
        <w:tc>
          <w:tcPr>
            <w:tcW w:w="6100" w:type="dxa"/>
            <w:vAlign w:val="bottom"/>
            <w:gridSpan w:val="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INCORPORATION BY REFERENCE</w:t>
            </w:r>
          </w:p>
        </w:tc>
        <w:tc>
          <w:tcPr>
            <w:tcW w:w="8020" w:type="dxa"/>
            <w:vAlign w:val="bottom"/>
            <w:gridSpan w:val="17"/>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520" w:type="dxa"/>
            <w:vAlign w:val="bottom"/>
            <w:gridSpan w:val="20"/>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80"/>
          </w:cols>
          <w:pgMar w:left="320" w:top="44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do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will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SUPPLEMENT AND THE ACCOMPANYING PROSPECTUS AND THE DOCUMENTS INCORPORATED BY REFERENCE IN THIS PROSPECTUS SUPPLEMENT AND ACCOMPANYING PROSPECTUS.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THE NOTES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80"/>
          </w:cols>
          <w:pgMar w:left="320" w:top="44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6446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64465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6" w:lineRule="exact"/>
        <w:rPr>
          <w:sz w:val="20"/>
          <w:szCs w:val="20"/>
          <w:color w:val="auto"/>
        </w:rPr>
      </w:pPr>
    </w:p>
    <w:p>
      <w:pPr>
        <w:ind w:left="200" w:right="240"/>
        <w:spacing w:after="0" w:line="250" w:lineRule="auto"/>
        <w:rPr>
          <w:sz w:val="20"/>
          <w:szCs w:val="20"/>
          <w:color w:val="auto"/>
        </w:rPr>
      </w:pPr>
      <w:r>
        <w:rPr>
          <w:rFonts w:ascii="Times New Roman" w:cs="Times New Roman" w:eastAsia="Times New Roman" w:hAnsi="Times New Roman"/>
          <w:sz w:val="18"/>
          <w:szCs w:val="18"/>
          <w:color w:val="auto"/>
        </w:rPr>
        <w:t>This prospectus supplement sets forth certain terms of the Notes that we are offering pursuant to this prospectus supplement and the accompanying prospectus. This section outlines the specific legal and financial terms of the Notes. You should read this section together with the more general description of the Notes under the heading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and in the accompanying prospectus under the heading “</w:t>
      </w:r>
      <w:r>
        <w:rPr>
          <w:rFonts w:ascii="Times New Roman" w:cs="Times New Roman" w:eastAsia="Times New Roman" w:hAnsi="Times New Roman"/>
          <w:sz w:val="18"/>
          <w:szCs w:val="18"/>
          <w:i w:val="1"/>
          <w:iCs w:val="1"/>
          <w:color w:val="auto"/>
        </w:rPr>
        <w:t>Description of Our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before investing in the Notes. Capitalized terms used in this prospectus supplement and not otherwise defined will have the meanings given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in the accompanying prospectus or in the indenture governing the Notes.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Issuer</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PennantPark Floating Rate Capital Ltd.</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of the securities</w:t>
            </w:r>
          </w:p>
        </w:tc>
        <w:tc>
          <w:tcPr>
            <w:tcW w:w="70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Notes due 2031</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Aggregate principal amount being offered</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            million</w:t>
            </w:r>
          </w:p>
        </w:tc>
      </w:tr>
      <w:tr>
        <w:trPr>
          <w:trHeight w:val="44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Over-allotment option</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The underwriters may also purchase from us up to an additional $            aggregate principal</w:t>
            </w:r>
          </w:p>
        </w:tc>
      </w:tr>
      <w:tr>
        <w:trPr>
          <w:trHeight w:val="211"/>
        </w:trPr>
        <w:tc>
          <w:tcPr>
            <w:tcW w:w="3720" w:type="dxa"/>
            <w:vAlign w:val="bottom"/>
          </w:tcPr>
          <w:p>
            <w:pPr>
              <w:spacing w:after="0"/>
              <w:rPr>
                <w:sz w:val="18"/>
                <w:szCs w:val="18"/>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amount of Notes, solely to cover over-allotments, if any, within 30 days of the date of this</w:t>
            </w:r>
          </w:p>
        </w:tc>
      </w:tr>
      <w:tr>
        <w:trPr>
          <w:trHeight w:val="228"/>
        </w:trPr>
        <w:tc>
          <w:tcPr>
            <w:tcW w:w="3720" w:type="dxa"/>
            <w:vAlign w:val="bottom"/>
          </w:tcPr>
          <w:p>
            <w:pPr>
              <w:spacing w:after="0"/>
              <w:rPr>
                <w:sz w:val="19"/>
                <w:szCs w:val="19"/>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47"/>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 public offering price</w:t>
            </w:r>
          </w:p>
        </w:tc>
        <w:tc>
          <w:tcPr>
            <w:tcW w:w="70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of the aggregate principal amount of Notes</w:t>
            </w:r>
          </w:p>
        </w:tc>
      </w:tr>
      <w:tr>
        <w:trPr>
          <w:trHeight w:val="44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payable at maturity</w:t>
            </w:r>
          </w:p>
        </w:tc>
        <w:tc>
          <w:tcPr>
            <w:tcW w:w="70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of the aggregate principal amount; the principal amount of each Note will be</w:t>
            </w:r>
          </w:p>
        </w:tc>
      </w:tr>
      <w:tr>
        <w:trPr>
          <w:trHeight w:val="211"/>
        </w:trPr>
        <w:tc>
          <w:tcPr>
            <w:tcW w:w="3720" w:type="dxa"/>
            <w:vAlign w:val="bottom"/>
          </w:tcPr>
          <w:p>
            <w:pPr>
              <w:spacing w:after="0"/>
              <w:rPr>
                <w:sz w:val="18"/>
                <w:szCs w:val="18"/>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payable on its stated maturity date at the office of Equiniti Trust Company, LLC (the “Paying</w:t>
            </w:r>
          </w:p>
        </w:tc>
      </w:tr>
      <w:tr>
        <w:trPr>
          <w:trHeight w:val="211"/>
        </w:trPr>
        <w:tc>
          <w:tcPr>
            <w:tcW w:w="3720" w:type="dxa"/>
            <w:vAlign w:val="bottom"/>
          </w:tcPr>
          <w:p>
            <w:pPr>
              <w:spacing w:after="0"/>
              <w:rPr>
                <w:sz w:val="18"/>
                <w:szCs w:val="18"/>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Agent” and “Registrar” for the Notes) or at such other office in New York City as we may</w:t>
            </w:r>
          </w:p>
        </w:tc>
      </w:tr>
      <w:tr>
        <w:trPr>
          <w:trHeight w:val="228"/>
        </w:trPr>
        <w:tc>
          <w:tcPr>
            <w:tcW w:w="3720" w:type="dxa"/>
            <w:vAlign w:val="bottom"/>
          </w:tcPr>
          <w:p>
            <w:pPr>
              <w:spacing w:after="0"/>
              <w:rPr>
                <w:sz w:val="19"/>
                <w:szCs w:val="19"/>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designate.</w:t>
            </w:r>
          </w:p>
        </w:tc>
      </w:tr>
      <w:tr>
        <w:trPr>
          <w:trHeight w:val="430"/>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Listing</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We intend to list the Notes on The New York Stock Exchange (“NYSE”) under the trading</w:t>
            </w:r>
          </w:p>
        </w:tc>
      </w:tr>
      <w:tr>
        <w:trPr>
          <w:trHeight w:val="211"/>
        </w:trPr>
        <w:tc>
          <w:tcPr>
            <w:tcW w:w="3720" w:type="dxa"/>
            <w:vAlign w:val="bottom"/>
          </w:tcPr>
          <w:p>
            <w:pPr>
              <w:spacing w:after="0"/>
              <w:rPr>
                <w:sz w:val="18"/>
                <w:szCs w:val="18"/>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symbol “PFLA”, and we expect trading in the Notes on the NYSE to begin within 30 days of</w:t>
            </w:r>
          </w:p>
        </w:tc>
      </w:tr>
      <w:tr>
        <w:trPr>
          <w:trHeight w:val="211"/>
        </w:trPr>
        <w:tc>
          <w:tcPr>
            <w:tcW w:w="3720" w:type="dxa"/>
            <w:vAlign w:val="bottom"/>
          </w:tcPr>
          <w:p>
            <w:pPr>
              <w:spacing w:after="0"/>
              <w:rPr>
                <w:sz w:val="18"/>
                <w:szCs w:val="18"/>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the original issue date. The Notes are expected to trade “flat,” which means that purchasers will</w:t>
            </w:r>
          </w:p>
        </w:tc>
      </w:tr>
      <w:tr>
        <w:trPr>
          <w:trHeight w:val="211"/>
        </w:trPr>
        <w:tc>
          <w:tcPr>
            <w:tcW w:w="3720" w:type="dxa"/>
            <w:vAlign w:val="bottom"/>
          </w:tcPr>
          <w:p>
            <w:pPr>
              <w:spacing w:after="0"/>
              <w:rPr>
                <w:sz w:val="18"/>
                <w:szCs w:val="18"/>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not pay, and sellers will not receive, any accrued and unpaid interest on the Notes that is not</w:t>
            </w:r>
          </w:p>
        </w:tc>
      </w:tr>
      <w:tr>
        <w:trPr>
          <w:trHeight w:val="228"/>
        </w:trPr>
        <w:tc>
          <w:tcPr>
            <w:tcW w:w="3720" w:type="dxa"/>
            <w:vAlign w:val="bottom"/>
          </w:tcPr>
          <w:p>
            <w:pPr>
              <w:spacing w:after="0"/>
              <w:rPr>
                <w:sz w:val="19"/>
                <w:szCs w:val="19"/>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reflected in the trading price. Currently, there is no public market for the Notes.</w:t>
            </w:r>
          </w:p>
        </w:tc>
      </w:tr>
      <w:tr>
        <w:trPr>
          <w:trHeight w:val="447"/>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Type of Note</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Fixed-rate note</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w:t>
            </w:r>
          </w:p>
        </w:tc>
        <w:tc>
          <w:tcPr>
            <w:tcW w:w="70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per year</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Day count basis</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360-day year of twelve 30-day months</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date</w:t>
            </w:r>
          </w:p>
        </w:tc>
        <w:tc>
          <w:tcPr>
            <w:tcW w:w="70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2026</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Original issue date</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            , 2026</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Stated maturity date</w:t>
            </w: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June 15, 2031</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interest starts accruing</w:t>
            </w:r>
          </w:p>
        </w:tc>
        <w:tc>
          <w:tcPr>
            <w:tcW w:w="70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2026</w:t>
            </w:r>
          </w:p>
        </w:tc>
      </w:tr>
      <w:tr>
        <w:trPr>
          <w:trHeight w:val="181"/>
        </w:trPr>
        <w:tc>
          <w:tcPr>
            <w:tcW w:w="3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spacing w:after="0"/>
              <w:rPr>
                <w:sz w:val="15"/>
                <w:szCs w:val="15"/>
                <w:color w:val="auto"/>
              </w:rPr>
            </w:pPr>
          </w:p>
        </w:tc>
      </w:tr>
      <w:tr>
        <w:trPr>
          <w:trHeight w:val="351"/>
        </w:trPr>
        <w:tc>
          <w:tcPr>
            <w:tcW w:w="3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320" w:top="44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6045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60458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Every March 15, June 15, September 15 and December 15, commencing September 15, 2026.</w:t>
            </w:r>
          </w:p>
        </w:tc>
      </w:tr>
      <w:tr>
        <w:trPr>
          <w:trHeight w:val="211"/>
        </w:trPr>
        <w:tc>
          <w:tcPr>
            <w:tcW w:w="3180" w:type="dxa"/>
            <w:vAlign w:val="bottom"/>
          </w:tcPr>
          <w:p>
            <w:pPr>
              <w:spacing w:after="0"/>
              <w:rPr>
                <w:sz w:val="18"/>
                <w:szCs w:val="18"/>
                <w:color w:val="auto"/>
              </w:rPr>
            </w:pP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If an interest payment date is a non-business day, the applicable interest payment will be made</w:t>
            </w:r>
          </w:p>
        </w:tc>
      </w:tr>
      <w:tr>
        <w:trPr>
          <w:trHeight w:val="211"/>
        </w:trPr>
        <w:tc>
          <w:tcPr>
            <w:tcW w:w="3180" w:type="dxa"/>
            <w:vAlign w:val="bottom"/>
          </w:tcPr>
          <w:p>
            <w:pPr>
              <w:spacing w:after="0"/>
              <w:rPr>
                <w:sz w:val="18"/>
                <w:szCs w:val="18"/>
                <w:color w:val="auto"/>
              </w:rPr>
            </w:pP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on the next business day, and no additional interest will accrue as a result of such delayed</w:t>
            </w:r>
          </w:p>
        </w:tc>
      </w:tr>
      <w:tr>
        <w:trPr>
          <w:trHeight w:val="228"/>
        </w:trPr>
        <w:tc>
          <w:tcPr>
            <w:tcW w:w="3180" w:type="dxa"/>
            <w:vAlign w:val="bottom"/>
          </w:tcPr>
          <w:p>
            <w:pPr>
              <w:spacing w:after="0"/>
              <w:rPr>
                <w:sz w:val="19"/>
                <w:szCs w:val="19"/>
                <w:color w:val="auto"/>
              </w:rPr>
            </w:pP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payment</w:t>
            </w:r>
          </w:p>
        </w:tc>
      </w:tr>
      <w:tr>
        <w:trPr>
          <w:trHeight w:val="4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periods</w:t>
            </w: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7"/>
              </w:rPr>
              <w:t>The initial interest period will be the period from and including    , 2026 to, but excluding, the</w:t>
            </w:r>
          </w:p>
        </w:tc>
      </w:tr>
      <w:tr>
        <w:trPr>
          <w:trHeight w:val="211"/>
        </w:trPr>
        <w:tc>
          <w:tcPr>
            <w:tcW w:w="3180" w:type="dxa"/>
            <w:vAlign w:val="bottom"/>
          </w:tcPr>
          <w:p>
            <w:pPr>
              <w:spacing w:after="0"/>
              <w:rPr>
                <w:sz w:val="18"/>
                <w:szCs w:val="18"/>
                <w:color w:val="auto"/>
              </w:rPr>
            </w:pP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initial interest payment date, and the subsequent interest periods will be the periods from and</w:t>
            </w:r>
          </w:p>
        </w:tc>
      </w:tr>
      <w:tr>
        <w:trPr>
          <w:trHeight w:val="211"/>
        </w:trPr>
        <w:tc>
          <w:tcPr>
            <w:tcW w:w="3180" w:type="dxa"/>
            <w:vAlign w:val="bottom"/>
          </w:tcPr>
          <w:p>
            <w:pPr>
              <w:spacing w:after="0"/>
              <w:rPr>
                <w:sz w:val="18"/>
                <w:szCs w:val="18"/>
                <w:color w:val="auto"/>
              </w:rPr>
            </w:pP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7"/>
              </w:rPr>
              <w:t>including an interest payment date to, but excluding, the next interest payment date or the stated</w:t>
            </w:r>
          </w:p>
        </w:tc>
      </w:tr>
      <w:tr>
        <w:trPr>
          <w:trHeight w:val="228"/>
        </w:trPr>
        <w:tc>
          <w:tcPr>
            <w:tcW w:w="3180" w:type="dxa"/>
            <w:vAlign w:val="bottom"/>
          </w:tcPr>
          <w:p>
            <w:pPr>
              <w:spacing w:after="0"/>
              <w:rPr>
                <w:sz w:val="19"/>
                <w:szCs w:val="19"/>
                <w:color w:val="auto"/>
              </w:rPr>
            </w:pP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maturity date, as the case may be.</w:t>
            </w:r>
          </w:p>
        </w:tc>
      </w:tr>
      <w:tr>
        <w:trPr>
          <w:trHeight w:val="4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 for interest</w:t>
            </w: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Every March 1, June 1, September 1 and December 1, commencing September 1, 2026; if a</w:t>
            </w:r>
          </w:p>
        </w:tc>
      </w:tr>
      <w:tr>
        <w:trPr>
          <w:trHeight w:val="211"/>
        </w:trPr>
        <w:tc>
          <w:tcPr>
            <w:tcW w:w="3180" w:type="dxa"/>
            <w:vAlign w:val="bottom"/>
          </w:tcPr>
          <w:p>
            <w:pPr>
              <w:spacing w:after="0"/>
              <w:rPr>
                <w:sz w:val="18"/>
                <w:szCs w:val="18"/>
                <w:color w:val="auto"/>
              </w:rPr>
            </w:pP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record date for interest is a non-business day, then that record date will be the next business</w:t>
            </w:r>
          </w:p>
        </w:tc>
      </w:tr>
      <w:tr>
        <w:trPr>
          <w:trHeight w:val="228"/>
        </w:trPr>
        <w:tc>
          <w:tcPr>
            <w:tcW w:w="3180" w:type="dxa"/>
            <w:vAlign w:val="bottom"/>
          </w:tcPr>
          <w:p>
            <w:pPr>
              <w:spacing w:after="0"/>
              <w:rPr>
                <w:sz w:val="19"/>
                <w:szCs w:val="19"/>
                <w:color w:val="auto"/>
              </w:rPr>
            </w:pPr>
          </w:p>
        </w:tc>
        <w:tc>
          <w:tcPr>
            <w:tcW w:w="1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day.</w:t>
            </w:r>
          </w:p>
        </w:tc>
        <w:tc>
          <w:tcPr>
            <w:tcW w:w="6320" w:type="dxa"/>
            <w:vAlign w:val="bottom"/>
          </w:tcPr>
          <w:p>
            <w:pPr>
              <w:spacing w:after="0"/>
              <w:rPr>
                <w:sz w:val="19"/>
                <w:szCs w:val="19"/>
                <w:color w:val="auto"/>
              </w:rPr>
            </w:pPr>
          </w:p>
        </w:tc>
      </w:tr>
      <w:tr>
        <w:trPr>
          <w:trHeight w:val="44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Specified currency</w:t>
            </w: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U.S. Dollars</w:t>
            </w:r>
          </w:p>
        </w:tc>
      </w:tr>
      <w:tr>
        <w:trPr>
          <w:trHeight w:val="46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Place of payment</w:t>
            </w: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City of New York</w:t>
            </w:r>
          </w:p>
        </w:tc>
      </w:tr>
      <w:tr>
        <w:trPr>
          <w:trHeight w:val="46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Ranking of Notes</w:t>
            </w:r>
          </w:p>
        </w:tc>
        <w:tc>
          <w:tcPr>
            <w:tcW w:w="76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Notes will be our direct unsecured obligations and will rank:</w:t>
            </w:r>
          </w:p>
        </w:tc>
      </w:tr>
      <w:tr>
        <w:trPr>
          <w:trHeight w:val="443"/>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existing and future unsecured unsubordinated</w:t>
            </w:r>
          </w:p>
        </w:tc>
      </w:tr>
      <w:tr>
        <w:trPr>
          <w:trHeight w:val="211"/>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indebtedness, including $200.0 million in aggregate principal amount outstanding under</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6.75% Notes due 2029 (the “2029 Notes”) as of March 31, 2026;</w:t>
            </w:r>
          </w:p>
        </w:tc>
      </w:tr>
      <w:tr>
        <w:trPr>
          <w:trHeight w:val="430"/>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to any of our future indebtedness that is expressly subordinated in right of</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to the Notes;</w:t>
            </w:r>
          </w:p>
        </w:tc>
      </w:tr>
      <w:tr>
        <w:trPr>
          <w:trHeight w:val="447"/>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to any series of preferred stock that we may issue in the future;</w:t>
            </w:r>
          </w:p>
        </w:tc>
      </w:tr>
      <w:tr>
        <w:trPr>
          <w:trHeight w:val="430"/>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effectively subordinated in right of payment to all of our existing and future secured</w:t>
            </w:r>
          </w:p>
        </w:tc>
      </w:tr>
      <w:tr>
        <w:trPr>
          <w:trHeight w:val="211"/>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 (including indebtedness that is initially unsecured, but to which we</w:t>
            </w:r>
          </w:p>
        </w:tc>
      </w:tr>
      <w:tr>
        <w:trPr>
          <w:trHeight w:val="211"/>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subsequently grant security), to the extent of the value of the assets securing such</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 and</w:t>
            </w:r>
          </w:p>
        </w:tc>
      </w:tr>
      <w:tr>
        <w:trPr>
          <w:trHeight w:val="430"/>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structurally subordinated to all existing and future indebtedness and other obligations of</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of our subsidiaries, financing vehicles or similar facilities, including without</w:t>
            </w:r>
          </w:p>
        </w:tc>
      </w:tr>
    </w:tbl>
    <w:p>
      <w:pPr>
        <w:ind w:left="4840" w:right="40"/>
        <w:spacing w:after="0" w:line="244" w:lineRule="auto"/>
        <w:rPr>
          <w:sz w:val="20"/>
          <w:szCs w:val="20"/>
          <w:color w:val="auto"/>
        </w:rPr>
      </w:pPr>
      <w:r>
        <w:rPr>
          <w:rFonts w:ascii="Times New Roman" w:cs="Times New Roman" w:eastAsia="Times New Roman" w:hAnsi="Times New Roman"/>
          <w:sz w:val="18"/>
          <w:szCs w:val="18"/>
          <w:color w:val="auto"/>
        </w:rPr>
        <w:t>limitation, approximately (i) $328.4 million of borrowings outstanding under our multi-currency senior secured revolving credit facility, as amended and restated with Truist Bank and other lenders (the “Credit Facility”) as of March 31, 2026 and (ii)</w:t>
      </w:r>
    </w:p>
    <w:p>
      <w:pPr>
        <w:jc w:val="both"/>
        <w:ind w:left="4840" w:right="240"/>
        <w:spacing w:after="0" w:line="246" w:lineRule="auto"/>
        <w:rPr>
          <w:sz w:val="20"/>
          <w:szCs w:val="20"/>
          <w:color w:val="auto"/>
        </w:rPr>
      </w:pPr>
      <w:r>
        <w:rPr>
          <w:rFonts w:ascii="Times New Roman" w:cs="Times New Roman" w:eastAsia="Times New Roman" w:hAnsi="Times New Roman"/>
          <w:sz w:val="18"/>
          <w:szCs w:val="18"/>
          <w:color w:val="auto"/>
        </w:rPr>
        <w:t>$287.0 million of our 2036-R Asset-Backed Debt, $389.5 million of our 2037 Asset-Backed Debt and $287.0 million of our 2038-R Asset-Backed Debt (collectively, the “Asset-Backed Debt”) as of March 31, 2026.</w:t>
      </w:r>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040"/>
          </w:cols>
          <w:pgMar w:left="320" w:top="448"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384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Denominations</w:t>
            </w:r>
          </w:p>
        </w:tc>
        <w:tc>
          <w:tcPr>
            <w:tcW w:w="740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will issue the Notes in denominations of $25 and integral multiples of $25 in excess</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thereof.</w:t>
            </w:r>
          </w:p>
        </w:tc>
      </w:tr>
      <w:tr>
        <w:trPr>
          <w:trHeight w:val="430"/>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Business day</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Each Monday, Tuesday, Wednesday, Thursday and Friday that is not a day on which banking</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institutions in The City of New York are authorized or required by law or executive order to</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close.</w:t>
            </w:r>
          </w:p>
        </w:tc>
      </w:tr>
      <w:tr>
        <w:trPr>
          <w:trHeight w:val="430"/>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may be redeemed in whole or in part at any time or from time to time at our option</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on or after June 15, 2028 upon not less than 30 days nor more than 60 days’ written notice prior</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 the date fixed for redemption thereof, at a redemption price of 100% of the outstanding</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payments otherwise payable for</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then-current quarterly interest period accrued to, but excluding, the date fixed for</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redemption. Any exercise of our option to redeem the Notes will be done in compliance with</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1940 Act.</w:t>
            </w:r>
          </w:p>
        </w:tc>
      </w:tr>
      <w:tr>
        <w:trPr>
          <w:trHeight w:val="574"/>
        </w:trPr>
        <w:tc>
          <w:tcPr>
            <w:tcW w:w="384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we redeem only some of the Notes, the Trustee or The Depository Trust Company (“DTC”),</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as applicable, will determine the method for selection of the particular Notes to be redeemed, in</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accordance with the indenture and in accordance with the rules of any national securities</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exchange or quotation system on which the Notes are listed, if any. Unless we default in</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payment of the redemption price, on and after the date of redemption, interest will cease to</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accrue on the Notes called for redemption.</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Sinking fund</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will not be subject to any sinking fund.</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Repayment at Option of Holders of the Notes</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Holders will not have the option to have the Notes repaid prior to the stated maturity date.</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Defeasance</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are subject to defeasance by us.</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Covenant defeasance</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are subject to covenant defeasance by us.</w:t>
            </w:r>
          </w:p>
        </w:tc>
      </w:tr>
      <w:tr>
        <w:trPr>
          <w:trHeight w:val="443"/>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Form of Notes</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 the</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DTC or its nominee. This means that, except in limited circumstances, you will not</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receive certificates for the Notes. Beneficial interests in the Notes will be represented through</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book-entry accounts of financial institutions acting on behalf of beneficial owners as direct and</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indirect participants in DTC. Investors may elect to hold interests in the Notes through either</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DTC, if they are a participant, or indirectly through organizations that are participants in DTC.</w:t>
            </w:r>
          </w:p>
        </w:tc>
      </w:tr>
      <w:tr>
        <w:trPr>
          <w:trHeight w:val="447"/>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Trustee, Paying Agent and Registrar</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Equiniti Trust Company, LLC</w:t>
            </w:r>
          </w:p>
        </w:tc>
      </w:tr>
      <w:tr>
        <w:trPr>
          <w:trHeight w:val="443"/>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Credit Rating Maintenance</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have agreed to use commercially reasonable efforts to maintain a credit rating on the Notes</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by a rating organization designated as a</w:t>
            </w:r>
          </w:p>
        </w:tc>
      </w:tr>
      <w:tr>
        <w:trPr>
          <w:trHeight w:val="168"/>
        </w:trPr>
        <w:tc>
          <w:tcPr>
            <w:tcW w:w="3840" w:type="dxa"/>
            <w:vAlign w:val="bottom"/>
            <w:tcBorders>
              <w:left w:val="single" w:sz="8" w:color="auto"/>
              <w:bottom w:val="single" w:sz="8" w:color="auto"/>
            </w:tcBorders>
          </w:tcPr>
          <w:p>
            <w:pPr>
              <w:spacing w:after="0"/>
              <w:rPr>
                <w:sz w:val="14"/>
                <w:szCs w:val="14"/>
                <w:color w:val="auto"/>
              </w:rPr>
            </w:pPr>
          </w:p>
        </w:tc>
        <w:tc>
          <w:tcPr>
            <w:tcW w:w="7400" w:type="dxa"/>
            <w:vAlign w:val="bottom"/>
            <w:tcBorders>
              <w:bottom w:val="single" w:sz="8" w:color="auto"/>
              <w:right w:val="single" w:sz="8" w:color="auto"/>
            </w:tcBorders>
          </w:tcPr>
          <w:p>
            <w:pPr>
              <w:spacing w:after="0"/>
              <w:rPr>
                <w:sz w:val="14"/>
                <w:szCs w:val="14"/>
                <w:color w:val="auto"/>
              </w:rPr>
            </w:pPr>
          </w:p>
        </w:tc>
      </w:tr>
      <w:tr>
        <w:trPr>
          <w:trHeight w:val="351"/>
        </w:trPr>
        <w:tc>
          <w:tcPr>
            <w:tcW w:w="3840" w:type="dxa"/>
            <w:vAlign w:val="bottom"/>
          </w:tcPr>
          <w:p>
            <w:pPr>
              <w:spacing w:after="0"/>
              <w:rPr>
                <w:sz w:val="24"/>
                <w:szCs w:val="24"/>
                <w:color w:val="auto"/>
              </w:rPr>
            </w:pPr>
          </w:p>
        </w:tc>
        <w:tc>
          <w:tcPr>
            <w:tcW w:w="74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44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393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53936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00" w:right="20"/>
        <w:spacing w:after="0" w:line="252" w:lineRule="auto"/>
        <w:rPr>
          <w:sz w:val="20"/>
          <w:szCs w:val="20"/>
          <w:color w:val="auto"/>
        </w:rPr>
      </w:pPr>
      <w:r>
        <w:rPr>
          <w:rFonts w:ascii="Times New Roman" w:cs="Times New Roman" w:eastAsia="Times New Roman" w:hAnsi="Times New Roman"/>
          <w:sz w:val="18"/>
          <w:szCs w:val="18"/>
          <w:color w:val="auto"/>
        </w:rPr>
        <w:t>“nationally recognized statistical rating organization” within the meaning of Section 3(a)(62) of the Exchange Act, whose status has been confirmed by the Securities Valuation Office of the National Association of Insurance Commissioners (each such organization, an “NRSRO”), provided that no minimum rating will be required.</w:t>
      </w:r>
    </w:p>
    <w:p>
      <w:pPr>
        <w:sectPr>
          <w:pgSz w:w="11900" w:h="16838" w:orient="portrait"/>
          <w:cols w:equalWidth="0" w:num="1">
            <w:col w:w="11040"/>
          </w:cols>
          <w:pgMar w:left="320" w:top="448" w:right="539" w:bottom="1440" w:gutter="0" w:footer="0" w:header="0"/>
        </w:sectPr>
      </w:pP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Other covenants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In addition to standard covenants relating to payment of principal and interest, maintaining an office where payments may be made or securities can be surrendered for payment and related matters, the following covenants will apply to the Notes:</w:t>
      </w:r>
    </w:p>
    <w:p>
      <w:pPr>
        <w:spacing w:after="0" w:line="200" w:lineRule="exact"/>
        <w:rPr>
          <w:sz w:val="20"/>
          <w:szCs w:val="20"/>
          <w:color w:val="auto"/>
        </w:rPr>
      </w:pPr>
    </w:p>
    <w:p>
      <w:pPr>
        <w:sectPr>
          <w:pgSz w:w="11900" w:h="16838" w:orient="portrait"/>
          <w:cols w:equalWidth="0" w:num="2">
            <w:col w:w="3580" w:space="720"/>
            <w:col w:w="6740"/>
          </w:cols>
          <w:pgMar w:left="320" w:top="448" w:right="539" w:bottom="1440" w:gutter="0" w:footer="0" w:header="0"/>
          <w:type w:val="continuous"/>
        </w:sectPr>
      </w:pP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Times New Roman" w:cs="Times New Roman" w:eastAsia="Times New Roman" w:hAnsi="Times New Roman"/>
          <w:sz w:val="16"/>
          <w:szCs w:val="16"/>
          <w:color w:val="auto"/>
        </w:rPr>
        <w:t>We agree that for the period of time during which the Notes are outstanding, we will not violate Section 18(a)(1)(A) of the 1940 Act as modified by Section 61(a)(1) and (2) of the 1940 Act or any successor provisions thereto, as such obligations may be amended or superseded, giving effect to any exemptive relief granted to us by the SEC.</w:t>
      </w:r>
    </w:p>
    <w:p>
      <w:pPr>
        <w:spacing w:after="0" w:line="181" w:lineRule="exact"/>
        <w:rPr>
          <w:sz w:val="20"/>
          <w:szCs w:val="20"/>
          <w:color w:val="auto"/>
        </w:rPr>
      </w:pPr>
    </w:p>
    <w:p>
      <w:pPr>
        <w:sectPr>
          <w:pgSz w:w="11900" w:h="16838" w:orient="portrait"/>
          <w:cols w:equalWidth="0" w:num="2">
            <w:col w:w="4600" w:space="240"/>
            <w:col w:w="6200"/>
          </w:cols>
          <w:pgMar w:left="320" w:top="448" w:right="5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46" w:lineRule="auto"/>
        <w:rPr>
          <w:sz w:val="20"/>
          <w:szCs w:val="20"/>
          <w:color w:val="auto"/>
        </w:rPr>
      </w:pPr>
      <w:r>
        <w:rPr>
          <w:rFonts w:ascii="Times New Roman" w:cs="Times New Roman" w:eastAsia="Times New Roman" w:hAnsi="Times New Roman"/>
          <w:sz w:val="18"/>
          <w:szCs w:val="18"/>
          <w:color w:val="auto"/>
        </w:rPr>
        <w:t>We agree that for the period of time during which Notes are outstanding, we will not declare any dividend (except a dividend payable in our stock), or declare any other distribution, upon a class of our capital stock, or purchase any such capital stock, unless, in every such case, at the time of the declaration of any such dividend or distribution, or at the time of any such purchase, we have an asset coverage, as defined in the 1940 Act, of at least the threshold specified under Section 18(a)(1)(B) as modified by Section 61(a)(2) of the 1940 Act or any successor provisions thereto of the 1940 Act, after deducting the amount of such dividend, distribution or purchase price, as the case may be, and in each case giving effect to any no-action relief granted by the SEC to another BDC and upon which we may reasonably rely (or to us if we determine to seek such similar no-action or other relief) permitting the BDC to declare any cash dividend or distribution notwithstanding the prohibition contained in Section 18(a)(1)(B) as modified by Section 61(a)(2) of the 1940 Act, in order to maintain our status as a RIC under Subchapter M of the Code.</w:t>
      </w:r>
    </w:p>
    <w:p>
      <w:pPr>
        <w:spacing w:after="0" w:line="200" w:lineRule="exact"/>
        <w:rPr>
          <w:sz w:val="20"/>
          <w:szCs w:val="20"/>
          <w:color w:val="auto"/>
        </w:rPr>
      </w:pPr>
    </w:p>
    <w:p>
      <w:pPr>
        <w:sectPr>
          <w:pgSz w:w="11900" w:h="16838" w:orient="portrait"/>
          <w:cols w:equalWidth="0" w:num="2">
            <w:col w:w="4600" w:space="240"/>
            <w:col w:w="6200"/>
          </w:cols>
          <w:pgMar w:left="320" w:top="448" w:right="539" w:bottom="1440" w:gutter="0" w:footer="0" w:header="0"/>
          <w:type w:val="continuous"/>
        </w:sectPr>
      </w:pP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86" w:lineRule="auto"/>
        <w:rPr>
          <w:sz w:val="20"/>
          <w:szCs w:val="20"/>
          <w:color w:val="auto"/>
        </w:rPr>
      </w:pPr>
      <w:r>
        <w:rPr>
          <w:rFonts w:ascii="Times New Roman" w:cs="Times New Roman" w:eastAsia="Times New Roman" w:hAnsi="Times New Roman"/>
          <w:sz w:val="16"/>
          <w:szCs w:val="16"/>
          <w:color w:val="auto"/>
        </w:rPr>
        <w:t>If, at any time, we are not subject to the reporting requirements of Sections 13 or 15(d) of the Securities Exchange Act of 1934, as amended (the “Exchange Act”), to file any</w:t>
      </w:r>
    </w:p>
    <w:p>
      <w:pPr>
        <w:spacing w:after="0" w:line="1" w:lineRule="exact"/>
        <w:rPr>
          <w:sz w:val="20"/>
          <w:szCs w:val="20"/>
          <w:color w:val="auto"/>
        </w:rPr>
      </w:pPr>
    </w:p>
    <w:p>
      <w:pPr>
        <w:sectPr>
          <w:pgSz w:w="11900" w:h="16838" w:orient="portrait"/>
          <w:cols w:equalWidth="0" w:num="2">
            <w:col w:w="4600" w:space="240"/>
            <w:col w:w="6200"/>
          </w:cols>
          <w:pgMar w:left="320" w:top="448" w:right="539" w:bottom="1440" w:gutter="0" w:footer="0" w:header="0"/>
          <w:type w:val="continuous"/>
        </w:sectPr>
      </w:pPr>
    </w:p>
    <w:p>
      <w:pPr>
        <w:ind w:left="4840" w:right="20"/>
        <w:spacing w:after="0" w:line="244" w:lineRule="auto"/>
        <w:rPr>
          <w:sz w:val="20"/>
          <w:szCs w:val="20"/>
          <w:color w:val="auto"/>
        </w:rPr>
      </w:pPr>
      <w:r>
        <w:rPr>
          <w:rFonts w:ascii="Times New Roman" w:cs="Times New Roman" w:eastAsia="Times New Roman" w:hAnsi="Times New Roman"/>
          <w:sz w:val="18"/>
          <w:szCs w:val="18"/>
          <w:color w:val="auto"/>
        </w:rPr>
        <w:t>periodic reports with the SEC, we agree to publish on our website and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(“GAAP”).</w:t>
      </w:r>
    </w:p>
    <w:p>
      <w:pPr>
        <w:spacing w:after="0" w:line="3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040"/>
          </w:cols>
          <w:pgMar w:left="320" w:top="448" w:right="5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820" w:type="dxa"/>
            <w:vAlign w:val="bottom"/>
            <w:tcBorders>
              <w:top w:val="single" w:sz="8" w:color="auto"/>
              <w:left w:val="single" w:sz="8" w:color="auto"/>
            </w:tcBorders>
          </w:tcPr>
          <w:p>
            <w:pPr>
              <w:spacing w:after="0"/>
              <w:rPr>
                <w:sz w:val="24"/>
                <w:szCs w:val="24"/>
                <w:color w:val="auto"/>
              </w:rPr>
            </w:pPr>
          </w:p>
        </w:tc>
        <w:tc>
          <w:tcPr>
            <w:tcW w:w="7420" w:type="dxa"/>
            <w:vAlign w:val="bottom"/>
            <w:tcBorders>
              <w:top w:val="single" w:sz="8" w:color="auto"/>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The lien covenant included in the base indenture will not apply to the Notes.</w:t>
            </w: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If an event of default (as described under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on the Notes occurs, the</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may be declared immediately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due and payable, subject to conditions set forth in the indenture. These amounts automatically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become due and payable in the case of certain types of bankruptcy or insolvency events</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involving the Company.</w:t>
            </w: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Further Issuances</w:t>
            </w: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We have the ability to issue additional debt securities under the indenture with terms different</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from the Notes and, without consent of the holders thereof, to reopen the Notes and issue</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additional Notes. If we issue additional debt securities, these additional debt securities could</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have a lien or other security interest greater than that accorded to the holders of the Notes,</w:t>
            </w:r>
          </w:p>
        </w:tc>
      </w:tr>
      <w:tr>
        <w:trPr>
          <w:trHeight w:val="228"/>
        </w:trPr>
        <w:tc>
          <w:tcPr>
            <w:tcW w:w="3820" w:type="dxa"/>
            <w:vAlign w:val="bottom"/>
            <w:tcBorders>
              <w:left w:val="single" w:sz="8" w:color="auto"/>
            </w:tcBorders>
          </w:tcPr>
          <w:p>
            <w:pPr>
              <w:spacing w:after="0"/>
              <w:rPr>
                <w:sz w:val="19"/>
                <w:szCs w:val="19"/>
                <w:color w:val="auto"/>
              </w:rPr>
            </w:pPr>
          </w:p>
        </w:tc>
        <w:tc>
          <w:tcPr>
            <w:tcW w:w="19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7"/>
              </w:rPr>
              <w:t>which are unsecured.</w:t>
            </w:r>
          </w:p>
        </w:tc>
        <w:tc>
          <w:tcPr>
            <w:tcW w:w="5440" w:type="dxa"/>
            <w:vAlign w:val="bottom"/>
            <w:tcBorders>
              <w:right w:val="single" w:sz="8" w:color="auto"/>
            </w:tcBorders>
          </w:tcPr>
          <w:p>
            <w:pPr>
              <w:spacing w:after="0"/>
              <w:rPr>
                <w:sz w:val="19"/>
                <w:szCs w:val="19"/>
                <w:color w:val="auto"/>
              </w:rPr>
            </w:pP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 DTC</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to be settled in immediately available funds. None of the Company, the Trustee or the Paying</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Agent will have any responsibility for the performance by DTC or its participants or indirect</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participants of their respective obligations under the rules and procedures governing their</w:t>
            </w:r>
          </w:p>
        </w:tc>
      </w:tr>
      <w:tr>
        <w:trPr>
          <w:trHeight w:val="228"/>
        </w:trPr>
        <w:tc>
          <w:tcPr>
            <w:tcW w:w="3820" w:type="dxa"/>
            <w:vAlign w:val="bottom"/>
            <w:tcBorders>
              <w:left w:val="single" w:sz="8" w:color="auto"/>
            </w:tcBorders>
          </w:tcPr>
          <w:p>
            <w:pPr>
              <w:spacing w:after="0"/>
              <w:rPr>
                <w:sz w:val="19"/>
                <w:szCs w:val="19"/>
                <w:color w:val="auto"/>
              </w:rPr>
            </w:pP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40" w:type="dxa"/>
            <w:vAlign w:val="bottom"/>
            <w:tcBorders>
              <w:right w:val="single" w:sz="8" w:color="auto"/>
            </w:tcBorders>
          </w:tcPr>
          <w:p>
            <w:pPr>
              <w:spacing w:after="0"/>
              <w:rPr>
                <w:sz w:val="19"/>
                <w:szCs w:val="19"/>
                <w:color w:val="auto"/>
              </w:rPr>
            </w:pP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         million (or approximately $         million if the underwriters exercise their over-</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allotment option in full) after deducting the underwriting discounts and commissions of</w:t>
            </w:r>
          </w:p>
        </w:tc>
      </w:tr>
      <w:tr>
        <w:trPr>
          <w:trHeight w:val="211"/>
        </w:trPr>
        <w:tc>
          <w:tcPr>
            <w:tcW w:w="3820" w:type="dxa"/>
            <w:vAlign w:val="bottom"/>
            <w:tcBorders>
              <w:left w:val="single" w:sz="8" w:color="auto"/>
            </w:tcBorders>
          </w:tcPr>
          <w:p>
            <w:pPr>
              <w:spacing w:after="0"/>
              <w:rPr>
                <w:sz w:val="18"/>
                <w:szCs w:val="18"/>
                <w:color w:val="auto"/>
              </w:rPr>
            </w:pP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5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million payable by us (or approximately $         million if the</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underwriters exercise their over-allotment option in full) and estimated offering expenses of</w:t>
            </w:r>
          </w:p>
        </w:tc>
      </w:tr>
      <w:tr>
        <w:trPr>
          <w:trHeight w:val="211"/>
        </w:trPr>
        <w:tc>
          <w:tcPr>
            <w:tcW w:w="3820" w:type="dxa"/>
            <w:vAlign w:val="bottom"/>
            <w:tcBorders>
              <w:left w:val="single" w:sz="8" w:color="auto"/>
            </w:tcBorders>
          </w:tcPr>
          <w:p>
            <w:pPr>
              <w:spacing w:after="0"/>
              <w:rPr>
                <w:sz w:val="18"/>
                <w:szCs w:val="18"/>
                <w:color w:val="auto"/>
              </w:rPr>
            </w:pP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5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million payable by us. Such estimate is subject to change and no</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assurances can be given that actual expenses will not exceed such amount.</w:t>
            </w:r>
          </w:p>
        </w:tc>
      </w:tr>
      <w:tr>
        <w:trPr>
          <w:trHeight w:val="430"/>
        </w:trPr>
        <w:tc>
          <w:tcPr>
            <w:tcW w:w="3820" w:type="dxa"/>
            <w:vAlign w:val="bottom"/>
            <w:tcBorders>
              <w:left w:val="single" w:sz="8" w:color="auto"/>
            </w:tcBorders>
          </w:tcPr>
          <w:p>
            <w:pPr>
              <w:spacing w:after="0"/>
              <w:rPr>
                <w:sz w:val="24"/>
                <w:szCs w:val="24"/>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We expect to use the net proceeds from this offering to repay our outstanding obligations under</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the Credit Facility, to invest in new or existing portfolio companies and for general corporate or</w:t>
            </w:r>
          </w:p>
        </w:tc>
      </w:tr>
      <w:tr>
        <w:trPr>
          <w:trHeight w:val="228"/>
        </w:trPr>
        <w:tc>
          <w:tcPr>
            <w:tcW w:w="3820" w:type="dxa"/>
            <w:vAlign w:val="bottom"/>
            <w:tcBorders>
              <w:left w:val="single" w:sz="8" w:color="auto"/>
            </w:tcBorders>
          </w:tcPr>
          <w:p>
            <w:pPr>
              <w:spacing w:after="0"/>
              <w:rPr>
                <w:sz w:val="19"/>
                <w:szCs w:val="19"/>
                <w:color w:val="auto"/>
              </w:rPr>
            </w:pPr>
          </w:p>
        </w:tc>
        <w:tc>
          <w:tcPr>
            <w:tcW w:w="19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strategic purposes.</w:t>
            </w:r>
          </w:p>
        </w:tc>
        <w:tc>
          <w:tcPr>
            <w:tcW w:w="5440" w:type="dxa"/>
            <w:vAlign w:val="bottom"/>
            <w:tcBorders>
              <w:right w:val="single" w:sz="8" w:color="auto"/>
            </w:tcBorders>
          </w:tcPr>
          <w:p>
            <w:pPr>
              <w:spacing w:after="0"/>
              <w:rPr>
                <w:sz w:val="19"/>
                <w:szCs w:val="19"/>
                <w:color w:val="auto"/>
              </w:rPr>
            </w:pPr>
          </w:p>
        </w:tc>
      </w:tr>
      <w:tr>
        <w:trPr>
          <w:trHeight w:val="447"/>
        </w:trPr>
        <w:tc>
          <w:tcPr>
            <w:tcW w:w="3820" w:type="dxa"/>
            <w:vAlign w:val="bottom"/>
            <w:tcBorders>
              <w:left w:val="single" w:sz="8" w:color="auto"/>
            </w:tcBorders>
          </w:tcPr>
          <w:p>
            <w:pPr>
              <w:spacing w:after="0"/>
              <w:rPr>
                <w:sz w:val="24"/>
                <w:szCs w:val="24"/>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w:t>
            </w:r>
          </w:p>
        </w:tc>
      </w:tr>
      <w:tr>
        <w:trPr>
          <w:trHeight w:val="409"/>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0000EE"/>
              </w:rPr>
              <w:t>Risk Factors</w:t>
            </w:r>
            <w:r>
              <w:rPr>
                <w:rFonts w:ascii="Times New Roman" w:cs="Times New Roman" w:eastAsia="Times New Roman" w:hAnsi="Times New Roman"/>
                <w:sz w:val="18"/>
                <w:szCs w:val="18"/>
                <w:color w:val="auto"/>
              </w:rPr>
              <w:t>” in this prospectus supplement and beginning on page 11 of the</w:t>
            </w:r>
          </w:p>
        </w:tc>
      </w:tr>
      <w:tr>
        <w:trPr>
          <w:trHeight w:val="20"/>
        </w:trPr>
        <w:tc>
          <w:tcPr>
            <w:tcW w:w="3820" w:type="dxa"/>
            <w:vAlign w:val="bottom"/>
            <w:tcBorders>
              <w:lef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660" w:type="dxa"/>
            <w:vAlign w:val="bottom"/>
            <w:tcBorders>
              <w:right w:val="single" w:sz="8" w:color="auto"/>
            </w:tcBorders>
            <w:gridSpan w:val="2"/>
          </w:tcPr>
          <w:p>
            <w:pPr>
              <w:spacing w:after="0" w:line="20" w:lineRule="exact"/>
              <w:rPr>
                <w:sz w:val="1"/>
                <w:szCs w:val="1"/>
                <w:color w:val="auto"/>
              </w:rPr>
            </w:pPr>
          </w:p>
        </w:tc>
      </w:tr>
      <w:tr>
        <w:trPr>
          <w:trHeight w:val="212"/>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accompanying prospectus for a discussion of risks you should carefully consider before</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deciding to invest in the Notes.</w:t>
            </w:r>
          </w:p>
        </w:tc>
      </w:tr>
      <w:tr>
        <w:trPr>
          <w:trHeight w:val="168"/>
        </w:trPr>
        <w:tc>
          <w:tcPr>
            <w:tcW w:w="3820" w:type="dxa"/>
            <w:vAlign w:val="bottom"/>
            <w:tcBorders>
              <w:left w:val="single" w:sz="8" w:color="auto"/>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40" w:type="dxa"/>
            <w:vAlign w:val="bottom"/>
            <w:tcBorders>
              <w:bottom w:val="single" w:sz="8" w:color="auto"/>
              <w:right w:val="single" w:sz="8" w:color="auto"/>
            </w:tcBorders>
          </w:tcPr>
          <w:p>
            <w:pPr>
              <w:spacing w:after="0"/>
              <w:rPr>
                <w:sz w:val="14"/>
                <w:szCs w:val="14"/>
                <w:color w:val="auto"/>
              </w:rPr>
            </w:pPr>
          </w:p>
        </w:tc>
      </w:tr>
      <w:tr>
        <w:trPr>
          <w:trHeight w:val="351"/>
        </w:trPr>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S-6</w:t>
            </w:r>
          </w:p>
        </w:tc>
        <w:tc>
          <w:tcPr>
            <w:tcW w:w="5440" w:type="dxa"/>
            <w:vAlign w:val="bottom"/>
          </w:tcPr>
          <w:p>
            <w:pPr>
              <w:spacing w:after="0"/>
              <w:rPr>
                <w:sz w:val="24"/>
                <w:szCs w:val="24"/>
                <w:color w:val="auto"/>
              </w:rPr>
            </w:pPr>
          </w:p>
        </w:tc>
      </w:tr>
    </w:tbl>
    <w:p>
      <w:pPr>
        <w:sectPr>
          <w:pgSz w:w="11900" w:h="16838" w:orient="portrait"/>
          <w:cols w:equalWidth="0" w:num="1">
            <w:col w:w="11240"/>
          </w:cols>
          <w:pgMar w:left="320" w:top="44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318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53187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14" w:lineRule="exact"/>
        <w:rPr>
          <w:sz w:val="20"/>
          <w:szCs w:val="20"/>
          <w:color w:val="auto"/>
        </w:rPr>
      </w:pPr>
    </w:p>
    <w:p>
      <w:pPr>
        <w:ind w:left="20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91" w:lineRule="exact"/>
        <w:rPr>
          <w:sz w:val="20"/>
          <w:szCs w:val="20"/>
          <w:color w:val="auto"/>
        </w:rPr>
      </w:pPr>
    </w:p>
    <w:p>
      <w:pPr>
        <w:ind w:left="200" w:right="20"/>
        <w:spacing w:after="0" w:line="277" w:lineRule="auto"/>
        <w:rPr>
          <w:sz w:val="20"/>
          <w:szCs w:val="20"/>
          <w:color w:val="auto"/>
        </w:rPr>
      </w:pPr>
      <w:r>
        <w:rPr>
          <w:rFonts w:ascii="Times New Roman" w:cs="Times New Roman" w:eastAsia="Times New Roman" w:hAnsi="Times New Roman"/>
          <w:sz w:val="16"/>
          <w:szCs w:val="16"/>
          <w:i w:val="1"/>
          <w:iCs w:val="1"/>
          <w:color w:val="auto"/>
        </w:rPr>
        <w:t>In this prospectus supplement and the accompanying prospectus, except where the context suggests otherwise, the terms “Company,” “we,” “our” or “us” refer to PennantPark Floating Rate Capital Ltd. and its wholly owned consolidated subsidiaries; “2026 Notes” refer to our 4.25% Notes due 2026 (which were repaid in full on April 1, 2026); “2036-R Asset-Backed Debt” refers to the issuance by the 2036-R Securitization Issuers of the following classes of notes pursuant to the 2036-R Indenture (i) $203 million of A-1-R Notes, which bear interest at the three-month secured overnight financing rate (“SOFR”) plus 1.75%, (ii) $10.5 million of A-2-R Notes, which bear interest at three-month SOFR plus 1.90%, (iii) $12 million of Class B-R Notes, which bear interest at three-month SOFR plus 2.05%, (iv) $28 million of C-R Notes, which bear interest at three-month SOFR plus 2.75% and (v) $21 million of D-R Notes, which bear interest at three-month SOFR plus 4.30%, (B) the issuance by a 2036-R Securitization Issuer of $64 million of subordinated notes pursuant to the 2036-R Indenture and (C) the borrowing by the 2036-R Securitization Issuer of $12.5 million of Class B-R Loans, which bear interest at three-month SOFR plus 2.05%; “2037 Asset-Backed Debt” refers to (A) the issuance by 2037 Securitization Issuer of the following classes of notes pursuant to the underlying indenture: (i) $220.5 million of AAA(sf) Class A-1 Notes, which bear interest at three-month SOFR plus 1.49%, (ii)</w:t>
      </w:r>
    </w:p>
    <w:p>
      <w:pPr>
        <w:spacing w:after="0" w:line="2" w:lineRule="exact"/>
        <w:rPr>
          <w:sz w:val="20"/>
          <w:szCs w:val="20"/>
          <w:color w:val="auto"/>
        </w:rPr>
      </w:pPr>
    </w:p>
    <w:p>
      <w:pPr>
        <w:ind w:left="200" w:right="240"/>
        <w:spacing w:after="0" w:line="244" w:lineRule="auto"/>
        <w:rPr>
          <w:sz w:val="20"/>
          <w:szCs w:val="20"/>
          <w:color w:val="auto"/>
        </w:rPr>
      </w:pPr>
      <w:r>
        <w:rPr>
          <w:rFonts w:ascii="Times New Roman" w:cs="Times New Roman" w:eastAsia="Times New Roman" w:hAnsi="Times New Roman"/>
          <w:sz w:val="18"/>
          <w:szCs w:val="18"/>
          <w:i w:val="1"/>
          <w:iCs w:val="1"/>
          <w:color w:val="auto"/>
        </w:rPr>
        <w:t>$19.0 million of AAA(sf) Class A-2 Notes, which bear interest at three-month SOFR plus 1.60%, (iii) $28.5 million of AA(sf) Class B Notes, which bear interest at three-month SOFR plus 1.75%, (iv) $38.0 million of A(sf) Class C Notes, which bear interest at three-month SOFR plus 2.20%, (v)</w:t>
      </w:r>
    </w:p>
    <w:p>
      <w:pPr>
        <w:ind w:left="200" w:right="40"/>
        <w:spacing w:after="0" w:line="274" w:lineRule="auto"/>
        <w:rPr>
          <w:sz w:val="20"/>
          <w:szCs w:val="20"/>
          <w:color w:val="auto"/>
        </w:rPr>
      </w:pPr>
      <w:r>
        <w:rPr>
          <w:rFonts w:ascii="Times New Roman" w:cs="Times New Roman" w:eastAsia="Times New Roman" w:hAnsi="Times New Roman"/>
          <w:sz w:val="16"/>
          <w:szCs w:val="16"/>
          <w:i w:val="1"/>
          <w:iCs w:val="1"/>
          <w:color w:val="auto"/>
        </w:rPr>
        <w:t>$28.5 million of BBB-(sf) Class D Notes, which bear interest at three-month SOFR plus 3.60%, and (vi) $85.1 million of subordinated notes (B) the borrowing by the Issuers of $10.0 million under AAA(sf) Class A-1LA floating rate loans and $45.0 million under AAA(sf) Class A-1L-B floating rate loans, which bear interest at three-month SOFR plus 1.49%; “Code” refers to the Internal Revenue Code of 1986, as amended; “2036-R Securitization Issuers” refer to PennantPark CLO I, Ltd., our wholly owned and consolidated subsidiary, and PennantPark CLO I LLC, a wholly owned subsidiary of PennantPark CLO I Ltd.; “Funding I” refers to PennantPark Floating Rate Funding I, LLC; “2037 Securitization Issuer” refers to PennantPark CLO II, LLC, a consolidated Delaware limited liability company. “2038-R Securitization Issuers” refers to PennantPark CLO I, Ltd. (“Securitization Issuer”) and PennantPark CLO VIII LLC; “2038-R Indenture” refers to that certain indenture, dated February 22, 2024, by and among the 2038-R Securitization Issuers and Wilmington Trust, National Association, as amended by the supplemental indenture, dated February 24, 2026; “2038-R Asset-Backed Debt” refers to (A) the issuance by the 2038-R Securitization Issuers of the following classes of notes pursuant the 2038-R Indenture (i) $80 million of A-1-R Loan, which bear interest at the three-month SOFR plus 1.43%, (ii) $123 million of A-1-R Notes, which bear interest at three-month SOFR plus 1.43%,</w:t>
      </w:r>
    </w:p>
    <w:p>
      <w:pPr>
        <w:spacing w:after="0" w:line="5" w:lineRule="exact"/>
        <w:rPr>
          <w:sz w:val="20"/>
          <w:szCs w:val="20"/>
          <w:color w:val="auto"/>
        </w:rPr>
      </w:pPr>
    </w:p>
    <w:p>
      <w:pPr>
        <w:ind w:left="200" w:right="80" w:hanging="9"/>
        <w:spacing w:after="0" w:line="245" w:lineRule="auto"/>
        <w:tabs>
          <w:tab w:leader="none" w:pos="507"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$14 million of Class A-2-R Notes, which bear interest at three-month SOFR plus 1.60%, (iv) $24.5 million of C-R Notes, which bear interest at three-month SOFR plus 2.15% and (v) $19.250 million of D-R Notes, which bear interest at three-month SOFR plus 3.20%, (B) the issuance by a 2038-R Securitization Issuer of $69.450 million of subordinated notes pursuant to the 2038-R Indenture, (C) the borrowing by the Securitization Issuer of $26.250 million of Class B-R Loans, which bear interest at three-month SOFR plus 1.75%. “RIC” refers to a regulated investment company under the Code; “2029 Notes” refers to our</w:t>
      </w:r>
    </w:p>
    <w:p>
      <w:pPr>
        <w:spacing w:after="0" w:line="3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40"/>
          </w:cols>
          <w:pgMar w:left="320" w:top="448"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853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58534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right="160"/>
        <w:spacing w:after="0" w:line="271" w:lineRule="auto"/>
        <w:rPr>
          <w:sz w:val="20"/>
          <w:szCs w:val="20"/>
          <w:color w:val="auto"/>
        </w:rPr>
      </w:pPr>
      <w:r>
        <w:rPr>
          <w:rFonts w:ascii="Times New Roman" w:cs="Times New Roman" w:eastAsia="Times New Roman" w:hAnsi="Times New Roman"/>
          <w:sz w:val="18"/>
          <w:szCs w:val="18"/>
          <w:i w:val="1"/>
          <w:iCs w:val="1"/>
          <w:color w:val="auto"/>
        </w:rPr>
        <w:t>6.75% Notes due 2029; and References to our portfolio, our investments, the Credit Facility, and our business include investments we make through our subsidiaries</w:t>
      </w:r>
      <w:r>
        <w:rPr>
          <w:rFonts w:ascii="Times New Roman" w:cs="Times New Roman" w:eastAsia="Times New Roman" w:hAnsi="Times New Roman"/>
          <w:sz w:val="18"/>
          <w:szCs w:val="18"/>
          <w:color w:val="auto"/>
        </w:rPr>
        <w:t>.</w:t>
      </w: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left="200" w:right="20"/>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principal objectives are to generate both current income and capital appreciation while seeking to preserve capital by investing primarily in Floating Rate Loans and other investments made to U.S. middle-market companies.</w:t>
      </w:r>
    </w:p>
    <w:p>
      <w:pPr>
        <w:spacing w:after="0" w:line="169" w:lineRule="exact"/>
        <w:rPr>
          <w:sz w:val="20"/>
          <w:szCs w:val="20"/>
          <w:color w:val="auto"/>
        </w:rPr>
      </w:pPr>
    </w:p>
    <w:p>
      <w:pPr>
        <w:ind w:left="200"/>
        <w:spacing w:after="0" w:line="247"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$50.0 million and $1.0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8" w:lineRule="exact"/>
        <w:rPr>
          <w:sz w:val="20"/>
          <w:szCs w:val="20"/>
          <w:color w:val="auto"/>
        </w:rPr>
      </w:pPr>
    </w:p>
    <w:p>
      <w:pPr>
        <w:ind w:left="200"/>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carefully constructed portfolio by generally targeting an investment size between $5.0 million and $30.0 million, on average, although we expect that this investment size will vary proportionately with the size of our capital base.</w:t>
      </w:r>
    </w:p>
    <w:p>
      <w:pPr>
        <w:spacing w:after="0" w:line="185" w:lineRule="exact"/>
        <w:rPr>
          <w:sz w:val="20"/>
          <w:szCs w:val="20"/>
          <w:color w:val="auto"/>
        </w:rPr>
      </w:pPr>
    </w:p>
    <w:p>
      <w:pPr>
        <w:ind w:left="200" w:right="140"/>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left="200" w:right="520"/>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ind w:left="200" w:right="140"/>
        <w:spacing w:after="0" w:line="249" w:lineRule="auto"/>
        <w:rPr>
          <w:sz w:val="20"/>
          <w:szCs w:val="20"/>
          <w:color w:val="auto"/>
        </w:rPr>
      </w:pPr>
      <w:r>
        <w:rPr>
          <w:rFonts w:ascii="Times New Roman" w:cs="Times New Roman" w:eastAsia="Times New Roman" w:hAnsi="Times New Roman"/>
          <w:sz w:val="18"/>
          <w:szCs w:val="18"/>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as modified by Section 61, of the 1940 Act governing capital structure and leverage on an aggregate basis with our subsidiaries. Our subsidiaries comply with the provisions of Section 57 of the 1940 Act related to affiliated</w:t>
      </w:r>
    </w:p>
    <w:p>
      <w:pPr>
        <w:spacing w:after="0" w:line="30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20"/>
          </w:cols>
          <w:pgMar w:left="320" w:top="448"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184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51847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right="420"/>
        <w:spacing w:after="0" w:line="256" w:lineRule="auto"/>
        <w:rPr>
          <w:sz w:val="20"/>
          <w:szCs w:val="20"/>
          <w:color w:val="auto"/>
        </w:rPr>
      </w:pPr>
      <w:r>
        <w:rPr>
          <w:rFonts w:ascii="Times New Roman" w:cs="Times New Roman" w:eastAsia="Times New Roman" w:hAnsi="Times New Roman"/>
          <w:sz w:val="18"/>
          <w:szCs w:val="18"/>
          <w:color w:val="auto"/>
        </w:rPr>
        <w:t>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80" w:lineRule="exact"/>
        <w:rPr>
          <w:sz w:val="20"/>
          <w:szCs w:val="20"/>
          <w:color w:val="auto"/>
        </w:rPr>
      </w:pPr>
    </w:p>
    <w:p>
      <w:pPr>
        <w:ind w:left="200" w:right="160"/>
        <w:spacing w:after="0" w:line="250" w:lineRule="auto"/>
        <w:rPr>
          <w:sz w:val="20"/>
          <w:szCs w:val="20"/>
          <w:color w:val="auto"/>
        </w:rPr>
      </w:pPr>
      <w:r>
        <w:rPr>
          <w:rFonts w:ascii="Times New Roman" w:cs="Times New Roman" w:eastAsia="Times New Roman" w:hAnsi="Times New Roman"/>
          <w:sz w:val="18"/>
          <w:szCs w:val="18"/>
          <w:color w:val="auto"/>
        </w:rPr>
        <w:t>We have entered into an investment management agreement, (the “Investment Management Agreement”), with the Investment Adviser, an external adviser that manages our day-to-day operations. We have also entered into an administration agreement (the “Administration Agreement”), with the Administrator, which provides the administrative services necessary for us to operate. In addition to furnishing us with clerical, bookkeeping and record keeping services, the Administrator also oversees our financial records as well as the preparation of our reports to stockholders and reports filed with the SEC under the Administration Agreement.</w:t>
      </w:r>
    </w:p>
    <w:p>
      <w:pPr>
        <w:spacing w:after="0" w:line="185"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78" w:lineRule="exact"/>
        <w:rPr>
          <w:sz w:val="20"/>
          <w:szCs w:val="20"/>
          <w:color w:val="auto"/>
        </w:rPr>
      </w:pPr>
    </w:p>
    <w:p>
      <w:pPr>
        <w:ind w:left="200" w:right="440"/>
        <w:spacing w:after="0" w:line="271" w:lineRule="auto"/>
        <w:rPr>
          <w:sz w:val="20"/>
          <w:szCs w:val="20"/>
          <w:color w:val="auto"/>
        </w:rPr>
      </w:pPr>
      <w:r>
        <w:rPr>
          <w:rFonts w:ascii="Times New Roman" w:cs="Times New Roman" w:eastAsia="Times New Roman" w:hAnsi="Times New Roman"/>
          <w:sz w:val="18"/>
          <w:szCs w:val="18"/>
          <w:color w:val="auto"/>
        </w:rPr>
        <w:t>For a description of our Credit Facility, the 2029 Notes and the Asset-Backed Debt, please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Operations—Liquidity and Capital Resources” </w:t>
      </w:r>
      <w:r>
        <w:rPr>
          <w:rFonts w:ascii="Times New Roman" w:cs="Times New Roman" w:eastAsia="Times New Roman" w:hAnsi="Times New Roman"/>
          <w:sz w:val="18"/>
          <w:szCs w:val="18"/>
          <w:color w:val="auto"/>
        </w:rPr>
        <w:t>in our most recent Quarterly Report on Form 10-Q</w:t>
      </w:r>
      <w:r>
        <w:rPr>
          <w:rFonts w:ascii="Times New Roman" w:cs="Times New Roman" w:eastAsia="Times New Roman" w:hAnsi="Times New Roman"/>
          <w:sz w:val="18"/>
          <w:szCs w:val="18"/>
          <w:i w:val="1"/>
          <w:iCs w:val="1"/>
          <w:color w:val="auto"/>
        </w:rPr>
        <w:t>.</w:t>
      </w: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left="200" w:right="60"/>
        <w:spacing w:after="0" w:line="281" w:lineRule="auto"/>
        <w:rPr>
          <w:sz w:val="20"/>
          <w:szCs w:val="20"/>
          <w:color w:val="auto"/>
        </w:rPr>
      </w:pPr>
      <w:r>
        <w:rPr>
          <w:rFonts w:ascii="Times New Roman" w:cs="Times New Roman" w:eastAsia="Times New Roman" w:hAnsi="Times New Roman"/>
          <w:sz w:val="16"/>
          <w:szCs w:val="16"/>
          <w:color w:val="auto"/>
        </w:rPr>
        <w:t>We utilize the investing experience and contacts of the Investment Adviser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$29.5 billion in 751 companies with more than 250 different financial sponsors through its managed funds, which includes investments by us totaling $9.0 billion in 551 companies.</w:t>
      </w:r>
    </w:p>
    <w:p>
      <w:pPr>
        <w:spacing w:after="0" w:line="167" w:lineRule="exact"/>
        <w:rPr>
          <w:sz w:val="20"/>
          <w:szCs w:val="20"/>
          <w:color w:val="auto"/>
        </w:rPr>
      </w:pPr>
    </w:p>
    <w:p>
      <w:pPr>
        <w:ind w:left="200" w:right="140"/>
        <w:spacing w:after="0" w:line="247" w:lineRule="auto"/>
        <w:rPr>
          <w:sz w:val="20"/>
          <w:szCs w:val="20"/>
          <w:color w:val="auto"/>
        </w:rPr>
      </w:pPr>
      <w:r>
        <w:rPr>
          <w:rFonts w:ascii="Times New Roman" w:cs="Times New Roman" w:eastAsia="Times New Roman" w:hAnsi="Times New Roman"/>
          <w:sz w:val="18"/>
          <w:szCs w:val="18"/>
          <w:color w:val="auto"/>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Times New Roman" w:cs="Times New Roman" w:eastAsia="Times New Roman" w:hAnsi="Times New Roman"/>
          <w:sz w:val="18"/>
          <w:szCs w:val="18"/>
          <w:i w:val="1"/>
          <w:iCs w:val="1"/>
          <w:color w:val="auto"/>
        </w:rPr>
        <w:t>“Risk Factors—Risks Relating to our Business and Structure—There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significant potential conflicts of interest which could impact our investment returns</w:t>
      </w:r>
      <w:r>
        <w:rPr>
          <w:rFonts w:ascii="Times New Roman" w:cs="Times New Roman" w:eastAsia="Times New Roman" w:hAnsi="Times New Roman"/>
          <w:sz w:val="18"/>
          <w:szCs w:val="18"/>
          <w:color w:val="auto"/>
        </w:rPr>
        <w:t>” in our most recent Annual Report on Form 10-K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60"/>
          </w:cols>
          <w:pgMar w:left="320" w:top="448"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1374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3747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1" w:lineRule="exact"/>
        <w:rPr>
          <w:sz w:val="20"/>
          <w:szCs w:val="20"/>
          <w:color w:val="auto"/>
        </w:rPr>
      </w:pPr>
    </w:p>
    <w:p>
      <w:pPr>
        <w:ind w:left="200"/>
        <w:spacing w:after="0" w:line="248"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common stock is quoted on The New York Stock Exchange under the symbol “PFLT.” Our phone number is (786) 297-9500,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00"/>
          </w:cols>
          <w:pgMar w:left="320" w:top="448" w:right="5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free writing prospectus, including any documents we incorporate by reference herein or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us, our industry, our beliefs and our assumptions. These forward-looking statements involve risks and uncertainties, including statements as to:</w:t>
      </w:r>
    </w:p>
    <w:p>
      <w:pPr>
        <w:spacing w:after="0" w:line="93" w:lineRule="exact"/>
        <w:rPr>
          <w:sz w:val="20"/>
          <w:szCs w:val="20"/>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140" w:hanging="442"/>
        <w:spacing w:after="0" w:line="268"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right="600" w:hanging="442"/>
        <w:spacing w:after="0" w:line="332" w:lineRule="auto"/>
        <w:tabs>
          <w:tab w:leader="none" w:pos="10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financings and investments and ability to fund capital commitments to PennantPark Senior Secured Loan Fund I LLC, an unconsolidated joint venture (“PSSL”) and PennantPark Senior Secured Loan Fund II LLC, an unconsolidated joint venture (“PSSL II”);</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this prospectus supplement and the accompanying prospectus, in the documents incorporated by reference, and elsewhere in this prospectus supplement, the accompanying prospectus and any free writing prospectus, including any documents we incorporate by reference herein or therein.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00"/>
          </w:cols>
          <w:pgMar w:left="320" w:top="448"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any documents we incorporate by reference herein or therein, should not be regarded as a representation by us that our plans and objectives will be achieved.</w:t>
      </w:r>
    </w:p>
    <w:p>
      <w:pPr>
        <w:spacing w:after="0" w:line="1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based these forward-looking statements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(the “Securities Act”) and Section 21E(b)(2)(B) of the Exchange Act, the “safe harbor” provisions of the Private Securities Litigation Reform Act of 1995 do not apply to forward-looking statements made in this prospectus supplement, the accompanying prospectus or periodic reports we file under the Exchange Act.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44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and the market value of the Notes may decline, and an investor may lose all or part of your investment.</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12"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therefore will be effectively subordinated to any secured indebtedness we have currently incurred or may incur in the future.</w:t>
      </w:r>
    </w:p>
    <w:p>
      <w:pPr>
        <w:spacing w:after="0" w:line="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 xml:space="preserve">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March 31, 2026, we had approximately $1.7 billion of debt outstanding of which $385 million was unsecured debt of the Company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and $1.3 billion of which was secured indebtedness of our subsidiaries, and which is therefore effectively senior in right of payment to the Notes. On April 1, 2026, we repaid in full the entire outstanding principal amount of the 2026 Notes.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113"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The Notes will be obligations exclusively of PennantPark Floating Rate Capital Ltd. and not of any of our subsidiaries. None of our subsidiaries is or acts as a guarantor of the Notes, and the Notes are not required to be guaranteed by any subsidiaries we may acquire or create in the future. Our secured indebtedness with respect to the Credit Facility is held through Funding I, and our secured indebtedness with respect to the 2036-R Asset-Backed Debt, 2037 Asset-Backed Debt and 2038-R Asset-Backed Debt is held through the 2036-R Securitization Issuer, the 2037 Securitization Issuer and the 2038-R Securitization Issuer, respectively. The assets of any such subsidiaries are not directly available to satisfy the claims of our creditors, including holders of the Notes.</w:t>
      </w:r>
    </w:p>
    <w:p>
      <w:pPr>
        <w:spacing w:after="0" w:line="15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March 31, 2026, our subsidiaries had total indebtedness outstanding of $1.3 billion, all of which was secured indebtedness. All of such indebtedness would be structurally senior to the Notes. In addition, our subsidiaries may incur substantial additional indebtedness in the future, all of which would be structurally senior to the Notes.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Notes will be issued contains limited protection for holders of the Notes.</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1" w:lineRule="exact"/>
        <w:rPr>
          <w:sz w:val="20"/>
          <w:szCs w:val="20"/>
          <w:color w:val="auto"/>
        </w:rPr>
      </w:pPr>
    </w:p>
    <w:p>
      <w:pPr>
        <w:ind w:left="1000" w:right="100" w:hanging="442"/>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44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right="120"/>
        <w:spacing w:after="0" w:line="250" w:lineRule="auto"/>
        <w:rPr>
          <w:sz w:val="20"/>
          <w:szCs w:val="20"/>
          <w:color w:val="auto"/>
        </w:rPr>
      </w:pPr>
      <w:r>
        <w:rPr>
          <w:rFonts w:ascii="Times New Roman" w:cs="Times New Roman" w:eastAsia="Times New Roman" w:hAnsi="Times New Roman"/>
          <w:sz w:val="18"/>
          <w:szCs w:val="18"/>
          <w:color w:val="auto"/>
        </w:rPr>
        <w:t>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obligations that would cause a violation of Section 18(a)(1)(A) of the 1940 Act as modified by Section 61(a)(1) and (2) of the 1940 Act or any successor provisions, as such obligations may be amended or superseded, and giving effect to any exemptive relief granted to us by the SEC;</w:t>
      </w:r>
    </w:p>
    <w:p>
      <w:pPr>
        <w:spacing w:after="0" w:line="93" w:lineRule="exact"/>
        <w:rPr>
          <w:sz w:val="20"/>
          <w:szCs w:val="20"/>
          <w:color w:val="auto"/>
        </w:rPr>
      </w:pPr>
    </w:p>
    <w:p>
      <w:pPr>
        <w:ind w:left="1000" w:right="160" w:hanging="442"/>
        <w:spacing w:after="0" w:line="247"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 including subordinated indebtedness, in each case other than dividends, purchases, redemptions or payments that would cause a violation of Section 18(a)(1)(B) of the 1940 Act as modified by Section 61(a)(1) and (2) and the definitional provisions of the 1940 Act or any successor provisions giving effect to any exemptive relief granted to us by the SEC (these provisions generally prohibit us from declaring any cash dividend or distribution upon any class of our capital stock, or purchasing any such capital stock unless our asset coverage, as defined for purposes of Section 18(a)(1)(B) the 1940 Act, equals at least 150% at the time of the declaration of the dividend or distribution or the purchase and after deducting the amount of such dividend, distribution or purchase), unless the payment of such dividend is necessary to maintain our status as a RIC under Subchapter M of the Code;</w:t>
      </w:r>
    </w:p>
    <w:p>
      <w:pPr>
        <w:spacing w:after="0" w:line="98"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indenture will not require us to offer to purchase the Notes in connection with a change of control or any other event.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80"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7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color w:val="auto"/>
        </w:rPr>
        <w:t>Certain of our current debt instruments include more protections for their respective holders than the indenture and the Notes. See “</w:t>
      </w:r>
      <w:r>
        <w:rPr>
          <w:rFonts w:ascii="Times New Roman" w:cs="Times New Roman" w:eastAsia="Times New Roman" w:hAnsi="Times New Roman"/>
          <w:sz w:val="16"/>
          <w:szCs w:val="16"/>
          <w:i w:val="1"/>
          <w:iCs w:val="1"/>
          <w:color w:val="auto"/>
        </w:rPr>
        <w:t>Risk Factors—Risks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Relating to Our Business and Structure</w:t>
      </w:r>
      <w:r>
        <w:rPr>
          <w:rFonts w:ascii="Times New Roman" w:cs="Times New Roman" w:eastAsia="Times New Roman" w:hAnsi="Times New Roman"/>
          <w:sz w:val="16"/>
          <w:szCs w:val="16"/>
          <w:color w:val="auto"/>
        </w:rPr>
        <w:t>” including “</w:t>
      </w:r>
      <w:r>
        <w:rPr>
          <w:rFonts w:ascii="Times New Roman" w:cs="Times New Roman" w:eastAsia="Times New Roman" w:hAnsi="Times New Roman"/>
          <w:sz w:val="16"/>
          <w:szCs w:val="16"/>
          <w:i w:val="1"/>
          <w:iCs w:val="1"/>
          <w:color w:val="auto"/>
        </w:rPr>
        <w:t>Risk Factors—Risks Relating to Our Business and Structure— We are subject to various covenants under Funding I’s Credit Facility which, if not complied with, could result in reduced availability and/or mandatory prepayments under Funding I’s Credit Facility, our 2026 Notes, our 2036-R Asset-Backed Debt, our 2036 Asset-Backed Debt, and our 2037 Asset-Backed Debt</w:t>
      </w:r>
      <w:r>
        <w:rPr>
          <w:rFonts w:ascii="Times New Roman" w:cs="Times New Roman" w:eastAsia="Times New Roman" w:hAnsi="Times New Roman"/>
          <w:sz w:val="16"/>
          <w:szCs w:val="16"/>
          <w:color w:val="auto"/>
        </w:rPr>
        <w:t>” in our most recent Annual Report on 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10-K for more information. Such risks also apply with respect to our 2038-R Notes. In addition, other debt we issue or incur in the future could contain more protections for its holders than the indenture governing the Notes and the Notes, including additional covenants and events of default. The issuance or incurrence of any such debt with incremental protections could affect the market for and trading levels and prices of the Notes.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44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22" w:lineRule="exact"/>
        <w:rPr>
          <w:sz w:val="20"/>
          <w:szCs w:val="20"/>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debt;</w:t>
      </w:r>
    </w:p>
    <w:p>
      <w:pPr>
        <w:spacing w:after="0" w:line="121" w:lineRule="exact"/>
        <w:rPr>
          <w:rFonts w:ascii="Times New Roman" w:cs="Times New Roman" w:eastAsia="Times New Roman" w:hAnsi="Times New Roman"/>
          <w:sz w:val="18"/>
          <w:szCs w:val="18"/>
          <w:color w:val="auto"/>
        </w:rPr>
      </w:pPr>
    </w:p>
    <w:p>
      <w:pPr>
        <w:ind w:left="1000" w:right="280" w:hanging="442"/>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77" w:lineRule="exact"/>
        <w:rPr>
          <w:rFonts w:ascii="Times New Roman" w:cs="Times New Roman" w:eastAsia="Times New Roman" w:hAnsi="Times New Roman"/>
          <w:sz w:val="18"/>
          <w:szCs w:val="18"/>
          <w:color w:val="auto"/>
        </w:rPr>
      </w:pPr>
    </w:p>
    <w:p>
      <w:pPr>
        <w:ind w:left="1000" w:right="480" w:hanging="442"/>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77"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including borrowings under our financing arrangements; and</w:t>
      </w:r>
    </w:p>
    <w:p>
      <w:pPr>
        <w:spacing w:after="0" w:line="77" w:lineRule="exact"/>
        <w:rPr>
          <w:rFonts w:ascii="Times New Roman" w:cs="Times New Roman" w:eastAsia="Times New Roman" w:hAnsi="Times New Roman"/>
          <w:sz w:val="18"/>
          <w:szCs w:val="18"/>
          <w:color w:val="auto"/>
        </w:rPr>
      </w:pPr>
    </w:p>
    <w:p>
      <w:pPr>
        <w:ind w:left="1000" w:right="500" w:hanging="442"/>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Any of the factors listed above could have an adverse effect on our business, financial condition and results of operations and our ability to meet our payment obligations under the Notes and our other debt.</w:t>
      </w:r>
    </w:p>
    <w:p>
      <w:pPr>
        <w:spacing w:after="0" w:line="16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Notes.</w:t>
      </w:r>
    </w:p>
    <w:p>
      <w:pPr>
        <w:spacing w:after="0" w:line="11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Notes will be redeemable in whole or in part at any time or from time to time on or after June 15, 2028 at our sole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8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There is no active trading market for the Notes and, even if NYSE approves the listing of the Notes, an active trading market for the Notes may not develop, which could limit your ability to sell the Notes and/or the market price of the Notes.</w:t>
      </w:r>
    </w:p>
    <w:p>
      <w:pPr>
        <w:spacing w:after="0" w:line="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Notes will be a new issue of debt securities for which there initially will not be a trading market. We intend to list the Notes on NYSE within 30 days of the issue date of the Notes under the trading symbol “PFLA”. However, there is no assurance that the Notes will be approved for listing on NYSE.</w:t>
      </w:r>
    </w:p>
    <w:p>
      <w:pPr>
        <w:spacing w:after="0" w:line="1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Moreover, even if the listing of the Notes is approved, we cannot provide any assurances that an active trading market will develop or be maintained for the Notes or that you will be able to sell your Notes. If the Notes are traded after their initial issuance, they may trade at a discount from their initial offering price depending on prevailing interest rates, the market for similar securities, our credit ratings, if any, general economic conditions,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44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8"/>
          <w:szCs w:val="18"/>
          <w:color w:val="auto"/>
        </w:rPr>
        <w:t>our financial condition, performance and prospects and other factors. Certain of the underwriters have advised us that they intend to make a market in the Notes, but they are not obligated to do so. Any market-making activity will be subject to limits imposed by law or other relevant factors. Certain of the underwriters may discontinue any market-making in the Notes at any time at their sole discretion.</w:t>
      </w:r>
    </w:p>
    <w:p>
      <w:pPr>
        <w:spacing w:after="0" w:line="18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Accordingly, we cannot assure you that the Notes will be approved for listing on NYSE, that a liquid trading market will develop or be maintained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13" w:lineRule="exact"/>
        <w:rPr>
          <w:sz w:val="20"/>
          <w:szCs w:val="20"/>
          <w:color w:val="auto"/>
        </w:rPr>
      </w:pPr>
    </w:p>
    <w:p>
      <w:pPr>
        <w:jc w:val="both"/>
        <w:ind w:right="420"/>
        <w:spacing w:after="0" w:line="303" w:lineRule="auto"/>
        <w:rPr>
          <w:sz w:val="20"/>
          <w:szCs w:val="20"/>
          <w:color w:val="auto"/>
        </w:rPr>
      </w:pPr>
      <w:r>
        <w:rPr>
          <w:rFonts w:ascii="Times New Roman" w:cs="Times New Roman" w:eastAsia="Times New Roman" w:hAnsi="Times New Roman"/>
          <w:sz w:val="16"/>
          <w:szCs w:val="16"/>
          <w:color w:val="auto"/>
        </w:rPr>
        <w:t>Any default under the agreements governing our indebtedness, including a default under the Credit Facility, the 2029 Notes and the Asset-Backed Debt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Credit Facility, the 2029 Notes, the Asset-Backed Debt or other debt we may incur in the future could elect to terminate their commitments, cease making further loans and institute foreclosure proceedings against our assets, and we could be forced into bankruptcy or liquidation.</w:t>
      </w:r>
    </w:p>
    <w:p>
      <w:pPr>
        <w:spacing w:after="0" w:line="15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relating to the Credit Facility, the 2029 Notes and the Asset-Backed Debt or other debt that we may incur in the future to avoid being in default. If we breach our covenants under the Credit Facility, the 2029 Notes and the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or holders having secured obligations, including the lenders or holders under the Credit Facility, the 2029 Notes and the Asset-Backed Debt, could proceed against the collateral securing such debt. Because the Credit Facility and the Asset-Backed Debt have, and any future debt will likely have, customary cross-default provisions, if the indebtedness thereunder or under any future credit facility is accelerated, we may be unable to repay or finance the amounts due.</w:t>
      </w:r>
    </w:p>
    <w:p>
      <w:pPr>
        <w:spacing w:after="0" w:line="292"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44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320" w:top="448"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20" w:type="dxa"/>
            <w:vAlign w:val="bottom"/>
          </w:tcPr>
          <w:p>
            <w:pPr>
              <w:spacing w:after="0"/>
              <w:rPr>
                <w:sz w:val="17"/>
                <w:szCs w:val="17"/>
                <w:color w:val="auto"/>
              </w:rPr>
            </w:pPr>
          </w:p>
        </w:tc>
      </w:tr>
      <w:tr>
        <w:trPr>
          <w:trHeight w:val="532"/>
        </w:trPr>
        <w:tc>
          <w:tcPr>
            <w:tcW w:w="1320" w:type="dxa"/>
            <w:vAlign w:val="bottom"/>
            <w:tcBorders>
              <w:top w:val="single" w:sz="8" w:color="0000EE"/>
            </w:tcBorders>
          </w:tcPr>
          <w:p>
            <w:pPr>
              <w:spacing w:after="0"/>
              <w:rPr>
                <w:sz w:val="24"/>
                <w:szCs w:val="24"/>
                <w:color w:val="auto"/>
              </w:rPr>
            </w:pPr>
          </w:p>
        </w:tc>
        <w:tc>
          <w:tcPr>
            <w:tcW w:w="75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320" w:type="dxa"/>
            <w:vAlign w:val="bottom"/>
          </w:tcPr>
          <w:p>
            <w:pPr>
              <w:spacing w:after="0"/>
              <w:rPr>
                <w:sz w:val="24"/>
                <w:szCs w:val="24"/>
                <w:color w:val="auto"/>
              </w:rPr>
            </w:pPr>
          </w:p>
        </w:tc>
      </w:tr>
      <w:tr>
        <w:trPr>
          <w:trHeight w:val="403"/>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We estimate that the net proceeds we will receive from this offering will be approximately $      million (or approximately $ </w:t>
            </w:r>
          </w:p>
        </w:tc>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million if the underwriters</w:t>
            </w:r>
          </w:p>
        </w:tc>
      </w:tr>
      <w:tr>
        <w:trPr>
          <w:trHeight w:val="228"/>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 xml:space="preserve">exercise their over-allotment option in full) after deducting the underwriting discounts and commissions of approximately $ </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         million payable by us (or</w:t>
            </w:r>
          </w:p>
        </w:tc>
      </w:tr>
    </w:tbl>
    <w:p>
      <w:pPr>
        <w:ind w:right="24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approximately $    million if the underwriters exercise their over-allotment option in full) and estimated offering expenses of approximately $    million payable by us. Such estimate is subject to change and no assurances can be given that actual expenses will not exceed such amount.</w:t>
      </w:r>
    </w:p>
    <w:p>
      <w:pPr>
        <w:spacing w:after="0" w:line="18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expect to use the net proceeds from this offering to repay our outstanding obligations under the Credit Facility, to invest in new or existing portfolio companies and for general corporate or strategic purposes. Affiliates of certain of the underwriters serve as lenders under our Credit Facility. Accordingly, affiliates of certain of the underwriters are expected to receive proceeds from this offering that are used to reduce our outstanding obligations under our Credit Facility.</w:t>
      </w:r>
    </w:p>
    <w:p>
      <w:pPr>
        <w:spacing w:after="0" w:line="18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As of March 31, 2026, the Credit Facility had commitments of $768.0 million and an interest rate spread above SOFR (or an alternative risk-free floating interest rate index) of 200 basis points, a maturity date of August 2030 and a revolving period that ends in August 2028. As of March 31, 2026, Funding I had $328.4 million of outstanding borrowings under the Credit Facility. The Credit Facility had a weighted average interest rate of 5.7%, exclusive of the fee on undrawn commitments as of March 31, 2026. As of March 31, 2026, Funding I had $439.7 million of unused borrowing capacity under the Credit Facility, subject to leverage and borrowing base restrictions. The Credit Facility is subject to satisfaction of certain conditions and the regulatory restrictions that the 1940 Act imposes on us as a BDC.</w:t>
      </w:r>
    </w:p>
    <w:p>
      <w:pPr>
        <w:spacing w:after="0" w:line="18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our most recent Quarterly Report on Form 10-Q for more information.</w:t>
      </w:r>
    </w:p>
    <w:p>
      <w:pPr>
        <w:spacing w:after="0" w:line="16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may invest the net proceeds from this offering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Times New Roman" w:cs="Times New Roman" w:eastAsia="Times New Roman" w:hAnsi="Times New Roman"/>
          <w:sz w:val="18"/>
          <w:szCs w:val="18"/>
          <w:i w:val="1"/>
          <w:iCs w:val="1"/>
          <w:color w:val="auto"/>
        </w:rPr>
        <w:t>Business—Regulation —Temporary Investments</w:t>
      </w:r>
      <w:r>
        <w:rPr>
          <w:rFonts w:ascii="Times New Roman" w:cs="Times New Roman" w:eastAsia="Times New Roman" w:hAnsi="Times New Roman"/>
          <w:sz w:val="18"/>
          <w:szCs w:val="18"/>
          <w:color w:val="auto"/>
        </w:rPr>
        <w:t>” in our most recently filed Annual Report on Form 10- K for more information.</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00"/>
          </w:cols>
          <w:pgMar w:left="320" w:top="433"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following table sets forth our actual consolidated capitalization as of March 31, 2026 and our consolidated capitalization as of March 31, 2026, as adjusted to reflect the sale of $        million of aggregate principal amount of Notes in this offering after deducting the underwriting discounts and commissions of $        million payable by us and estimated offering expenses of approximately $        million payable by us and application of the net proceeds as discussed in more detail under “Use of Proceeds” in this prospectus supplement (assuming no exercise of the underwriters’ over-allotment option).</w:t>
      </w:r>
    </w:p>
    <w:p>
      <w:pPr>
        <w:spacing w:after="0" w:line="15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You should read this table together with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set forth in this prospectus supplement for more information. You should also read this table in conjunction with our Consolidated Financial Statements and related notes thereto and the information under the caption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included in our most recent Annual Report on Form 10-K and most recent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18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69"/>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0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right"/>
              <w:ind w:right="820"/>
              <w:spacing w:after="0" w:line="138" w:lineRule="exact"/>
              <w:rPr>
                <w:sz w:val="20"/>
                <w:szCs w:val="20"/>
                <w:color w:val="auto"/>
              </w:rPr>
            </w:pPr>
            <w:r>
              <w:rPr>
                <w:rFonts w:ascii="Times New Roman" w:cs="Times New Roman" w:eastAsia="Times New Roman" w:hAnsi="Times New Roman"/>
                <w:sz w:val="14"/>
                <w:szCs w:val="14"/>
                <w:b w:val="1"/>
                <w:bCs w:val="1"/>
                <w:color w:val="auto"/>
              </w:rPr>
              <w:t>Actual</w:t>
            </w:r>
          </w:p>
        </w:tc>
        <w:tc>
          <w:tcPr>
            <w:tcW w:w="700" w:type="dxa"/>
            <w:vAlign w:val="bottom"/>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6"/>
              </w:rPr>
              <w:t>As adjusted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Cash (cost—$90,446)</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90,444</w:t>
            </w:r>
          </w:p>
        </w:tc>
        <w:tc>
          <w:tcPr>
            <w:tcW w:w="6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(cost—$31,427)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payable, at fair value (cost—$328,355)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328,333</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2026 Notes payable, net (par—$185,000) (unamortized deferred financing cost of</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shd w:val="clear" w:color="auto" w:fill="CCEEFF"/>
          </w:tcPr>
          <w:p>
            <w:pPr>
              <w:ind w:left="140"/>
              <w:spacing w:after="0" w:line="228"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6"/>
                <w:szCs w:val="26"/>
                <w:color w:val="auto"/>
                <w:vertAlign w:val="superscript"/>
              </w:rPr>
              <w:t>(1)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184,998</w:t>
            </w: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2029 Notes payable, net (par—$200,000) (unamortized deferred financing cost of</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195,868</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2036-R Asset-Backed Debt, net (par—$287,000) (unamortized deferred financing</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$415)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286,585</w:t>
            </w: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2037 Asset-Backed Debt, net (par—$389,500) (unamortized deferred financing</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$2,355)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387,145</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2038-R Asset-Backed Debt, net (par—$287,000) (unamortized deferred financing</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$2,230)</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284,770</w:t>
            </w: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Notes offered hereby (par—$0 and $   ) (unamortized deferred financing cost of</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 and $   )</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99,217,896 shares issued and outstanding Par value $0.001 per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and 200,000,000 shares authorized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 in excess of par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1,219,502</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(180,944)</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1,038,657</w:t>
            </w: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854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On April 1, 2026, we repaid in full the entire outstanding principal amount of the 2026 Notes.</w:t>
      </w:r>
    </w:p>
    <w:p>
      <w:pPr>
        <w:spacing w:after="0" w:line="1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80"/>
          </w:cols>
          <w:pgMar w:left="320" w:top="448"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description of the particular terms of the Notes supplements and, to the extent inconsistent with, replaces the description of the general terms and provisions of the debt securities set forth in the accompanying prospectus. We will issue the Notes under the base indenture between us and the Trustee, dated as of March 23, 2021, as supplemented by the third supplemental indenture between us and the Trustee, to be dated as of the settlement date for the Notes (together, the “indenture”). The terms of the Notes include those expressly set forth in the indenture and those made part of the indenture by reference to the Trust Indenture Act of 1939, as amended.</w:t>
      </w:r>
    </w:p>
    <w:p>
      <w:pPr>
        <w:spacing w:after="0" w:line="18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7"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i w:val="1"/>
          <w:iCs w:val="1"/>
          <w:color w:val="auto"/>
        </w:rPr>
        <w:t>For purposes of this description, references to the “Company,” “we,” “our” or “us” refer only to PennantPark Floating Rate Capital Ltd.,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w:t>
      </w:r>
    </w:p>
    <w:p>
      <w:pPr>
        <w:spacing w:after="0" w:line="122" w:lineRule="exact"/>
        <w:rPr>
          <w:sz w:val="20"/>
          <w:szCs w:val="20"/>
          <w:color w:val="auto"/>
        </w:rPr>
      </w:pPr>
    </w:p>
    <w:p>
      <w:pPr>
        <w:ind w:left="1000" w:hanging="44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direct, general unsecured, senior obligations;</w:t>
      </w:r>
    </w:p>
    <w:p>
      <w:pPr>
        <w:sectPr>
          <w:pgSz w:w="11900" w:h="16838" w:orient="portrait"/>
          <w:cols w:equalWidth="0" w:num="1">
            <w:col w:w="11240"/>
          </w:cols>
          <w:pgMar w:left="320" w:top="448" w:right="339" w:bottom="1440" w:gutter="0" w:footer="0" w:header="0"/>
        </w:sectPr>
      </w:pP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will initially be issued in an aggregate principal amount of $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million (or $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if the underwriters’ option to purchase Notes</w:t>
      </w:r>
    </w:p>
    <w:p>
      <w:pPr>
        <w:spacing w:after="0" w:line="43" w:lineRule="exact"/>
        <w:rPr>
          <w:sz w:val="20"/>
          <w:szCs w:val="20"/>
          <w:color w:val="auto"/>
        </w:rPr>
      </w:pPr>
    </w:p>
    <w:p>
      <w:pPr>
        <w:sectPr>
          <w:pgSz w:w="11900" w:h="16838" w:orient="portrait"/>
          <w:cols w:equalWidth="0" w:num="9">
            <w:col w:w="620" w:space="380"/>
            <w:col w:w="4260" w:space="140"/>
            <w:col w:w="40" w:space="140"/>
            <w:col w:w="40" w:space="120"/>
            <w:col w:w="40" w:space="140"/>
            <w:col w:w="940" w:space="120"/>
            <w:col w:w="220" w:space="140"/>
            <w:col w:w="40" w:space="120"/>
            <w:col w:w="3740"/>
          </w:cols>
          <w:pgMar w:left="320" w:top="448"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6"/>
          <w:szCs w:val="16"/>
          <w:color w:val="auto"/>
        </w:rPr>
        <w:t>to cover over-allotments, if any, is exercised in full);</w:t>
      </w:r>
    </w:p>
    <w:p>
      <w:pPr>
        <w:sectPr>
          <w:pgSz w:w="11900" w:h="16838" w:orient="portrait"/>
          <w:cols w:equalWidth="0" w:num="1">
            <w:col w:w="11240"/>
          </w:cols>
          <w:pgMar w:left="320" w:top="448" w:right="339" w:bottom="1440" w:gutter="0" w:footer="0" w:header="0"/>
          <w:type w:val="continuous"/>
        </w:sectPr>
      </w:pPr>
    </w:p>
    <w:p>
      <w:pPr>
        <w:spacing w:after="0" w:line="127" w:lineRule="exact"/>
        <w:rPr>
          <w:sz w:val="20"/>
          <w:szCs w:val="20"/>
          <w:color w:val="auto"/>
        </w:rPr>
      </w:pPr>
    </w:p>
    <w:p>
      <w:pPr>
        <w:ind w:left="1000" w:hanging="442"/>
        <w:spacing w:after="0"/>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mature on June 15, 2031, unless earlier redeemed or repurchased, as discussed below;</w:t>
      </w:r>
    </w:p>
    <w:p>
      <w:pPr>
        <w:sectPr>
          <w:pgSz w:w="11900" w:h="16838" w:orient="portrait"/>
          <w:cols w:equalWidth="0" w:num="1">
            <w:col w:w="11240"/>
          </w:cols>
          <w:pgMar w:left="320" w:top="448" w:right="339" w:bottom="1440" w:gutter="0" w:footer="0" w:header="0"/>
          <w:type w:val="continuous"/>
        </w:sectPr>
      </w:pP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780"/>
        <w:spacing w:after="0" w:line="332" w:lineRule="auto"/>
        <w:rPr>
          <w:sz w:val="20"/>
          <w:szCs w:val="20"/>
          <w:color w:val="auto"/>
        </w:rPr>
      </w:pPr>
      <w:r>
        <w:rPr>
          <w:rFonts w:ascii="Times New Roman" w:cs="Times New Roman" w:eastAsia="Times New Roman" w:hAnsi="Times New Roman"/>
          <w:sz w:val="16"/>
          <w:szCs w:val="16"/>
          <w:color w:val="auto"/>
        </w:rPr>
        <w:t>will bear interest at an annual rate of       % and be paid every March 15, June 15, September 15 and December 15, commencing on September 15, 2026, and the regular record dates for interest payments are every March 1, June 1, September 1 and December 1;</w:t>
      </w:r>
    </w:p>
    <w:p>
      <w:pPr>
        <w:spacing w:after="0" w:line="28" w:lineRule="exact"/>
        <w:rPr>
          <w:sz w:val="20"/>
          <w:szCs w:val="20"/>
          <w:color w:val="auto"/>
        </w:rPr>
      </w:pPr>
    </w:p>
    <w:p>
      <w:pPr>
        <w:sectPr>
          <w:pgSz w:w="11900" w:h="16838" w:orient="portrait"/>
          <w:cols w:equalWidth="0" w:num="2">
            <w:col w:w="620" w:space="380"/>
            <w:col w:w="10240"/>
          </w:cols>
          <w:pgMar w:left="320" w:top="448" w:right="339" w:bottom="1440" w:gutter="0" w:footer="0" w:header="0"/>
          <w:type w:val="continuous"/>
        </w:sectPr>
      </w:pPr>
    </w:p>
    <w:p>
      <w:pPr>
        <w:ind w:left="1000" w:hanging="442"/>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our option as described under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be subject to any sinking fund and holders of the Notes do not have the option to have the Notes repaid prior to the stated maturity date;</w:t>
      </w:r>
    </w:p>
    <w:p>
      <w:pPr>
        <w:spacing w:after="0" w:line="144"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$25 and integral multiples of $25 in excess thereof; and</w:t>
      </w:r>
    </w:p>
    <w:p>
      <w:pPr>
        <w:spacing w:after="0" w:line="121"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w:t>
      </w:r>
      <w:r>
        <w:rPr>
          <w:rFonts w:ascii="Times New Roman" w:cs="Times New Roman" w:eastAsia="Times New Roman" w:hAnsi="Times New Roman"/>
          <w:sz w:val="18"/>
          <w:szCs w:val="18"/>
          <w:i w:val="1"/>
          <w:iCs w:val="1"/>
          <w:color w:val="auto"/>
        </w:rPr>
        <w:t>—Book-Entry, Settlement and Clearance</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its other securities. Other than restrictions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Consolidation or Sale of Assets</w:t>
      </w:r>
      <w:r>
        <w:rPr>
          <w:rFonts w:ascii="Times New Roman" w:cs="Times New Roman" w:eastAsia="Times New Roman" w:hAnsi="Times New Roman"/>
          <w:sz w:val="18"/>
          <w:szCs w:val="18"/>
          <w:color w:val="auto"/>
        </w:rPr>
        <w:t>” in this prospectus supplement, the indenture does not contain any covenants or other provisions designed to afford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 We may, without the consent of the holders, issue additional Notes under the indenture with the same terms (except that the issue date, public offering price and initial payment date may be different);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44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Notes must be part of the same issue as the Notes offered hereby for U.S. federal income tax purposes if represented by the same CUSIP number as the Notes offered hereby and would have to be issued in compliance with the covenants set forth in the indenture.</w:t>
      </w:r>
    </w:p>
    <w:p>
      <w:pPr>
        <w:spacing w:after="0" w:line="169"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color w:val="auto"/>
        </w:rPr>
        <w:t>We intend to list the Notes on NYSE and we expect trading to commence thereon within 30 days of the issue date of the Notes under the trading symbol “PFLA”. The Notes are expected to trade “flat.” This means that purchasers will not pay, and sellers will not receive, any accrued and unpaid interest on the Notes that is not included in the trading price. Currently, there is no public market for the Notes and there can be no assurance that one will develop.</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1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will be the Trustee, in such coin or currency of the U.S. as at the time of payment is legal tender for payment of public and private debts;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notes that are not in global form, at our option, payment of interest may be made by check mailed to the address of the person entitled thereto as such address will appear in the security register.</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transferor will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 of the Notes will be treated as its owner for all purposes.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1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Notes will bear cash interest at a rate of         % per year until maturity. Interest on the Notes will accrue from   , 2026 or from the most recent date on which interest has been paid or duly provided for. Interest will be payable quarterly in arrears every March 15, June 15, September 15 and December 15, commencing on September 15, 2026.</w:t>
      </w:r>
    </w:p>
    <w:p>
      <w:pPr>
        <w:spacing w:after="0" w:line="18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Interest will be paid to the person in whose name a Note is registered at 5:00 p.m. New York City time (the “close of business”) on March 1, June 1, September 1 and December 1, as the case may be, immediately preceding the relevant interest payment date. Interest on the Notes will be computed on the basis of a 360-day year composed of twelve 30-day months.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any interest payment date, redemption date or the maturity date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The City of New York or the city in which the corporate trust office of the Trustee is located are authorized or obligated by law or executive order to close.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00"/>
          </w:cols>
          <w:pgMar w:left="320" w:top="44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the Company’s direct, general unsecured obligations and will rank:</w:t>
      </w:r>
    </w:p>
    <w:p>
      <w:pPr>
        <w:spacing w:after="0" w:line="120" w:lineRule="exact"/>
        <w:rPr>
          <w:sz w:val="20"/>
          <w:szCs w:val="20"/>
          <w:color w:val="auto"/>
        </w:rPr>
      </w:pPr>
    </w:p>
    <w:p>
      <w:pPr>
        <w:ind w:left="1000" w:right="340" w:hanging="442"/>
        <w:spacing w:after="0" w:line="27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existing and future unsecured unsubordinated indebtedness, including approximately $200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outstanding under our 2029 Notes as of March 31, 2026;</w:t>
      </w:r>
    </w:p>
    <w:p>
      <w:pPr>
        <w:spacing w:after="0" w:line="74"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of our future indebtedness that expressly states it is subordinated in right of payment to the Notes;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series of preferred stock that we may issue in the future;</w:t>
      </w:r>
    </w:p>
    <w:p>
      <w:pPr>
        <w:spacing w:after="0" w:line="121" w:lineRule="exact"/>
        <w:rPr>
          <w:rFonts w:ascii="Times New Roman" w:cs="Times New Roman" w:eastAsia="Times New Roman" w:hAnsi="Times New Roman"/>
          <w:sz w:val="18"/>
          <w:szCs w:val="18"/>
          <w:color w:val="auto"/>
        </w:rPr>
      </w:pPr>
    </w:p>
    <w:p>
      <w:pPr>
        <w:ind w:left="1000" w:right="640" w:hanging="442"/>
        <w:spacing w:after="0" w:line="332"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and</w:t>
      </w:r>
    </w:p>
    <w:p>
      <w:pPr>
        <w:spacing w:after="0" w:line="30" w:lineRule="exact"/>
        <w:rPr>
          <w:rFonts w:ascii="Times New Roman" w:cs="Times New Roman" w:eastAsia="Times New Roman" w:hAnsi="Times New Roman"/>
          <w:sz w:val="16"/>
          <w:szCs w:val="16"/>
          <w:color w:val="auto"/>
        </w:rPr>
      </w:pPr>
    </w:p>
    <w:p>
      <w:pPr>
        <w:ind w:left="1000" w:hanging="442"/>
        <w:spacing w:after="0" w:line="25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obligations of any of our subsidiaries, financing vehicles or similar facilities, including as of March 31, 2026 without limitation, approximately (i) $328.4 million of borrowings outstanding under the Credit Facility to the extent of the value of the assets securing our Credit Facility and (ii) $287.0 million of our 2036-R Asset-Backed Debt, $389.5 million of our 2037 Asset-Backed Debt and $287.0 million of our 2038-R Asset-Backed Debt as of March 31, 2026.</w:t>
      </w:r>
    </w:p>
    <w:p>
      <w:pPr>
        <w:spacing w:after="0" w:line="18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As of March 31, 2026, we had approximately $1.7 billion of debt outstanding, of which $385 million was unsecured and unsubordinated indebtedness and $1.3 billion was secured indebtedness.</w:t>
      </w:r>
    </w:p>
    <w:p>
      <w:pPr>
        <w:spacing w:after="0" w:line="16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Notes may be redeemed in whole or in part at any time or from time to time at our option on or after June 15, 2028 upon not less than 30 days nor more than 60 days’ written notice prior to the date fixed for redemption thereof, at a redemption price of 100% of the outstanding principal amount of the Notes to be redeemed plus accrued and unpaid interest payments otherwise payable thereon for the then-current quarterly interest period accrued to, but excluding, the date fixed for redemption.</w:t>
      </w:r>
    </w:p>
    <w:p>
      <w:pPr>
        <w:spacing w:after="0" w:line="18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 Any exercise of our option to redeem the Notes will be done in compliance with the 1940 Act, to the extent applicable.</w:t>
      </w:r>
    </w:p>
    <w:p>
      <w:pPr>
        <w:spacing w:after="0" w:line="18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If we redeem only some of the Notes, the Trustee or, with respect to global securities, DTC, The City of New York, will determine the method for selection of the particular Notes to be redeemed, in accordance with the Indenture and the 1940 Act, to the extent applicable,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obligation to calculate or verify the calculation of the applicable redemption price.</w:t>
      </w:r>
    </w:p>
    <w:p>
      <w:pPr>
        <w:spacing w:after="0" w:line="1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44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1"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In addition to standard covenants relating to payment of principal and interest, maintaining an office where payments may be made or securities can be surrendered for payment and related matters, the following covenants will apply to the Notes.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 Maintenance</w:t>
      </w:r>
    </w:p>
    <w:p>
      <w:pPr>
        <w:spacing w:after="0" w:line="113" w:lineRule="exact"/>
        <w:rPr>
          <w:sz w:val="20"/>
          <w:szCs w:val="20"/>
          <w:color w:val="auto"/>
        </w:rPr>
      </w:pPr>
    </w:p>
    <w:p>
      <w:pPr>
        <w:jc w:val="both"/>
        <w:ind w:right="520"/>
        <w:spacing w:after="0" w:line="256" w:lineRule="auto"/>
        <w:rPr>
          <w:sz w:val="20"/>
          <w:szCs w:val="20"/>
          <w:color w:val="auto"/>
        </w:rPr>
      </w:pPr>
      <w:r>
        <w:rPr>
          <w:rFonts w:ascii="Times New Roman" w:cs="Times New Roman" w:eastAsia="Times New Roman" w:hAnsi="Times New Roman"/>
          <w:sz w:val="18"/>
          <w:szCs w:val="18"/>
          <w:color w:val="auto"/>
        </w:rPr>
        <w:t>The Company agreed to use commercially reasonable efforts to maintain a credit rating on the Notes by a rating organization designated as a “nationally recognized statistical rating organization” within the meaning of Section 3(a)(62) of the Exchange Act, whose status has been confirmed by an NRSRO, provided that no minimum rating will be required.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1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the Company), or sell, transfer, lease, convey or otherwise dispose of all or substantially all our property (provided that, for the avoidance of doubt, a pledge of assets pursuant to any secured debt instrument of the Company or its subsidiaries will not be deemed to be any such sale, transfer, lease, conveyance or disposition; and provided further that this covenant will not apply to any sale, transfer, lease, conveyance, or other disposition of all or substantially all of our property to a wholly owned subsidiary of the Company) in any one transaction or series of related transactions unless:</w:t>
      </w:r>
    </w:p>
    <w:p>
      <w:pPr>
        <w:spacing w:after="0" w:line="93" w:lineRule="exact"/>
        <w:rPr>
          <w:sz w:val="20"/>
          <w:szCs w:val="20"/>
          <w:color w:val="auto"/>
        </w:rPr>
      </w:pPr>
    </w:p>
    <w:p>
      <w:pPr>
        <w:ind w:left="1000" w:right="140" w:hanging="442"/>
        <w:spacing w:after="0" w:line="25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person (the “Surviving Person”) or the Surviving Person (if other than the Company) formed by such merger or consolidation or to which such sale, transfer, lease, conveyance or disposition is made will be a corporation or limited liability company or trust organized and existing under the laws of the U.S. or any state or territory thereof or the District of Columbia;</w:t>
      </w:r>
    </w:p>
    <w:p>
      <w:pPr>
        <w:spacing w:after="0" w:line="87" w:lineRule="exact"/>
        <w:rPr>
          <w:rFonts w:ascii="Times New Roman" w:cs="Times New Roman" w:eastAsia="Times New Roman" w:hAnsi="Times New Roman"/>
          <w:sz w:val="18"/>
          <w:szCs w:val="18"/>
          <w:color w:val="auto"/>
        </w:rPr>
      </w:pPr>
    </w:p>
    <w:p>
      <w:pPr>
        <w:ind w:left="1000" w:right="120" w:hanging="442"/>
        <w:spacing w:after="0" w:line="25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1" w:lineRule="exact"/>
        <w:rPr>
          <w:rFonts w:ascii="Times New Roman" w:cs="Times New Roman" w:eastAsia="Times New Roman" w:hAnsi="Times New Roman"/>
          <w:sz w:val="18"/>
          <w:szCs w:val="18"/>
          <w:color w:val="auto"/>
        </w:rPr>
      </w:pPr>
    </w:p>
    <w:p>
      <w:pPr>
        <w:ind w:left="1000" w:right="32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will have occurred and be continuing; and</w:t>
      </w:r>
    </w:p>
    <w:p>
      <w:pPr>
        <w:spacing w:after="0" w:line="77" w:lineRule="exact"/>
        <w:rPr>
          <w:rFonts w:ascii="Times New Roman" w:cs="Times New Roman" w:eastAsia="Times New Roman" w:hAnsi="Times New Roman"/>
          <w:sz w:val="18"/>
          <w:szCs w:val="18"/>
          <w:color w:val="auto"/>
        </w:rPr>
      </w:pPr>
    </w:p>
    <w:p>
      <w:pPr>
        <w:ind w:left="1000" w:right="200" w:hanging="442"/>
        <w:spacing w:after="0" w:line="25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will be deemed to be the transfer of all or substantially all of our property.</w:t>
      </w:r>
    </w:p>
    <w:p>
      <w:pPr>
        <w:spacing w:after="0" w:line="180"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beneficial owners thereof, potentially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44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26" w:lineRule="exact"/>
        <w:rPr>
          <w:sz w:val="20"/>
          <w:szCs w:val="20"/>
          <w:color w:val="auto"/>
        </w:rPr>
      </w:pPr>
    </w:p>
    <w:p>
      <w:pPr>
        <w:jc w:val="both"/>
        <w:ind w:left="1000" w:right="140" w:hanging="442"/>
        <w:spacing w:after="0" w:line="25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the Company is subject thereto, Section 18(a)(1)(A) as modified by Section 61(a)(1) and (2) of the 1940 Act or any successor provisions, but giving effect, in either case, to any exemptive relief granted to the Company by the SEC.</w:t>
      </w:r>
    </w:p>
    <w:p>
      <w:pPr>
        <w:spacing w:after="0" w:line="87" w:lineRule="exact"/>
        <w:rPr>
          <w:rFonts w:ascii="Times New Roman" w:cs="Times New Roman" w:eastAsia="Times New Roman" w:hAnsi="Times New Roman"/>
          <w:sz w:val="18"/>
          <w:szCs w:val="18"/>
          <w:color w:val="auto"/>
        </w:rPr>
      </w:pPr>
    </w:p>
    <w:p>
      <w:pPr>
        <w:ind w:left="1000" w:hanging="442"/>
        <w:spacing w:after="0" w:line="247"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Notes are outstanding, we will not declare any dividend (except a dividend payable in our stock), or declare any other distribution, upon a class of our capital stock, or purchase any such capital stock, unless, in every such case, at the time of the declaration of any such dividend or distribution, or at the time of any such purchase, we have an asset coverage, as defined in the 1940 Act, of at least the threshold specified under Section 18(a)(1)(B) as modified by Section 61(a)(2) of the 1940 Act or any successor provisions thereto of the 1940 Act, after deducting the amount of such dividend, distribution or purchase price, as the case may be, and in each case giving effect to any no-action relief granted by the SEC to another BDC and upon which we may reasonably rely (or to us if we determine to seek such similar no-action or other relief) permitting the BDC to declare any cash dividend or distribution notwithstanding the prohibition contained in Section 18(a)(1)(B) as modified by Section 61(a)(2) of the 1940 Act, in order to maintain such BDC’s status as a RIC under Subchapter M of the Code.</w:t>
      </w:r>
    </w:p>
    <w:p>
      <w:pPr>
        <w:spacing w:after="0" w:line="96" w:lineRule="exact"/>
        <w:rPr>
          <w:rFonts w:ascii="Times New Roman" w:cs="Times New Roman" w:eastAsia="Times New Roman" w:hAnsi="Times New Roman"/>
          <w:sz w:val="18"/>
          <w:szCs w:val="18"/>
          <w:color w:val="auto"/>
        </w:rPr>
      </w:pPr>
    </w:p>
    <w:p>
      <w:pPr>
        <w:ind w:left="1000" w:right="80" w:hanging="442"/>
        <w:spacing w:after="0" w:line="250"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publish on our website and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Notes issued thereunder.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there are changes that we cannot make to your Notes without your specific approval. The following is a list of those types of changes:</w:t>
      </w:r>
    </w:p>
    <w:p>
      <w:pPr>
        <w:spacing w:after="0" w:line="122" w:lineRule="exact"/>
        <w:rPr>
          <w:sz w:val="20"/>
          <w:szCs w:val="20"/>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the Notes;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the Notes;</w:t>
      </w:r>
    </w:p>
    <w:p>
      <w:pPr>
        <w:spacing w:after="0" w:line="121" w:lineRule="exact"/>
        <w:rPr>
          <w:rFonts w:ascii="Times New Roman" w:cs="Times New Roman" w:eastAsia="Times New Roman" w:hAnsi="Times New Roman"/>
          <w:sz w:val="18"/>
          <w:szCs w:val="18"/>
          <w:color w:val="auto"/>
        </w:rPr>
      </w:pPr>
    </w:p>
    <w:p>
      <w:pPr>
        <w:ind w:left="1000" w:right="20" w:hanging="442"/>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the Notes following a default, other than any redemption of the Notes by us in whole or in part pursuant to the indenture;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accompanying prospectus or this prospectus supplement) or currency of payment on the Notes;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Notes;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44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hanging="44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the Notes whose consent is needed to modify or amend the indenture;</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the Notes whose consent is needed to waive compliance with certain provisions of the indenture or to waive certain defaults;</w:t>
      </w:r>
    </w:p>
    <w:p>
      <w:pPr>
        <w:spacing w:after="0" w:line="77"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Notes would require the following approval:</w:t>
      </w:r>
    </w:p>
    <w:p>
      <w:pPr>
        <w:spacing w:after="0" w:line="122" w:lineRule="exact"/>
        <w:rPr>
          <w:sz w:val="20"/>
          <w:szCs w:val="20"/>
          <w:color w:val="auto"/>
        </w:rPr>
      </w:pPr>
    </w:p>
    <w:p>
      <w:pPr>
        <w:ind w:left="1000" w:hanging="442"/>
        <w:spacing w:after="0" w:line="26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the Notes issued under the indenture, it must be approved by the holders of a majority in principal amount of the Notes of such series.</w:t>
      </w:r>
    </w:p>
    <w:p>
      <w:pPr>
        <w:spacing w:after="0" w:line="77"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the Notes issued under the indenture, it must be approved by the holders of a majority in aggregate principal amount of all of the Notes affected by the change, with all affected series voting together as one class for this purpose.</w:t>
      </w:r>
    </w:p>
    <w:p>
      <w:pPr>
        <w:spacing w:after="0" w:line="1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w:t>
      </w:r>
      <w:r>
        <w:rPr>
          <w:rFonts w:ascii="Times New Roman" w:cs="Times New Roman" w:eastAsia="Times New Roman" w:hAnsi="Times New Roman"/>
          <w:sz w:val="18"/>
          <w:szCs w:val="18"/>
          <w:i w:val="1"/>
          <w:iCs w:val="1"/>
          <w:color w:val="auto"/>
        </w:rPr>
        <w:t>Changes Requiring Your Approval</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the Notes:</w:t>
      </w:r>
    </w:p>
    <w:p>
      <w:pPr>
        <w:spacing w:after="0" w:line="214" w:lineRule="exact"/>
        <w:rPr>
          <w:sz w:val="20"/>
          <w:szCs w:val="20"/>
          <w:color w:val="auto"/>
        </w:rPr>
      </w:pPr>
    </w:p>
    <w:p>
      <w:pPr>
        <w:jc w:val="both"/>
        <w:ind w:right="700"/>
        <w:spacing w:after="0" w:line="332" w:lineRule="auto"/>
        <w:rPr>
          <w:sz w:val="20"/>
          <w:szCs w:val="20"/>
          <w:color w:val="auto"/>
        </w:rPr>
      </w:pPr>
      <w:r>
        <w:rPr>
          <w:rFonts w:ascii="Times New Roman" w:cs="Times New Roman" w:eastAsia="Times New Roman" w:hAnsi="Times New Roman"/>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w:t>
      </w:r>
      <w:r>
        <w:rPr>
          <w:rFonts w:ascii="Times New Roman" w:cs="Times New Roman" w:eastAsia="Times New Roman" w:hAnsi="Times New Roman"/>
          <w:sz w:val="16"/>
          <w:szCs w:val="16"/>
          <w:i w:val="1"/>
          <w:iCs w:val="1"/>
          <w:color w:val="auto"/>
        </w:rPr>
        <w:t>Defeasance—Legal Defeasance</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80"/>
          </w:cols>
          <w:pgMar w:left="320" w:top="448"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22" w:lineRule="exact"/>
        <w:rPr>
          <w:sz w:val="20"/>
          <w:szCs w:val="20"/>
          <w:color w:val="auto"/>
        </w:rPr>
      </w:pPr>
    </w:p>
    <w:p>
      <w:pPr>
        <w:ind w:left="1000" w:hanging="547"/>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Notes when due and payable and the default continues for a period of 30 days;</w:t>
      </w:r>
    </w:p>
    <w:p>
      <w:pPr>
        <w:spacing w:after="0" w:line="121" w:lineRule="exact"/>
        <w:rPr>
          <w:rFonts w:ascii="Times New Roman" w:cs="Times New Roman" w:eastAsia="Times New Roman" w:hAnsi="Times New Roman"/>
          <w:sz w:val="18"/>
          <w:szCs w:val="18"/>
          <w:color w:val="auto"/>
        </w:rPr>
      </w:pPr>
    </w:p>
    <w:p>
      <w:pPr>
        <w:ind w:left="1000" w:right="100" w:hanging="547"/>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77" w:lineRule="exact"/>
        <w:rPr>
          <w:rFonts w:ascii="Times New Roman" w:cs="Times New Roman" w:eastAsia="Times New Roman" w:hAnsi="Times New Roman"/>
          <w:sz w:val="18"/>
          <w:szCs w:val="18"/>
          <w:color w:val="auto"/>
        </w:rPr>
      </w:pPr>
    </w:p>
    <w:p>
      <w:pPr>
        <w:ind w:left="1000" w:right="60" w:hanging="547"/>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7" w:lineRule="exact"/>
        <w:rPr>
          <w:rFonts w:ascii="Times New Roman" w:cs="Times New Roman" w:eastAsia="Times New Roman" w:hAnsi="Times New Roman"/>
          <w:sz w:val="18"/>
          <w:szCs w:val="18"/>
          <w:color w:val="auto"/>
        </w:rPr>
      </w:pPr>
    </w:p>
    <w:p>
      <w:pPr>
        <w:ind w:left="1000" w:right="120" w:hanging="547"/>
        <w:spacing w:after="0" w:line="24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as defined in Article 1, Rule 1-02 of Regulation S-X under the Exchange Act (as applicable to business development companies)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will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102" w:lineRule="exact"/>
        <w:rPr>
          <w:rFonts w:ascii="Times New Roman" w:cs="Times New Roman" w:eastAsia="Times New Roman" w:hAnsi="Times New Roman"/>
          <w:sz w:val="18"/>
          <w:szCs w:val="18"/>
          <w:color w:val="auto"/>
        </w:rPr>
      </w:pPr>
    </w:p>
    <w:p>
      <w:pPr>
        <w:ind w:left="1000" w:right="100" w:hanging="547"/>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will have an asset coverage (as such term is used in the 1940 Act) of less than 100%, giving effect to any amendments to such provisions of the 1940 Act or to any exemptive relief granted to us by the SEC; and</w:t>
      </w:r>
    </w:p>
    <w:p>
      <w:pPr>
        <w:spacing w:after="0" w:line="87" w:lineRule="exact"/>
        <w:rPr>
          <w:rFonts w:ascii="Times New Roman" w:cs="Times New Roman" w:eastAsia="Times New Roman" w:hAnsi="Times New Roman"/>
          <w:sz w:val="18"/>
          <w:szCs w:val="18"/>
          <w:color w:val="auto"/>
        </w:rPr>
      </w:pPr>
    </w:p>
    <w:p>
      <w:pPr>
        <w:ind w:left="1000" w:right="60" w:hanging="547"/>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the Company occur and remain undischarged or unstayed for a period of 90 days.</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6"/>
          <w:szCs w:val="16"/>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44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holder of Notes will have any right to institute any proceeding, judicial or otherwise, with respect to the indenture, or for the appointment of a receiver 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for any other remedy under the indenture, unless:</w:t>
      </w:r>
    </w:p>
    <w:p>
      <w:pPr>
        <w:spacing w:after="0" w:line="104" w:lineRule="exact"/>
        <w:rPr>
          <w:sz w:val="20"/>
          <w:szCs w:val="20"/>
          <w:color w:val="auto"/>
        </w:rPr>
      </w:pPr>
    </w:p>
    <w:p>
      <w:pPr>
        <w:ind w:left="1000" w:hanging="54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21" w:lineRule="exact"/>
        <w:rPr>
          <w:rFonts w:ascii="Times New Roman" w:cs="Times New Roman" w:eastAsia="Times New Roman" w:hAnsi="Times New Roman"/>
          <w:sz w:val="18"/>
          <w:szCs w:val="18"/>
          <w:color w:val="auto"/>
        </w:rPr>
      </w:pPr>
    </w:p>
    <w:p>
      <w:pPr>
        <w:ind w:left="1000" w:right="120" w:hanging="547"/>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have made a written request to the Trustee to institute proceedings in respect of such event of default;</w:t>
      </w:r>
    </w:p>
    <w:p>
      <w:pPr>
        <w:spacing w:after="0" w:line="77" w:lineRule="exact"/>
        <w:rPr>
          <w:rFonts w:ascii="Times New Roman" w:cs="Times New Roman" w:eastAsia="Times New Roman" w:hAnsi="Times New Roman"/>
          <w:sz w:val="18"/>
          <w:szCs w:val="18"/>
          <w:color w:val="auto"/>
        </w:rPr>
      </w:pPr>
    </w:p>
    <w:p>
      <w:pPr>
        <w:ind w:left="1000" w:right="60" w:hanging="547"/>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7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for 60 days after its receipt of such notice, request and offer of security or indemnity has failed to institute any such proceeding; and</w:t>
      </w:r>
    </w:p>
    <w:p>
      <w:pPr>
        <w:spacing w:after="0" w:line="144" w:lineRule="exact"/>
        <w:rPr>
          <w:rFonts w:ascii="Times New Roman" w:cs="Times New Roman" w:eastAsia="Times New Roman" w:hAnsi="Times New Roman"/>
          <w:sz w:val="16"/>
          <w:szCs w:val="16"/>
          <w:color w:val="auto"/>
        </w:rPr>
      </w:pPr>
    </w:p>
    <w:p>
      <w:pPr>
        <w:ind w:left="1000" w:right="560" w:hanging="547"/>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such direction will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65"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will cease to exist, and any event of default arising therefrom will be deemed to have been cured, for every purpose, but no such waiver will extend to any subsequent or other default or event of default or impair any right consequent thereto.</w:t>
      </w:r>
    </w:p>
    <w:p>
      <w:pPr>
        <w:spacing w:after="0" w:line="15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Within 90 days after the occurrence of any default under the indenture with respect to the Notes, the Trustee will transmit notice of such default actually known to a responsible officer of the Trustee, unless such default will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44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have been cured or waived;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in the case of a default in the payment of the principal of (or premium, if any, on) or interest, if any, on any of the Notes, the Trustee will be protected in withholding such notice if and so long as it in good faith determines that withholding of such notice is in the interest of the holders of the Notes.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11"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We may satisfy and discharge our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subject to covenant defeasance and legal defeasance.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 Defeasance</w:t>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1" w:lineRule="exact"/>
        <w:rPr>
          <w:sz w:val="20"/>
          <w:szCs w:val="20"/>
          <w:color w:val="auto"/>
        </w:rPr>
      </w:pPr>
    </w:p>
    <w:p>
      <w:pPr>
        <w:ind w:left="1000" w:right="320" w:hanging="442"/>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87" w:lineRule="exact"/>
        <w:rPr>
          <w:rFonts w:ascii="Times New Roman" w:cs="Times New Roman" w:eastAsia="Times New Roman" w:hAnsi="Times New Roman"/>
          <w:sz w:val="18"/>
          <w:szCs w:val="18"/>
          <w:color w:val="auto"/>
        </w:rPr>
      </w:pPr>
    </w:p>
    <w:p>
      <w:pPr>
        <w:ind w:left="1000" w:right="40" w:hanging="442"/>
        <w:spacing w:after="0" w:line="25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1" w:lineRule="exact"/>
        <w:rPr>
          <w:rFonts w:ascii="Times New Roman" w:cs="Times New Roman" w:eastAsia="Times New Roman" w:hAnsi="Times New Roman"/>
          <w:sz w:val="18"/>
          <w:szCs w:val="18"/>
          <w:color w:val="auto"/>
        </w:rPr>
      </w:pPr>
    </w:p>
    <w:p>
      <w:pPr>
        <w:ind w:left="1000" w:right="320" w:hanging="442"/>
        <w:spacing w:after="0" w:line="26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and officers’ certificate stating that all conditions precedent to covenant defeasance have been complied with.</w:t>
      </w:r>
    </w:p>
    <w:p>
      <w:pPr>
        <w:spacing w:after="0" w:line="169"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Defeasance</w:t>
      </w:r>
    </w:p>
    <w:p>
      <w:pPr>
        <w:spacing w:after="0" w:line="11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the Company can legally release itself from all payment and other obligations on the Notes (called “defeasance” or “legal defeasance”) if we put in place the following other arrangements for you to be repaid:</w:t>
      </w:r>
    </w:p>
    <w:p>
      <w:pPr>
        <w:spacing w:after="0" w:line="77" w:lineRule="exact"/>
        <w:rPr>
          <w:sz w:val="20"/>
          <w:szCs w:val="20"/>
          <w:color w:val="auto"/>
        </w:rPr>
      </w:pPr>
    </w:p>
    <w:p>
      <w:pPr>
        <w:ind w:left="1000" w:right="200" w:hanging="442"/>
        <w:spacing w:after="0" w:line="25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44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right="100" w:hanging="442"/>
        <w:spacing w:after="0" w:line="249"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subject to customary limitations and exclusions, that there has been a change in current U.S. federal tax law or an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93"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1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Equiniti Trust Company, LLC is the Trustee, Registrar and Paying Agent. Equiniti Trust Company, LLC, in each of its capacities, including as Trustee,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settlement amounts and any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11"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The Trustee may resign or be removed with respect to the Notes provided that a successor trustee is appointed to act with respect to these series. In the event that two or more persons are acting as trustee with respect to different series of securities issued under the indenture, each of the trustees will be a trustee of a trust separate and apart from the trust administered by any other trustee.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1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11"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color w:val="auto"/>
        </w:rPr>
        <w:t>The indenture provides that it and the Notes will be governed by, and construed in accordance with, the law of the State of New York, without regard to principles of conflicts of laws that would cause the application of laws of another jurisdiction.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1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(the “Global Notes”). Upon issuance, each of the Global Notes will be deposited with the Trustee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44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custodian for DTC and registered in the name of Cede &amp; Co., as nominee of DTC. Ownership of beneficial interests in a Global Note will be limited to persons who have accounts with DTC, or DTC participants, or persons who hold interests through DTC participants. We expect that under procedures established by DTC:</w:t>
      </w:r>
    </w:p>
    <w:p>
      <w:pPr>
        <w:spacing w:after="0" w:line="88" w:lineRule="exact"/>
        <w:rPr>
          <w:sz w:val="20"/>
          <w:szCs w:val="20"/>
          <w:color w:val="auto"/>
        </w:rPr>
      </w:pPr>
    </w:p>
    <w:p>
      <w:pPr>
        <w:ind w:left="1000" w:right="100" w:hanging="442"/>
        <w:spacing w:after="0" w:line="26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7" w:lineRule="exact"/>
        <w:rPr>
          <w:rFonts w:ascii="Times New Roman" w:cs="Times New Roman" w:eastAsia="Times New Roman" w:hAnsi="Times New Roman"/>
          <w:sz w:val="18"/>
          <w:szCs w:val="18"/>
          <w:color w:val="auto"/>
        </w:rPr>
      </w:pPr>
    </w:p>
    <w:p>
      <w:pPr>
        <w:ind w:left="1000" w:right="140" w:hanging="442"/>
        <w:spacing w:after="0" w:line="25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the Company, the Trustee nor the underwriters are responsible for those operations or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the Company that it is:</w:t>
      </w:r>
    </w:p>
    <w:p>
      <w:pPr>
        <w:spacing w:after="0" w:line="122" w:lineRule="exact"/>
        <w:rPr>
          <w:sz w:val="20"/>
          <w:szCs w:val="20"/>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1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 long as DTC’s nominee is the registered owner of a Global Note, that nominee will be considered the sole owner or holder of the Notes represented by that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for all purposes under the indenture. Except as provided below, owners of beneficial interests in a Global Note:</w:t>
      </w:r>
    </w:p>
    <w:p>
      <w:pPr>
        <w:spacing w:after="0" w:line="104" w:lineRule="exact"/>
        <w:rPr>
          <w:sz w:val="20"/>
          <w:szCs w:val="20"/>
          <w:color w:val="auto"/>
        </w:rPr>
      </w:pPr>
    </w:p>
    <w:p>
      <w:pPr>
        <w:ind w:left="1000" w:hanging="442"/>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21" w:lineRule="exact"/>
        <w:rPr>
          <w:rFonts w:ascii="Times New Roman" w:cs="Times New Roman" w:eastAsia="Times New Roman" w:hAnsi="Times New Roman"/>
          <w:sz w:val="18"/>
          <w:szCs w:val="18"/>
          <w:color w:val="auto"/>
        </w:rPr>
      </w:pPr>
    </w:p>
    <w:p>
      <w:pPr>
        <w:ind w:left="1000" w:right="140" w:hanging="442"/>
        <w:spacing w:after="0" w:line="26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00"/>
          </w:cols>
          <w:pgMar w:left="320" w:top="44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5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6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or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214"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In connection with any proposed transfer outside the book entry only system, the Trustee will be provided all information reasonably requested by the Trustee that is necessary to allow the Trustee to comply with any applicable tax reporting obligations, including any cost basis reporting obligations under Section 6045 of the Code. The Trustee may rely on the information provided to it and will have no responsibility to verify or ensure the accuracy of such information.</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20"/>
          </w:cols>
          <w:pgMar w:left="320" w:top="44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in physical, certificated form will be issued and delivered to each person that DTC identifies as a beneficial owner of the related Notes only if:</w:t>
      </w:r>
    </w:p>
    <w:p>
      <w:pPr>
        <w:spacing w:after="0" w:line="145" w:lineRule="exact"/>
        <w:rPr>
          <w:sz w:val="20"/>
          <w:szCs w:val="20"/>
          <w:color w:val="auto"/>
        </w:rPr>
      </w:pPr>
    </w:p>
    <w:p>
      <w:pPr>
        <w:ind w:left="1000" w:right="40" w:hanging="442"/>
        <w:spacing w:after="0" w:line="26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DTC ceases to be registered as a clearing agency under the Exchange Act and a successor depositary is not appointed within 90 days; or</w:t>
      </w:r>
    </w:p>
    <w:p>
      <w:pPr>
        <w:spacing w:after="0" w:line="144" w:lineRule="exact"/>
        <w:rPr>
          <w:rFonts w:ascii="Times New Roman" w:cs="Times New Roman" w:eastAsia="Times New Roman" w:hAnsi="Times New Roman"/>
          <w:sz w:val="16"/>
          <w:szCs w:val="16"/>
          <w:color w:val="auto"/>
        </w:rPr>
      </w:pPr>
    </w:p>
    <w:p>
      <w:pPr>
        <w:ind w:left="1000" w:hanging="442"/>
        <w:spacing w:after="0" w:line="26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10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0620"/>
          </w:cols>
          <w:pgMar w:left="320" w:top="448" w:right="9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1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or U.S., federal income tax considerations (and, in the case of a non-U.S. holder (as defined below), certain U.S.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8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w:t>
      </w: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purposes of this discussion, the term “U.S. holder” means a beneficial owner of a Note that is, for U.S. federal income tax purposes, (i) an individual who is a citizen or resident of the U.S., (ii) a corporation or other entity treated as a corporation for U.S. federal income tax purposes, created or organized in or under the laws of the U.S. or of any political subdivision thereof, (iii) a trust (a) subject to the control of one or more U.S. persons and the primary supervision of a court in the U.S., or (b) that has a valid election (under applicable Treasury Regulations) to be treated as a U.S. person for U.S. federal income tax purposes, or</w:t>
      </w:r>
    </w:p>
    <w:p>
      <w:pPr>
        <w:spacing w:after="0" w:line="1" w:lineRule="exact"/>
        <w:rPr>
          <w:sz w:val="20"/>
          <w:szCs w:val="20"/>
          <w:color w:val="auto"/>
        </w:rPr>
      </w:pPr>
    </w:p>
    <w:p>
      <w:pPr>
        <w:ind w:right="60" w:firstLine="5"/>
        <w:spacing w:after="0" w:line="244" w:lineRule="auto"/>
        <w:tabs>
          <w:tab w:leader="none" w:pos="2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U.S. for U.S. federal income tax purposes, as opposed to a non-resident alien, by, among other ways, being present in the U.S.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U.S. federal income tax as if they were U.S. citizens.</w:t>
      </w:r>
    </w:p>
    <w:p>
      <w:pPr>
        <w:spacing w:after="0" w:line="19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44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Note 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w:t>
      </w:r>
    </w:p>
    <w:p>
      <w:pPr>
        <w:spacing w:after="0" w:line="11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Payments or accruals of interest on a Note generally will be taxable to a U.S. holder as ordinary interest income at the time 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that the Notes will not be treated as issued with original issue discount for U.S. federal income tax purposes.</w:t>
      </w:r>
    </w:p>
    <w:p>
      <w:pPr>
        <w:spacing w:after="0" w:line="1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applicable U.S. Treasury Regulations, if a holder recognizes a loss with respect to the Notes in excess of certain prescribed thresholds (generally,</w:t>
      </w:r>
    </w:p>
    <w:p>
      <w:pPr>
        <w:spacing w:after="0" w:line="2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 additional tax of 3.8% is imposed on certain “net investment income” (or “undistributed net investment income”, in the case of estates and trusts) received by certain taxpayers with modified adjusted gross incomes above certain threshold amounts. “Net investment income” generally includes interest payments and gain recognized from the sale, exchange, redemption or other taxable disposition of the Notes. U.S. holders should consult their own tax advisors regarding the effect, if any, of this tax on their ownership and disposition of the Notes.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Holders</w:t>
      </w:r>
    </w:p>
    <w:p>
      <w:pPr>
        <w:spacing w:after="0" w:line="11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taxes on payments of principal or interest on a Note provided that in the case of interest on a Note (i) the interest is not effectively connected with the conduct by the non-U.S. holder of a trade or business within the U.S.,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U.S. person in compliance with applicable requirements, or satisfies documentary evidence requirements for establishing that it is a non-U.S. holder. A non-U.S. holder that is not exempt from tax under these rules generally will be subject to withholding of U.S. federal income tax on payments of interest on the Notes at a rate of 30% unless (i) the interest is effectively connected with the conduct of a U.S. trade or business, in which case the interest will be subject to U.S. federal income tax on a net income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20"/>
          </w:cols>
          <w:pgMar w:left="320" w:top="44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U.S. trade or business, such income may also be subject to a branch profits tax (which is generally imposed on a non-U.S. corporation on the actual or deemed repatriation from the U.S. of earnings and profits attributable to a U.S. trade or business) at a 30% rate. The branch profits tax may not apply (or may apply at a reduced rate) if the non-U.S. holder is a qualified resident of a country with which the U.S. has an income tax treaty.</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claim the benefit of an income tax treaty or to claim exemption from withholding because interest is effectively connected with a U.S. trade or business, the non-U.S. holder must timely provide the appropriate, properly executed IRS forms to the applicable withholding agent. These forms may be required to be periodically updated.</w:t>
      </w:r>
    </w:p>
    <w:p>
      <w:pPr>
        <w:spacing w:after="0" w:line="18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Generally, a non-U.S. holder will not be subject to U.S. federal income or withholding taxes on any amount that constitutes capital gain upon the sale, exchange, redemption or retirement of a Note, provided the gain is not effectively connected with the conduct of a trade or business in the U.S. by the non-U.S. holder (and, if required by an applicable income tax treaty, is not attributable to a U.S. “permanent establishment” maintained by the non-U.S. holder). If an individual non-U.S. holder is present in the United States for 183 or more days during the taxable year in which the sale, exchange, redemption, retirement or other taxable disposition of a Note occurs, and certain other conditions exist, such non-U.S. holder will be subject to a 30 percent U.S. federal income tax on any resulting gain (except to the extent otherwise provided by an applicable income tax treaty), which may be offset by certain U.S. losses. Certain other exceptions may be applicable, and a non-U.S. holder should consult its tax advisor in this regard.</w:t>
      </w:r>
    </w:p>
    <w:p>
      <w:pPr>
        <w:spacing w:after="0" w:line="187"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A Note that is held by an individual who, at the time of death, is not a citizen or resident of the U.S.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1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 U.S. holder (other than an “exempt recipient,” including a corporation and certain other persons who, 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40"/>
          </w:cols>
          <w:pgMar w:left="320" w:top="44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740"/>
        <w:spacing w:after="0" w:line="268" w:lineRule="auto"/>
        <w:rPr>
          <w:sz w:val="20"/>
          <w:szCs w:val="20"/>
          <w:color w:val="auto"/>
        </w:rPr>
      </w:pPr>
      <w:r>
        <w:rPr>
          <w:rFonts w:ascii="Times New Roman" w:cs="Times New Roman" w:eastAsia="Times New Roman" w:hAnsi="Times New Roman"/>
          <w:sz w:val="18"/>
          <w:szCs w:val="18"/>
          <w:color w:val="auto"/>
        </w:rPr>
        <w:t>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6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 on Payments to Certain Foreign Entities</w:t>
      </w:r>
    </w:p>
    <w:p>
      <w:pPr>
        <w:spacing w:after="0" w:line="11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Sections 1471 through 1474 of the Code (provisions commonly referred to as “FATCA”) 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FATCA withholding tax will apply to all withholdable payments without regard to whether the beneficial owner of the payment would otherwise be entitled to an exemption from imposition of withholding tax pursuant to an applicable tax treaty with the U.S.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prospective purchaser should consult its own tax advisor regarding FATCA and how it may affect such investor in its particular circumstances.</w:t>
      </w:r>
    </w:p>
    <w:p>
      <w:pPr>
        <w:spacing w:after="0" w:line="31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20"/>
          </w:cols>
          <w:pgMar w:left="320" w:top="44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are offering the Notes described in this prospectus supplement through a number of underwriters. Morgan Stanley &amp; Co. LLC, Goldman Sachs &amp; Co. LLC, Keefe, Bruyette &amp; Woods, Inc., RBC Capital Markets, LLC, and UBS Securities LLC are acting as representatives of the underwriters. We and the Investment Adviser have entered into an underwriting agreement with the underwriters. Subject to the terms and conditions of the underwriting agreement, we have agreed to sell to the underwriters, and each underwriter has, severally and not jointly, agreed to purchase, the aggregate principal amount of notes listed next to its name in the following table:</w:t>
      </w:r>
    </w:p>
    <w:p>
      <w:pPr>
        <w:spacing w:after="0" w:line="189"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145"/>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w:t>
            </w: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204"/>
        </w:trPr>
        <w:tc>
          <w:tcPr>
            <w:tcW w:w="436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Morgan Stanley &amp; Co. LLC</w:t>
            </w:r>
          </w:p>
        </w:tc>
        <w:tc>
          <w:tcPr>
            <w:tcW w:w="2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Maxim Group LLC</w:t>
            </w: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We and the Investment Adviser have agreed to indemnify the underwriters against certain liabilities, including liabilities under the Securities Act, or to contribute to payments the underwriters may be required to make in respect of those liabilities.</w:t>
      </w:r>
    </w:p>
    <w:p>
      <w:pPr>
        <w:spacing w:after="0" w:line="169"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11"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we are to pay to the underwriters in connection with this offering.</w:t>
      </w:r>
    </w:p>
    <w:p>
      <w:pPr>
        <w:spacing w:after="0" w:line="173"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4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Public offering price</w:t>
            </w:r>
          </w:p>
        </w:tc>
        <w:tc>
          <w:tcPr>
            <w:tcW w:w="1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Borders>
              <w:top w:val="single" w:sz="8" w:color="auto"/>
            </w:tcBorders>
            <w:shd w:val="clear" w:color="auto" w:fill="CCEEFF"/>
          </w:tcPr>
          <w:p>
            <w:pPr>
              <w:jc w:val="center"/>
              <w:ind w:left="2"/>
              <w:spacing w:after="0"/>
              <w:rPr>
                <w:sz w:val="20"/>
                <w:szCs w:val="20"/>
                <w:color w:val="auto"/>
              </w:rPr>
            </w:pPr>
            <w:r>
              <w:rPr>
                <w:rFonts w:ascii="Times New Roman" w:cs="Times New Roman" w:eastAsia="Times New Roman" w:hAnsi="Times New Roman"/>
                <w:sz w:val="5"/>
                <w:szCs w:val="5"/>
                <w:color w:val="auto"/>
                <w:w w:val="79"/>
              </w:rPr>
              <w:t> </w:t>
            </w:r>
          </w:p>
        </w:tc>
        <w:tc>
          <w:tcPr>
            <w:tcW w:w="280" w:type="dxa"/>
            <w:vAlign w:val="bottom"/>
            <w:tcBorders>
              <w:top w:val="single" w:sz="8" w:color="auto"/>
            </w:tcBorders>
            <w:shd w:val="clear" w:color="auto" w:fill="CCEEFF"/>
          </w:tcPr>
          <w:p>
            <w:pPr>
              <w:ind w:left="60"/>
              <w:spacing w:after="0" w:line="204"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26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center"/>
              <w:ind w:left="2"/>
              <w:spacing w:after="0"/>
              <w:rPr>
                <w:sz w:val="20"/>
                <w:szCs w:val="20"/>
                <w:color w:val="auto"/>
              </w:rPr>
            </w:pPr>
            <w:r>
              <w:rPr>
                <w:rFonts w:ascii="Times New Roman" w:cs="Times New Roman" w:eastAsia="Times New Roman" w:hAnsi="Times New Roman"/>
                <w:sz w:val="5"/>
                <w:szCs w:val="5"/>
                <w:color w:val="auto"/>
                <w:w w:val="79"/>
              </w:rPr>
              <w:t> </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6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5"/>
                <w:szCs w:val="5"/>
                <w:color w:val="auto"/>
                <w:w w:val="79"/>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dealers at the public offering price less a concession not in excess of $        per Note. The underwriters may allow, and the dealers may reallow, a discount not in excess of $        per Note. After the initial offering of the Notes to the public, the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00"/>
          </w:cols>
          <w:pgMar w:left="320" w:top="448"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public offering price and other selling terms may be changed. No such change shall change the amount of proceeds to be received by us as set forth on the cover page of this prospectus supplement.</w:t>
      </w:r>
    </w:p>
    <w:p>
      <w:pPr>
        <w:spacing w:after="0" w:line="169"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million and are payable by us. We have also agreed to reimburse the underwriters for certain FINRA-related expenses incurred by them in connection with the offering.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for a period of 30 days after the date of this prospectus supplement without first obtaining the written consent of the representative. This consent may be given at any time without public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16"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An active trading market for the Notes does not currently exist, and we cannot assure you that an active and liquid market for the Notes will develop. We expect to list the Notes on NYSE, and we expect trading to commence thereon within 30 days of the issue date of the Notes under the trading symbol “PFLA”.</w:t>
      </w:r>
    </w:p>
    <w:p>
      <w:pPr>
        <w:spacing w:after="0" w:line="12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presently intend to make a market in the Notes after completion of the offering as permitted by applicable laws and regulations. However, the underwriters are not obligated to make a market in the Notes and any such market-making may be discontinued at any time in the sole discretion of such underwriters without any notice. Accordingly, no assurance can be given as to the liquidity of or, or maintenance of, a public trading market for the Notes. If an active public trading market for the Notes is not maintained, the market price and liquidity of the Notes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have granted to the underwriters an option to purchase from us up to an additional $        aggregate principal amount of the Notes solely to cover over-allotments, if any, within 30 days from the date of this prospectus supplement at the public offering price set forth on the cover of this prospectus supplement less the sales load (underwriting discounts and commissions). The underwriters may exercise the option solely for the purpose of covering over-allotments, if any, in connection with this offering. If the underwriters exercise this over-allotment option, each will be obligated, subject to the specified conditions, to purchase a number of additional Notes proportionate to that underwriter’s initial principal amount reflected in the table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85" w:lineRule="exact"/>
        <w:rPr>
          <w:sz w:val="20"/>
          <w:szCs w:val="20"/>
          <w:color w:val="auto"/>
        </w:rPr>
      </w:pPr>
    </w:p>
    <w:p>
      <w:pPr>
        <w:ind w:right="260"/>
        <w:spacing w:after="0" w:line="332" w:lineRule="auto"/>
        <w:rPr>
          <w:sz w:val="20"/>
          <w:szCs w:val="20"/>
          <w:color w:val="auto"/>
        </w:rPr>
      </w:pPr>
      <w:r>
        <w:rPr>
          <w:rFonts w:ascii="Times New Roman" w:cs="Times New Roman" w:eastAsia="Times New Roman" w:hAnsi="Times New Roman"/>
          <w:sz w:val="16"/>
          <w:szCs w:val="16"/>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44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0" w:lineRule="exact"/>
        <w:rPr>
          <w:sz w:val="20"/>
          <w:szCs w:val="20"/>
          <w:color w:val="auto"/>
        </w:rPr>
      </w:pPr>
    </w:p>
    <w:p>
      <w:pPr>
        <w:ind w:right="400"/>
        <w:spacing w:after="0" w:line="303" w:lineRule="auto"/>
        <w:rPr>
          <w:sz w:val="20"/>
          <w:szCs w:val="20"/>
          <w:color w:val="auto"/>
        </w:rPr>
      </w:pPr>
      <w:r>
        <w:rPr>
          <w:rFonts w:ascii="Times New Roman" w:cs="Times New Roman" w:eastAsia="Times New Roman" w:hAnsi="Times New Roman"/>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 will engage in these transactions or that these transactions, once commenced, will not be discontinued without notice.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377"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color w:val="auto"/>
        </w:rPr>
        <w:t>Affiliates of certain of the underwriters serve as lenders under our Credit Facility and may serve as lenders under any future credit facilities. Some of the underwriters and/or their affiliates were underwriters in connection with our initial public offerings and follow-on public offerings for which they received customary fees. Affiliates of certain of the underwriters serve as lenders under our Credit Facility. Accordingly, affiliates of certain of the underwriters are expected to receive proceeds from this offering that are used to reduce our outstanding obligations under our Credit Facility.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 2026, which will be the third business day following the date of pricing of the notes (such settlement cycle being herein referred to as “T+3”). Under Rule 15c6-1 under the Exchange Act, trades in the secondary market generally are required to settle in one business day, unless the parties to any such trade expressly agree otherwise. Accordingly, purchasers who wish to trade the Notes prior to one business day prior to the date of delivery hereunder will be required, by virtue of the fact that the Notes initially will settle in T+3 business days, to specify an alternative settlement arrangement at the time of any such trade to prevent a failed settlement.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1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The principal business address of Morgan Stanley &amp; Co. LLC is 1585 Broadway, 34th Floor, New York, New York 10036. The principal business address of Goldman Sachs &amp; Co. LLC is 200 West Street, New York,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20"/>
          </w:cols>
          <w:pgMar w:left="320" w:top="44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New York 10282-2198. The principal business address of Keefe, Bruyette &amp; Woods, Inc. is 787 Seventh Avenue, Fourth Floor, New York, New York 10019. The principal business address of RBC Capital Markets, LLC is Brookfield Place, 200 Vesey Street, 8th Floor, New York, New York 10281. The principal business address of UBS Securities LLC is Eleven Madison Avenue, New York, New York 10010.</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1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Other than in the U.S.,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11"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Canadian investors are advised that this prospectus supplement has been prepared in reliance on section 3A.3 of National Instrument 33 105 Underwriting Conflicts (“NI 33 105”). Pursuant to section 3A.3 of NI 33 105,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33 105.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Resale Restrictions</w:t>
      </w:r>
    </w:p>
    <w:p>
      <w:pPr>
        <w:spacing w:after="0" w:line="1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color w:val="auto"/>
        </w:rPr>
        <w:t>The offer and sale of the Notes to investors resident or located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of Purchasers</w:t>
      </w:r>
    </w:p>
    <w:p>
      <w:pPr>
        <w:spacing w:after="0" w:line="11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45 106 Prospectus Exemptions or, in Ontario, as such term is defined in section 73.3(1) of the Securities Act (Ontario); and (iii) a “permitted client” as such term is defined in section 1.1 of National Instrument 31 103 Registration Requirements, Exemptions and Ongoing Registrant Obligations.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44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and Eligibility for Investment</w:t>
      </w:r>
    </w:p>
    <w:p>
      <w:pPr>
        <w:spacing w:after="0" w:line="11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applicable to the acquisition, holding or disposition of the Notes.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Action for Damages or Rescission</w:t>
      </w:r>
    </w:p>
    <w:p>
      <w:pPr>
        <w:spacing w:after="0" w:line="11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 prospectus (such as this prospectus supplement), including where the distribution involves an “eligible foreign security” as such term is defined in Ontario Securities Commission Rule 45 501 Ontario Prospectus and Registration Exemptions and in Multilateral Instrument 45 107 Listing Representation and Statutory Rights of Action Disclosure Exemptions, as applicable, with a remedy for damages or rescission, or both, in addition to any other rights they may have at law, where the prospectus, or other offering document that constitutes a prospectus,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defenses under, applicable Canadian securities legislation.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remedies are in addition to and without derogation from any other right or remedy available at law to the investor.</w:t>
      </w:r>
    </w:p>
    <w:p>
      <w:pPr>
        <w:spacing w:after="0" w:line="2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may not be offered, sold or otherwise made available to any retail investor in the European Economic Area, or EEA. For these purposes:</w:t>
      </w:r>
    </w:p>
    <w:p>
      <w:pPr>
        <w:spacing w:after="0" w:line="109" w:lineRule="exact"/>
        <w:rPr>
          <w:sz w:val="20"/>
          <w:szCs w:val="20"/>
          <w:color w:val="auto"/>
        </w:rPr>
      </w:pPr>
    </w:p>
    <w:p>
      <w:pPr>
        <w:ind w:left="700" w:hanging="245"/>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investor means a person who is one (or more) of the following:</w:t>
      </w:r>
    </w:p>
    <w:p>
      <w:pPr>
        <w:spacing w:after="0" w:line="121" w:lineRule="exact"/>
        <w:rPr>
          <w:rFonts w:ascii="Times New Roman" w:cs="Times New Roman" w:eastAsia="Times New Roman" w:hAnsi="Times New Roman"/>
          <w:sz w:val="18"/>
          <w:szCs w:val="18"/>
          <w:color w:val="auto"/>
        </w:rPr>
      </w:pPr>
    </w:p>
    <w:p>
      <w:pPr>
        <w:ind w:left="1460" w:hanging="455"/>
        <w:spacing w:after="0"/>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or superseded, or MiFID II); or</w:t>
      </w:r>
    </w:p>
    <w:p>
      <w:pPr>
        <w:spacing w:after="0" w:line="121" w:lineRule="exact"/>
        <w:rPr>
          <w:rFonts w:ascii="Times New Roman" w:cs="Times New Roman" w:eastAsia="Times New Roman" w:hAnsi="Times New Roman"/>
          <w:sz w:val="18"/>
          <w:szCs w:val="18"/>
          <w:color w:val="auto"/>
        </w:rPr>
      </w:pPr>
    </w:p>
    <w:p>
      <w:pPr>
        <w:ind w:left="1460" w:right="40" w:hanging="455"/>
        <w:spacing w:after="0" w:line="268" w:lineRule="auto"/>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or superseded, the “Insurance Distribution Directive”), where that customer would not qualify as a professional client as defined in point (10) of Article 4(1) of MiFID II; or</w:t>
      </w:r>
    </w:p>
    <w:p>
      <w:pPr>
        <w:spacing w:after="0" w:line="77" w:lineRule="exact"/>
        <w:rPr>
          <w:rFonts w:ascii="Times New Roman" w:cs="Times New Roman" w:eastAsia="Times New Roman" w:hAnsi="Times New Roman"/>
          <w:sz w:val="18"/>
          <w:szCs w:val="18"/>
          <w:color w:val="auto"/>
        </w:rPr>
      </w:pPr>
    </w:p>
    <w:p>
      <w:pPr>
        <w:ind w:left="1460" w:hanging="455"/>
        <w:spacing w:after="0"/>
        <w:tabs>
          <w:tab w:leader="none" w:pos="14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or superseded, the “Prospectus Regulation”), and</w:t>
      </w:r>
    </w:p>
    <w:p>
      <w:pPr>
        <w:spacing w:after="0" w:line="108" w:lineRule="exact"/>
        <w:rPr>
          <w:rFonts w:ascii="Times New Roman" w:cs="Times New Roman" w:eastAsia="Times New Roman" w:hAnsi="Times New Roman"/>
          <w:sz w:val="18"/>
          <w:szCs w:val="18"/>
          <w:color w:val="auto"/>
        </w:rPr>
      </w:pPr>
    </w:p>
    <w:p>
      <w:pPr>
        <w:ind w:firstLine="455"/>
        <w:spacing w:after="0" w:line="268" w:lineRule="auto"/>
        <w:tabs>
          <w:tab w:leader="none" w:pos="6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the Notes.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40"/>
          </w:cols>
          <w:pgMar w:left="320" w:top="448"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the Notes. This prospectus is not a prospectus for the purposes of the Prospectus Regulation.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33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For the purposes of this provision:</w:t>
      </w:r>
    </w:p>
    <w:p>
      <w:pPr>
        <w:spacing w:after="0" w:line="64" w:lineRule="exact"/>
        <w:rPr>
          <w:sz w:val="20"/>
          <w:szCs w:val="20"/>
          <w:color w:val="auto"/>
        </w:rPr>
      </w:pPr>
    </w:p>
    <w:p>
      <w:pPr>
        <w:ind w:left="700" w:hanging="245"/>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21" w:lineRule="exact"/>
        <w:rPr>
          <w:rFonts w:ascii="Times New Roman" w:cs="Times New Roman" w:eastAsia="Times New Roman" w:hAnsi="Times New Roman"/>
          <w:sz w:val="18"/>
          <w:szCs w:val="18"/>
          <w:color w:val="auto"/>
        </w:rPr>
      </w:pPr>
    </w:p>
    <w:p>
      <w:pPr>
        <w:ind w:left="1460" w:right="680" w:hanging="455"/>
        <w:spacing w:after="0" w:line="268" w:lineRule="auto"/>
        <w:tabs>
          <w:tab w:leader="none" w:pos="14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domestic law by virtue of the European Union (Withdrawal) Act 2018 (“EUWA”); or</w:t>
      </w:r>
    </w:p>
    <w:p>
      <w:pPr>
        <w:spacing w:after="0" w:line="77" w:lineRule="exact"/>
        <w:rPr>
          <w:rFonts w:ascii="Times New Roman" w:cs="Times New Roman" w:eastAsia="Times New Roman" w:hAnsi="Times New Roman"/>
          <w:sz w:val="18"/>
          <w:szCs w:val="18"/>
          <w:color w:val="auto"/>
        </w:rPr>
      </w:pPr>
    </w:p>
    <w:p>
      <w:pPr>
        <w:ind w:left="1460" w:hanging="455"/>
        <w:spacing w:after="0" w:line="252" w:lineRule="auto"/>
        <w:tabs>
          <w:tab w:leader="none" w:pos="14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91" w:lineRule="exact"/>
        <w:rPr>
          <w:rFonts w:ascii="Times New Roman" w:cs="Times New Roman" w:eastAsia="Times New Roman" w:hAnsi="Times New Roman"/>
          <w:sz w:val="18"/>
          <w:szCs w:val="18"/>
          <w:color w:val="auto"/>
        </w:rPr>
      </w:pPr>
    </w:p>
    <w:p>
      <w:pPr>
        <w:ind w:left="1460" w:right="80" w:hanging="455"/>
        <w:spacing w:after="0" w:line="268" w:lineRule="auto"/>
        <w:tabs>
          <w:tab w:leader="none" w:pos="14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paragraph 15 of Schedule 1 to the Public Offers and Admissions to Trading Regulations 2014/15 (the “UK POAT Regulation”); and</w:t>
      </w:r>
    </w:p>
    <w:p>
      <w:pPr>
        <w:spacing w:after="0" w:line="64" w:lineRule="exact"/>
        <w:rPr>
          <w:rFonts w:ascii="Times New Roman" w:cs="Times New Roman" w:eastAsia="Times New Roman" w:hAnsi="Times New Roman"/>
          <w:sz w:val="18"/>
          <w:szCs w:val="18"/>
          <w:color w:val="auto"/>
        </w:rPr>
      </w:pPr>
    </w:p>
    <w:p>
      <w:pPr>
        <w:ind w:right="100" w:firstLine="455"/>
        <w:spacing w:after="0" w:line="268" w:lineRule="auto"/>
        <w:tabs>
          <w:tab w:leader="none" w:pos="6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has been prepared on the basis that any offer of Notes in the UK will be made pursuant to an exception to the prohibition on offers of “relevant securities” to the public under the UK POAT Regulation from the requirement to publish a prospectus for offers of Notes. This prospectus is not a prospectus for the purposes of the UK POAT Regulation.</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color w:val="auto"/>
        </w:rPr>
        <w:t>This prospectus and any other material in relation to the Notes is only being distributed to, and is directed only at, persons in the United Kingdom who are “qualified investors” (as defined in the UK POAT Regulation) who are also (i) investment professionals falling within Article 19(5) of the Financial Services and Markets Act 2000 (Financial Promotion) Order 2005 (as amended, the “Order”), or (ii) high net worth entities or other persons falling within Articles 49(2)</w:t>
      </w:r>
    </w:p>
    <w:p>
      <w:pPr>
        <w:spacing w:after="0" w:line="1" w:lineRule="exact"/>
        <w:rPr>
          <w:sz w:val="20"/>
          <w:szCs w:val="20"/>
          <w:color w:val="auto"/>
        </w:rPr>
      </w:pPr>
    </w:p>
    <w:p>
      <w:pPr>
        <w:ind w:right="120" w:firstLine="5"/>
        <w:spacing w:after="0" w:line="245" w:lineRule="auto"/>
        <w:tabs>
          <w:tab w:leader="none" w:pos="2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 of the Order, or (iii) persons to whom it would otherwise be lawful to distribute it, all such persons together being referred to as “Relevant Persons”. The Notes are only available to, and any invitation, offer or agreement to subscribe, purchase or otherwise acquire the Notes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 The Notes are not being offered to the public in the United Kingdom.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40"/>
          </w:cols>
          <w:pgMar w:left="320" w:top="44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the United Kingdom, each underwriter has represented and agreed the Notes may not be offered other than by an underwriter that:</w:t>
      </w:r>
    </w:p>
    <w:p>
      <w:pPr>
        <w:spacing w:after="0" w:line="122" w:lineRule="exact"/>
        <w:rPr>
          <w:sz w:val="20"/>
          <w:szCs w:val="20"/>
          <w:color w:val="auto"/>
        </w:rPr>
      </w:pPr>
    </w:p>
    <w:p>
      <w:pPr>
        <w:ind w:left="1000" w:right="20" w:hanging="547"/>
        <w:spacing w:after="0" w:line="25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87" w:lineRule="exact"/>
        <w:rPr>
          <w:rFonts w:ascii="Times New Roman" w:cs="Times New Roman" w:eastAsia="Times New Roman" w:hAnsi="Times New Roman"/>
          <w:sz w:val="18"/>
          <w:szCs w:val="18"/>
          <w:color w:val="auto"/>
        </w:rPr>
      </w:pPr>
    </w:p>
    <w:p>
      <w:pPr>
        <w:ind w:left="1000" w:hanging="547"/>
        <w:spacing w:after="0" w:line="268"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and will comply with all applicable provisions of the FSMA with respect to anything done by it in relation to the Notes in, from or otherwise involving the United Kingdom.</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40"/>
          </w:cols>
          <w:pgMar w:left="320" w:top="448"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Kirkland &amp; Ellis LLP.</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60"/>
          </w:cols>
          <w:pgMar w:left="320" w:top="448"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and the related consolidated senior securities table of PennantPark Floating Rate Capital Ltd. as of September 30, 2025 and 2024 and for each of the years in the three-year period ended September 30, 2025 and the effectiveness of internal control over financial reporting as of September 30, 2025 incorporated in this prospectus supplement by reference from the PennantPark Floating Rate Capital Ltd. Annual Report on Form 10-K for the year ended September 30, 2025 have been audited by RSM US LLP, an independent registered public accounting firm, as stated in their report, which is incorporated into this prospectus supplement by reference.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00"/>
          </w:cols>
          <w:pgMar w:left="320" w:top="448"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PSSL as of and for the fiscal years ended September 30, 2025 and September 30, 2024 included as Exhibits 99.3 and 99.4, respectively, in our Annual Report on Form 10-K for the fiscal year ended September 30, 2025 have been so included in reliance on the report of RSM US LLP.</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080"/>
          </w:cols>
          <w:pgMar w:left="320" w:top="448"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We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information “furnished” under Item 2.02 or Item 7.01 of Form 8-K or other information “furnished” to the SEC which is not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is not incorporated by reference in this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have previously been filed with the SEC:</w:t>
      </w:r>
    </w:p>
    <w:p>
      <w:pPr>
        <w:spacing w:after="0" w:line="122" w:lineRule="exact"/>
        <w:rPr>
          <w:sz w:val="20"/>
          <w:szCs w:val="20"/>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May 7, 2026;</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December 31, 2025, filed with the SEC on February 9, 2026;</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November 24, 2025;</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2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1">
        <w:r>
          <w:rPr>
            <w:rFonts w:ascii="Times New Roman" w:cs="Times New Roman" w:eastAsia="Times New Roman" w:hAnsi="Times New Roman"/>
            <w:sz w:val="18"/>
            <w:szCs w:val="18"/>
            <w:u w:val="single" w:color="auto"/>
            <w:color w:val="0000EE"/>
          </w:rPr>
          <w:t>November 26, 2025</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and </w:t>
      </w:r>
      <w:hyperlink r:id="rId75">
        <w:r>
          <w:rPr>
            <w:rFonts w:ascii="Times New Roman" w:cs="Times New Roman" w:eastAsia="Times New Roman" w:hAnsi="Times New Roman"/>
            <w:sz w:val="18"/>
            <w:szCs w:val="18"/>
            <w:u w:val="single" w:color="auto"/>
            <w:color w:val="0000EE"/>
          </w:rPr>
          <w:t>March 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77" w:lineRule="exact"/>
        <w:rPr>
          <w:rFonts w:ascii="Times New Roman" w:cs="Times New Roman" w:eastAsia="Times New Roman" w:hAnsi="Times New Roman"/>
          <w:sz w:val="18"/>
          <w:szCs w:val="18"/>
          <w:color w:val="0000EE"/>
        </w:rPr>
      </w:pPr>
    </w:p>
    <w:p>
      <w:pPr>
        <w:ind w:left="1000" w:right="20" w:hanging="442"/>
        <w:spacing w:after="0" w:line="26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7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December 17, 2025 (to the extent incorporated by reference into Part III of our Annual Report on Form 10-K for the fiscal year ended </w:t>
      </w:r>
      <w:hyperlink r:id="rId70">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w:t>
      </w: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w:t>
      </w:r>
    </w:p>
    <w:p>
      <w:pPr>
        <w:spacing w:after="0" w:line="150"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60"/>
          </w:cols>
          <w:pgMar w:left="320" w:top="448"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80"/>
          </w:cols>
          <w:pgMar w:left="320" w:top="448"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97155</wp:posOffset>
            </wp:positionV>
            <wp:extent cx="1938655" cy="459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93865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143510</wp:posOffset>
            </wp:positionV>
            <wp:extent cx="15043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68" w:lineRule="exact"/>
        <w:rPr>
          <w:sz w:val="20"/>
          <w:szCs w:val="20"/>
          <w:color w:val="auto"/>
        </w:rPr>
      </w:pPr>
    </w:p>
    <w:p>
      <w:pPr>
        <w:ind w:right="80" w:firstLine="450"/>
        <w:spacing w:after="0" w:line="248" w:lineRule="auto"/>
        <w:rPr>
          <w:sz w:val="20"/>
          <w:szCs w:val="20"/>
          <w:color w:val="auto"/>
        </w:rPr>
      </w:pPr>
      <w:r>
        <w:rPr>
          <w:rFonts w:ascii="Times New Roman" w:cs="Times New Roman" w:eastAsia="Times New Roman" w:hAnsi="Times New Roman"/>
          <w:sz w:val="15"/>
          <w:szCs w:val="15"/>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25" w:lineRule="exact"/>
        <w:rPr>
          <w:sz w:val="20"/>
          <w:szCs w:val="20"/>
          <w:color w:val="auto"/>
        </w:rPr>
      </w:pPr>
    </w:p>
    <w:p>
      <w:pPr>
        <w:ind w:right="120" w:firstLine="450"/>
        <w:spacing w:after="0" w:line="231" w:lineRule="auto"/>
        <w:rPr>
          <w:sz w:val="20"/>
          <w:szCs w:val="20"/>
          <w:color w:val="auto"/>
        </w:rPr>
      </w:pPr>
      <w:r>
        <w:rPr>
          <w:rFonts w:ascii="Times New Roman" w:cs="Times New Roman" w:eastAsia="Times New Roman" w:hAnsi="Times New Roman"/>
          <w:sz w:val="15"/>
          <w:szCs w:val="15"/>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the Secured Overnight Financing Rate, or SOFR, with or without a floor, plus a fixed spread. We can offer no assurances that we will achieve our investment objectives.</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0"/>
        <w:spacing w:after="0" w:line="225" w:lineRule="auto"/>
        <w:rPr>
          <w:sz w:val="20"/>
          <w:szCs w:val="20"/>
          <w:color w:val="auto"/>
        </w:rPr>
      </w:pPr>
      <w:r>
        <w:rPr>
          <w:rFonts w:ascii="Times New Roman" w:cs="Times New Roman" w:eastAsia="Times New Roman" w:hAnsi="Times New Roman"/>
          <w:sz w:val="15"/>
          <w:szCs w:val="15"/>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5"/>
          <w:szCs w:val="15"/>
          <w:u w:val="single" w:color="auto"/>
          <w:color w:val="0000EE"/>
        </w:rPr>
        <w:t>Risk Factors</w:t>
      </w:r>
      <w:r>
        <w:rPr>
          <w:rFonts w:ascii="Times New Roman" w:cs="Times New Roman" w:eastAsia="Times New Roman" w:hAnsi="Times New Roman"/>
          <w:sz w:val="15"/>
          <w:szCs w:val="15"/>
          <w:color w:val="auto"/>
        </w:rPr>
        <w:t>” on page 11 and “</w:t>
      </w:r>
      <w:r>
        <w:rPr>
          <w:rFonts w:ascii="Times New Roman" w:cs="Times New Roman" w:eastAsia="Times New Roman" w:hAnsi="Times New Roman"/>
          <w:sz w:val="15"/>
          <w:szCs w:val="15"/>
          <w:u w:val="single" w:color="auto"/>
          <w:color w:val="0000EE"/>
        </w:rPr>
        <w:t>Sales of Common Stock Below Net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Asset Value</w:t>
      </w:r>
      <w:r>
        <w:rPr>
          <w:rFonts w:ascii="Times New Roman" w:cs="Times New Roman" w:eastAsia="Times New Roman" w:hAnsi="Times New Roman"/>
          <w:sz w:val="15"/>
          <w:szCs w:val="15"/>
          <w:color w:val="000000"/>
        </w:rPr>
        <w:t>” on page 17 of this prospectus for more information.</w:t>
      </w:r>
    </w:p>
    <w:p>
      <w:pPr>
        <w:spacing w:after="0" w:line="32"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“PFLT.” Prior to April 14, 2022, our common stock was traded on The Nasdaq Global Select Market under the same symbol. The last reported closing price for our common stock on May 23, 2024 was $11.26 per share, and our NAV on March 31, 2024 was $11.40 per share.</w:t>
      </w:r>
    </w:p>
    <w:p>
      <w:pPr>
        <w:spacing w:after="0" w:line="16" w:lineRule="exact"/>
        <w:rPr>
          <w:sz w:val="20"/>
          <w:szCs w:val="20"/>
          <w:color w:val="auto"/>
        </w:rPr>
      </w:pPr>
    </w:p>
    <w:p>
      <w:pPr>
        <w:ind w:right="40" w:firstLine="450"/>
        <w:spacing w:after="0" w:line="226" w:lineRule="auto"/>
        <w:rPr>
          <w:sz w:val="20"/>
          <w:szCs w:val="20"/>
          <w:color w:val="auto"/>
        </w:rPr>
      </w:pPr>
      <w:r>
        <w:rPr>
          <w:rFonts w:ascii="Times New Roman" w:cs="Times New Roman" w:eastAsia="Times New Roman" w:hAnsi="Times New Roman"/>
          <w:sz w:val="15"/>
          <w:szCs w:val="15"/>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5"/>
          <w:szCs w:val="15"/>
          <w:i w:val="1"/>
          <w:iCs w:val="1"/>
          <w:u w:val="single" w:color="auto"/>
          <w:color w:val="auto"/>
        </w:rPr>
        <w:t>www.pennantpark.com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5"/>
          <w:szCs w:val="15"/>
          <w:i w:val="1"/>
          <w:iCs w:val="1"/>
          <w:u w:val="single" w:color="auto"/>
          <w:color w:val="auto"/>
        </w:rPr>
        <w:t>www.sec.gov</w:t>
      </w:r>
      <w:r>
        <w:rPr>
          <w:rFonts w:ascii="Times New Roman" w:cs="Times New Roman" w:eastAsia="Times New Roman" w:hAnsi="Times New Roman"/>
          <w:sz w:val="15"/>
          <w:szCs w:val="15"/>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107950</wp:posOffset>
            </wp:positionV>
            <wp:extent cx="15043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8"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11 of this prospectus.</w:t>
      </w:r>
    </w:p>
    <w:p>
      <w:pPr>
        <w:spacing w:after="0" w:line="32" w:lineRule="exact"/>
        <w:rPr>
          <w:sz w:val="20"/>
          <w:szCs w:val="20"/>
          <w:color w:val="auto"/>
        </w:rPr>
      </w:pPr>
    </w:p>
    <w:p>
      <w:pPr>
        <w:ind w:right="540" w:firstLine="450"/>
        <w:spacing w:after="0" w:line="253"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100330</wp:posOffset>
            </wp:positionV>
            <wp:extent cx="1504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sales of securities unless accompanied by a prospectus supplement.</w:t>
      </w:r>
    </w:p>
    <w:p>
      <w:pPr>
        <w:spacing w:after="0" w:line="6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Prospectus dated July 17, 2024</w:t>
      </w:r>
    </w:p>
    <w:p>
      <w:pPr>
        <w:sectPr>
          <w:pgSz w:w="11900" w:h="16838" w:orient="portrait"/>
          <w:cols w:equalWidth="0" w:num="1">
            <w:col w:w="11240"/>
          </w:cols>
          <w:pgMar w:left="320" w:top="44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860" w:type="dxa"/>
            <w:vAlign w:val="bottom"/>
            <w:gridSpan w:val="19"/>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7"/>
            <w:vMerge w:val="continue"/>
          </w:tcPr>
          <w:p>
            <w:pPr>
              <w:spacing w:after="0"/>
              <w:rPr>
                <w:sz w:val="14"/>
                <w:szCs w:val="14"/>
                <w:color w:val="auto"/>
              </w:rPr>
            </w:pPr>
          </w:p>
        </w:tc>
        <w:tc>
          <w:tcPr>
            <w:tcW w:w="8860" w:type="dxa"/>
            <w:vAlign w:val="bottom"/>
            <w:gridSpan w:val="19"/>
            <w:vMerge w:val="continue"/>
          </w:tcPr>
          <w:p>
            <w:pPr>
              <w:spacing w:after="0"/>
              <w:rPr>
                <w:sz w:val="14"/>
                <w:szCs w:val="14"/>
                <w:color w:val="auto"/>
              </w:rPr>
            </w:pPr>
          </w:p>
        </w:tc>
        <w:tc>
          <w:tcPr>
            <w:tcW w:w="3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8840" w:type="dxa"/>
            <w:vAlign w:val="bottom"/>
            <w:gridSpan w:val="1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8040" w:type="dxa"/>
            <w:vAlign w:val="bottom"/>
            <w:gridSpan w:val="1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9160" w:type="dxa"/>
            <w:vAlign w:val="bottom"/>
            <w:gridSpan w:val="21"/>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19"/>
          </w:tcPr>
          <w:p>
            <w:pPr>
              <w:spacing w:after="0"/>
              <w:rPr>
                <w:sz w:val="16"/>
                <w:szCs w:val="16"/>
                <w:color w:val="auto"/>
              </w:rPr>
            </w:pPr>
          </w:p>
        </w:tc>
        <w:tc>
          <w:tcPr>
            <w:tcW w:w="6380" w:type="dxa"/>
            <w:vAlign w:val="bottom"/>
            <w:gridSpan w:val="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5380" w:type="dxa"/>
            <w:vAlign w:val="bottom"/>
            <w:gridSpan w:val="2"/>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7620" w:type="dxa"/>
            <w:vAlign w:val="bottom"/>
            <w:gridSpan w:val="10"/>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7420" w:type="dxa"/>
            <w:vAlign w:val="bottom"/>
            <w:gridSpan w:val="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7100" w:type="dxa"/>
            <w:vAlign w:val="bottom"/>
            <w:gridSpan w:val="7"/>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6520" w:type="dxa"/>
            <w:vAlign w:val="bottom"/>
            <w:gridSpan w:val="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3"/>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6140" w:type="dxa"/>
            <w:vAlign w:val="bottom"/>
            <w:gridSpan w:val="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510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3"/>
          </w:tcPr>
          <w:p>
            <w:pPr>
              <w:spacing w:after="0"/>
              <w:rPr>
                <w:sz w:val="16"/>
                <w:szCs w:val="16"/>
                <w:color w:val="auto"/>
              </w:rPr>
            </w:pPr>
          </w:p>
        </w:tc>
        <w:tc>
          <w:tcPr>
            <w:tcW w:w="6220" w:type="dxa"/>
            <w:vAlign w:val="bottom"/>
            <w:gridSpan w:val="4"/>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8080" w:type="dxa"/>
            <w:vAlign w:val="bottom"/>
            <w:gridSpan w:val="1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640" w:type="dxa"/>
            <w:vAlign w:val="bottom"/>
            <w:gridSpan w:val="1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448"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16"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452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9940" cy="54521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4" w:lineRule="exact"/>
        <w:rPr>
          <w:sz w:val="20"/>
          <w:szCs w:val="20"/>
          <w:color w:val="auto"/>
        </w:rPr>
      </w:pPr>
    </w:p>
    <w:p>
      <w:pPr>
        <w:ind w:left="200" w:firstLine="435"/>
        <w:spacing w:after="0" w:line="277" w:lineRule="auto"/>
        <w:rPr>
          <w:sz w:val="20"/>
          <w:szCs w:val="20"/>
          <w:color w:val="auto"/>
        </w:rPr>
      </w:pPr>
      <w:r>
        <w:rPr>
          <w:rFonts w:ascii="Times New Roman" w:cs="Times New Roman" w:eastAsia="Times New Roman" w:hAnsi="Times New Roman"/>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 owned consolidated subsidiaries; “Funding I” refers to PennantPark Floating Rate Funding I, LLC; “Taxable Subsidiary” refers to collectively PFLT Investment Holdings, LLC and PFLT Investment Holdings II, LLC; “PSSL” refers to PennantPark Senior Secured Loan Fund I LLC, an unconsolidated joint venture; “PTSF” refers to PennantPark-TSO Senior Loan Fund, LP, an unconsolidated limited partnership; “PennantPark Investment Advisers” and “Investment Adviser” refer to PennantPark Investment Advisers, LLC; “PennantPark Investment Administration” and “Administrator” refer to PennantPark Investment Administration, LLC;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 Securitization Issuer” refers to PennantPark CLO VIII, LLC; “2036-Debt Securitization” refers to the $350.6 million term debt securitization completed by the 2036 Securitization Issuer; “2036 Asset-Backed Debt” refers to the issuance of the AAA(sf) Class A-1 Notes, AAA(sf) Class A-2 Notes, AA(sf) Class B Notes, A(sf) Class C Notes, BBB-(sf) Class D Notes, and the borrowing issuance of AAA(sf) Class A-1 floating rate loans.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left="200" w:right="280" w:firstLine="435"/>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9" w:lineRule="exact"/>
        <w:rPr>
          <w:sz w:val="20"/>
          <w:szCs w:val="20"/>
          <w:color w:val="auto"/>
        </w:rPr>
      </w:pPr>
    </w:p>
    <w:p>
      <w:pPr>
        <w:ind w:left="200" w:right="220" w:firstLine="435"/>
        <w:spacing w:after="0" w:line="252"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w:t>
      </w: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48"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5860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9940" cy="55860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spacing w:after="0" w:line="250" w:lineRule="auto"/>
        <w:rPr>
          <w:sz w:val="20"/>
          <w:szCs w:val="20"/>
          <w:color w:val="auto"/>
        </w:rPr>
      </w:pPr>
      <w:r>
        <w:rPr>
          <w:rFonts w:ascii="Times New Roman" w:cs="Times New Roman" w:eastAsia="Times New Roman" w:hAnsi="Times New Roman"/>
          <w:sz w:val="18"/>
          <w:szCs w:val="18"/>
          <w:color w:val="auto"/>
        </w:rPr>
        <w:t>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5" w:lineRule="exact"/>
        <w:rPr>
          <w:sz w:val="20"/>
          <w:szCs w:val="20"/>
          <w:color w:val="auto"/>
        </w:rPr>
      </w:pPr>
    </w:p>
    <w:p>
      <w:pPr>
        <w:ind w:left="200" w:right="160" w:firstLine="435"/>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5" w:lineRule="exact"/>
        <w:rPr>
          <w:sz w:val="20"/>
          <w:szCs w:val="20"/>
          <w:color w:val="auto"/>
        </w:rPr>
      </w:pPr>
    </w:p>
    <w:p>
      <w:pPr>
        <w:jc w:val="both"/>
        <w:ind w:left="200" w:right="120" w:firstLine="435"/>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left="200" w:right="240" w:firstLine="435"/>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ind w:left="200" w:right="80" w:firstLine="435"/>
        <w:spacing w:after="0" w:line="247" w:lineRule="auto"/>
        <w:rPr>
          <w:sz w:val="20"/>
          <w:szCs w:val="20"/>
          <w:color w:val="auto"/>
        </w:rPr>
      </w:pPr>
      <w:r>
        <w:rPr>
          <w:rFonts w:ascii="Times New Roman" w:cs="Times New Roman" w:eastAsia="Times New Roman" w:hAnsi="Times New Roman"/>
          <w:sz w:val="18"/>
          <w:szCs w:val="18"/>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91" w:lineRule="exact"/>
        <w:rPr>
          <w:sz w:val="20"/>
          <w:szCs w:val="20"/>
          <w:color w:val="auto"/>
        </w:rPr>
      </w:pPr>
    </w:p>
    <w:p>
      <w:pPr>
        <w:ind w:left="200" w:right="40" w:firstLine="435"/>
        <w:spacing w:after="0" w:line="256" w:lineRule="auto"/>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$436 million (increased from $386 million on April 9, 2024). The Credit Facility is secured by all of the assets of Funding I.</w:t>
      </w:r>
    </w:p>
    <w:p>
      <w:pPr>
        <w:spacing w:after="0" w:line="180" w:lineRule="exact"/>
        <w:rPr>
          <w:sz w:val="20"/>
          <w:szCs w:val="20"/>
          <w:color w:val="auto"/>
        </w:rPr>
      </w:pPr>
    </w:p>
    <w:p>
      <w:pPr>
        <w:ind w:left="200" w:right="100" w:firstLine="435"/>
        <w:spacing w:after="0" w:line="25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48"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452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9940" cy="54521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right="500" w:firstLine="435"/>
        <w:spacing w:after="0" w:line="268" w:lineRule="auto"/>
        <w:rPr>
          <w:sz w:val="20"/>
          <w:szCs w:val="20"/>
          <w:color w:val="auto"/>
        </w:rPr>
      </w:pPr>
      <w:r>
        <w:rPr>
          <w:rFonts w:ascii="Times New Roman" w:cs="Times New Roman" w:eastAsia="Times New Roman" w:hAnsi="Times New Roman"/>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169" w:lineRule="exact"/>
        <w:rPr>
          <w:sz w:val="20"/>
          <w:szCs w:val="20"/>
          <w:color w:val="auto"/>
        </w:rPr>
      </w:pPr>
    </w:p>
    <w:p>
      <w:pPr>
        <w:ind w:left="200" w:firstLine="435"/>
        <w:spacing w:after="0" w:line="252" w:lineRule="auto"/>
        <w:rPr>
          <w:sz w:val="20"/>
          <w:szCs w:val="20"/>
          <w:color w:val="auto"/>
        </w:rPr>
      </w:pPr>
      <w:r>
        <w:rPr>
          <w:rFonts w:ascii="Times New Roman" w:cs="Times New Roman" w:eastAsia="Times New Roman" w:hAnsi="Times New Roman"/>
          <w:sz w:val="18"/>
          <w:szCs w:val="18"/>
          <w:color w:val="auto"/>
        </w:rPr>
        <w:t>In addition, in April 2021, we formed PTSF, an unconsolidated limited partnership, organized as a Delaware limited liability partnership. As of March 31, 2024, our capital commitment of $15.3 million is fully funded and we hold 23.08% of the total outstanding Class A Units of PTSF and a 4.99% voting interest in the general partner which manages PTSF. PTSF also invests primarily in middle-market and other corporate debt securities consistent with our strategy.</w:t>
      </w:r>
    </w:p>
    <w:p>
      <w:pPr>
        <w:spacing w:after="0" w:line="183" w:lineRule="exact"/>
        <w:rPr>
          <w:sz w:val="20"/>
          <w:szCs w:val="20"/>
          <w:color w:val="auto"/>
        </w:rPr>
      </w:pPr>
    </w:p>
    <w:p>
      <w:pPr>
        <w:ind w:left="200" w:right="380" w:firstLine="435"/>
        <w:spacing w:after="0" w:line="268" w:lineRule="auto"/>
        <w:rPr>
          <w:sz w:val="20"/>
          <w:szCs w:val="20"/>
          <w:color w:val="auto"/>
        </w:rPr>
      </w:pPr>
      <w:r>
        <w:rPr>
          <w:rFonts w:ascii="Times New Roman" w:cs="Times New Roman" w:eastAsia="Times New Roman" w:hAnsi="Times New Roman"/>
          <w:sz w:val="18"/>
          <w:szCs w:val="18"/>
          <w:color w:val="auto"/>
        </w:rPr>
        <w:t>In January 2024, our wholly owned subsidiary, the 2036 Securitization Issuer, was incorporated in Delaware as a limited liability company. We formed the 2036 Securitization Issuer in order to complete the 2036-Debt Securitization.</w:t>
      </w:r>
    </w:p>
    <w:p>
      <w:pPr>
        <w:spacing w:after="0" w:line="169" w:lineRule="exact"/>
        <w:rPr>
          <w:sz w:val="20"/>
          <w:szCs w:val="20"/>
          <w:color w:val="auto"/>
        </w:rPr>
      </w:pPr>
    </w:p>
    <w:p>
      <w:pPr>
        <w:ind w:left="200" w:right="100" w:firstLine="435"/>
        <w:spacing w:after="0" w:line="249" w:lineRule="auto"/>
        <w:rPr>
          <w:sz w:val="20"/>
          <w:szCs w:val="20"/>
          <w:color w:val="auto"/>
        </w:rPr>
      </w:pPr>
      <w:r>
        <w:rPr>
          <w:rFonts w:ascii="Times New Roman" w:cs="Times New Roman" w:eastAsia="Times New Roman" w:hAnsi="Times New Roman"/>
          <w:sz w:val="18"/>
          <w:szCs w:val="18"/>
          <w:color w:val="auto"/>
        </w:rPr>
        <w:t>On February 4, 2022, we formed PFLT Investment Holdings II, LLC, a Delaware limited liability company (“Holdings II”), as a wholly owned subsidiary. On December 31, 2022, we contributed 100% of our interests in PFLT Investment Holdings, LLC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left="200" w:right="40" w:firstLine="435"/>
        <w:spacing w:after="0" w:line="246"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w:t>
      </w:r>
    </w:p>
    <w:p>
      <w:pPr>
        <w:spacing w:after="0" w:line="194" w:lineRule="exact"/>
        <w:rPr>
          <w:sz w:val="20"/>
          <w:szCs w:val="20"/>
          <w:color w:val="auto"/>
        </w:rPr>
      </w:pPr>
    </w:p>
    <w:p>
      <w:pPr>
        <w:ind w:left="200" w:right="20" w:firstLine="435"/>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w:t>
      </w:r>
      <w:hyperlink r:id="rId9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48"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5895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9940" cy="58953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1" w:lineRule="exact"/>
        <w:rPr>
          <w:sz w:val="20"/>
          <w:szCs w:val="20"/>
          <w:color w:val="auto"/>
        </w:rPr>
      </w:pPr>
    </w:p>
    <w:p>
      <w:pPr>
        <w:ind w:left="200" w:firstLine="435"/>
        <w:spacing w:after="0" w:line="268"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ind w:left="1160" w:right="520" w:hanging="430"/>
        <w:spacing w:after="0" w:line="257"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raising debt in private markets. </w:t>
      </w:r>
      <w:r>
        <w:rPr>
          <w:rFonts w:ascii="Times New Roman" w:cs="Times New Roman" w:eastAsia="Times New Roman" w:hAnsi="Times New Roman"/>
          <w:sz w:val="18"/>
          <w:szCs w:val="18"/>
          <w:color w:val="auto"/>
        </w:rPr>
        <w:t>From time to time, banks,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5" w:lineRule="exact"/>
        <w:rPr>
          <w:rFonts w:ascii="Times New Roman" w:cs="Times New Roman" w:eastAsia="Times New Roman" w:hAnsi="Times New Roman"/>
          <w:sz w:val="18"/>
          <w:szCs w:val="18"/>
          <w:color w:val="auto"/>
        </w:rPr>
      </w:pPr>
    </w:p>
    <w:p>
      <w:pPr>
        <w:ind w:left="1160" w:right="200" w:hanging="430"/>
        <w:spacing w:after="0" w:line="253"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8"/>
          <w:szCs w:val="18"/>
          <w:color w:val="auto"/>
        </w:rPr>
        <w:t>Many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7" w:lineRule="exact"/>
        <w:rPr>
          <w:rFonts w:ascii="Times New Roman" w:cs="Times New Roman" w:eastAsia="Times New Roman" w:hAnsi="Times New Roman"/>
          <w:sz w:val="18"/>
          <w:szCs w:val="18"/>
          <w:color w:val="auto"/>
        </w:rPr>
      </w:pPr>
    </w:p>
    <w:p>
      <w:pPr>
        <w:jc w:val="both"/>
        <w:ind w:left="1160" w:right="120" w:hanging="430"/>
        <w:spacing w:after="0" w:line="257"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8"/>
          <w:szCs w:val="18"/>
          <w:color w:val="auto"/>
        </w:rPr>
        <w:t>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85" w:lineRule="exact"/>
        <w:rPr>
          <w:rFonts w:ascii="Times New Roman" w:cs="Times New Roman" w:eastAsia="Times New Roman" w:hAnsi="Times New Roman"/>
          <w:sz w:val="18"/>
          <w:szCs w:val="18"/>
          <w:color w:val="auto"/>
        </w:rPr>
      </w:pPr>
    </w:p>
    <w:p>
      <w:pPr>
        <w:ind w:left="1160" w:right="100" w:hanging="430"/>
        <w:spacing w:after="0" w:line="253"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8"/>
          <w:szCs w:val="18"/>
          <w:color w:val="auto"/>
        </w:rPr>
        <w:t>We expect that private equity firms will continue to be active investors in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87" w:lineRule="exact"/>
        <w:rPr>
          <w:rFonts w:ascii="Times New Roman" w:cs="Times New Roman" w:eastAsia="Times New Roman" w:hAnsi="Times New Roman"/>
          <w:sz w:val="18"/>
          <w:szCs w:val="18"/>
          <w:color w:val="auto"/>
        </w:rPr>
      </w:pPr>
    </w:p>
    <w:p>
      <w:pPr>
        <w:ind w:left="1160" w:right="20" w:hanging="430"/>
        <w:spacing w:after="0" w:line="249" w:lineRule="auto"/>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8"/>
          <w:szCs w:val="18"/>
          <w:color w:val="auto"/>
        </w:rPr>
        <w:t>A high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1" w:lineRule="exact"/>
        <w:rPr>
          <w:sz w:val="20"/>
          <w:szCs w:val="20"/>
          <w:color w:val="auto"/>
        </w:rPr>
      </w:pPr>
    </w:p>
    <w:p>
      <w:pPr>
        <w:ind w:left="200" w:right="20" w:firstLine="435"/>
        <w:spacing w:after="0" w:line="303" w:lineRule="auto"/>
        <w:rPr>
          <w:sz w:val="20"/>
          <w:szCs w:val="20"/>
          <w:color w:val="auto"/>
        </w:rPr>
      </w:pPr>
      <w:r>
        <w:rPr>
          <w:rFonts w:ascii="Times New Roman" w:cs="Times New Roman" w:eastAsia="Times New Roman" w:hAnsi="Times New Roman"/>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intend to continue our monthly distributions to our stockholders. Our monthly distributions, if any, are determined by our board of directors.</w:t>
      </w:r>
    </w:p>
    <w:p>
      <w:pPr>
        <w:spacing w:after="0" w:line="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Distributions may include a return of capital. See “Distributions” for more information.</w:t>
      </w: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11" w:lineRule="exact"/>
        <w:rPr>
          <w:sz w:val="20"/>
          <w:szCs w:val="20"/>
          <w:color w:val="auto"/>
        </w:rPr>
      </w:pPr>
    </w:p>
    <w:p>
      <w:pPr>
        <w:ind w:left="200" w:right="480" w:firstLine="435"/>
        <w:spacing w:after="0" w:line="268" w:lineRule="auto"/>
        <w:rPr>
          <w:sz w:val="20"/>
          <w:szCs w:val="20"/>
          <w:color w:val="auto"/>
        </w:rPr>
      </w:pPr>
      <w:r>
        <w:rPr>
          <w:rFonts w:ascii="Times New Roman" w:cs="Times New Roman" w:eastAsia="Times New Roman" w:hAnsi="Times New Roman"/>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320" w:top="448"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4784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9940" cy="47840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right="40"/>
        <w:spacing w:after="0" w:line="252" w:lineRule="auto"/>
        <w:rPr>
          <w:sz w:val="20"/>
          <w:szCs w:val="20"/>
          <w:color w:val="auto"/>
        </w:rPr>
      </w:pPr>
      <w:r>
        <w:rPr>
          <w:rFonts w:ascii="Times New Roman" w:cs="Times New Roman" w:eastAsia="Times New Roman" w:hAnsi="Times New Roman"/>
          <w:sz w:val="18"/>
          <w:szCs w:val="18"/>
          <w:color w:val="auto"/>
        </w:rPr>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are subject to extension. The dividend rate could be variable and determined for each dividend period. See “Description of our Preferred Stock” for more information.</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1" w:lineRule="exact"/>
        <w:rPr>
          <w:sz w:val="20"/>
          <w:szCs w:val="20"/>
          <w:color w:val="auto"/>
        </w:rPr>
      </w:pPr>
    </w:p>
    <w:p>
      <w:pPr>
        <w:ind w:left="200" w:right="60" w:firstLine="435"/>
        <w:spacing w:after="0" w:line="268" w:lineRule="auto"/>
        <w:rPr>
          <w:sz w:val="20"/>
          <w:szCs w:val="20"/>
          <w:color w:val="auto"/>
        </w:rPr>
      </w:pPr>
      <w:r>
        <w:rPr>
          <w:rFonts w:ascii="Times New Roman" w:cs="Times New Roman" w:eastAsia="Times New Roman" w:hAnsi="Times New Roman"/>
          <w:sz w:val="18"/>
          <w:szCs w:val="18"/>
          <w:color w:val="auto"/>
        </w:rPr>
        <w:t>We may offer, from time to time, up to $1,000,000,000 of our securities, on terms to be determined at the time of each such offering and set forth in a supplement to this prospectus.</w:t>
      </w:r>
    </w:p>
    <w:p>
      <w:pPr>
        <w:spacing w:after="0" w:line="169" w:lineRule="exact"/>
        <w:rPr>
          <w:sz w:val="20"/>
          <w:szCs w:val="20"/>
          <w:color w:val="auto"/>
        </w:rPr>
      </w:pPr>
    </w:p>
    <w:p>
      <w:pPr>
        <w:ind w:left="200" w:firstLine="435"/>
        <w:spacing w:after="0" w:line="284" w:lineRule="auto"/>
        <w:rPr>
          <w:sz w:val="20"/>
          <w:szCs w:val="20"/>
          <w:color w:val="auto"/>
        </w:rPr>
      </w:pPr>
      <w:r>
        <w:rPr>
          <w:rFonts w:ascii="Times New Roman" w:cs="Times New Roman" w:eastAsia="Times New Roman" w:hAnsi="Times New Roman"/>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A supplement to this prospectus relating to any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60" w:lineRule="exact"/>
        <w:rPr>
          <w:sz w:val="20"/>
          <w:szCs w:val="20"/>
          <w:color w:val="auto"/>
        </w:rPr>
      </w:pPr>
    </w:p>
    <w:p>
      <w:pPr>
        <w:ind w:left="200" w:right="40" w:firstLine="435"/>
        <w:spacing w:after="0" w:line="268"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11" w:lineRule="exact"/>
        <w:rPr>
          <w:sz w:val="20"/>
          <w:szCs w:val="20"/>
          <w:color w:val="auto"/>
        </w:rPr>
      </w:pPr>
    </w:p>
    <w:p>
      <w:pPr>
        <w:ind w:left="200" w:right="80" w:firstLine="435"/>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w:t>
      </w:r>
      <w:hyperlink r:id="rId96">
        <w:r>
          <w:rPr>
            <w:rFonts w:ascii="Times New Roman" w:cs="Times New Roman" w:eastAsia="Times New Roman" w:hAnsi="Times New Roman"/>
            <w:sz w:val="18"/>
            <w:szCs w:val="18"/>
            <w:color w:val="auto"/>
          </w:rPr>
          <w:t xml:space="preserve">that are incorporated by reference into this prospectus, including the section titled “Risk Factors” included in our most recent Annual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Quarterly Reports on</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Form 10-Q</w:t>
        </w:r>
      </w:hyperlink>
      <w:hyperlink r:id="rId96">
        <w:r>
          <w:rPr>
            <w:rFonts w:ascii="Times New Roman" w:cs="Times New Roman" w:eastAsia="Times New Roman" w:hAnsi="Times New Roman"/>
            <w:sz w:val="18"/>
            <w:szCs w:val="18"/>
            <w:color w:val="000000"/>
          </w:rPr>
          <w:t>, as well as any amendments reflected in subsequent filings with the SEC.</w:t>
        </w:r>
      </w:hyperlink>
    </w:p>
    <w:p>
      <w:pPr>
        <w:spacing w:after="0" w:line="287" w:lineRule="exact"/>
        <w:rPr>
          <w:rFonts w:ascii="Times New Roman" w:cs="Times New Roman" w:eastAsia="Times New Roman" w:hAnsi="Times New Roman"/>
          <w:sz w:val="18"/>
          <w:szCs w:val="18"/>
          <w:color w:val="0000EE"/>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1" w:lineRule="exact"/>
        <w:rPr>
          <w:rFonts w:ascii="Times New Roman" w:cs="Times New Roman" w:eastAsia="Times New Roman" w:hAnsi="Times New Roman"/>
          <w:sz w:val="18"/>
          <w:szCs w:val="18"/>
          <w:color w:val="0000EE"/>
        </w:rPr>
      </w:pPr>
    </w:p>
    <w:p>
      <w:pPr>
        <w:ind w:left="200" w:right="120" w:firstLine="435"/>
        <w:spacing w:after="0" w:line="252"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phone number is (786) 297-9500,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02" w:lineRule="exact"/>
        <w:rPr>
          <w:rFonts w:ascii="Times New Roman" w:cs="Times New Roman" w:eastAsia="Times New Roman" w:hAnsi="Times New Roman"/>
          <w:sz w:val="18"/>
          <w:szCs w:val="18"/>
          <w:color w:val="0000EE"/>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48"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16"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200" w:type="dxa"/>
            <w:vAlign w:val="bottom"/>
            <w:shd w:val="clear" w:color="auto" w:fill="CCEEFF"/>
          </w:tcPr>
          <w:p>
            <w:pPr>
              <w:spacing w:after="0"/>
              <w:rPr>
                <w:sz w:val="18"/>
                <w:szCs w:val="18"/>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4"/>
                <w:szCs w:val="24"/>
                <w:color w:val="auto"/>
                <w:vertAlign w:val="superscript"/>
              </w:rPr>
              <w:t>(1)</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200" w:type="dxa"/>
            <w:vAlign w:val="bottom"/>
            <w:shd w:val="clear" w:color="auto" w:fill="CCEEFF"/>
          </w:tcPr>
          <w:p>
            <w:pPr>
              <w:ind w:left="58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1"/>
                <w:szCs w:val="11"/>
                <w:color w:val="auto"/>
              </w:rPr>
              <w:t xml:space="preserve"> (2)</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1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r>
      <w:tr>
        <w:trPr>
          <w:trHeight w:val="190"/>
        </w:trPr>
        <w:tc>
          <w:tcPr>
            <w:tcW w:w="64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w:t>
            </w:r>
          </w:p>
        </w:tc>
        <w:tc>
          <w:tcPr>
            <w:tcW w:w="1200" w:type="dxa"/>
            <w:vAlign w:val="bottom"/>
            <w:shd w:val="clear" w:color="auto" w:fill="CCEEFF"/>
          </w:tcPr>
          <w:p>
            <w:pPr>
              <w:spacing w:after="0"/>
              <w:rPr>
                <w:sz w:val="16"/>
                <w:szCs w:val="16"/>
                <w:color w:val="auto"/>
              </w:rPr>
            </w:pPr>
          </w:p>
        </w:tc>
      </w:tr>
      <w:tr>
        <w:trPr>
          <w:trHeight w:val="231"/>
        </w:trPr>
        <w:tc>
          <w:tcPr>
            <w:tcW w:w="644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26"/>
                <w:szCs w:val="26"/>
                <w:b w:val="1"/>
                <w:bCs w:val="1"/>
                <w:color w:val="auto"/>
                <w:vertAlign w:val="superscript"/>
              </w:rPr>
              <w:t>(3)</w:t>
            </w:r>
          </w:p>
        </w:tc>
        <w:tc>
          <w:tcPr>
            <w:tcW w:w="1200" w:type="dxa"/>
            <w:vAlign w:val="bottom"/>
            <w:shd w:val="clear" w:color="auto" w:fill="CCEEFF"/>
          </w:tcPr>
          <w:p>
            <w:pPr>
              <w:spacing w:after="0"/>
              <w:rPr>
                <w:sz w:val="20"/>
                <w:szCs w:val="20"/>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1.98%</w:t>
            </w:r>
            <w:r>
              <w:rPr>
                <w:rFonts w:ascii="Times New Roman" w:cs="Times New Roman" w:eastAsia="Times New Roman" w:hAnsi="Times New Roman"/>
                <w:sz w:val="24"/>
                <w:szCs w:val="24"/>
                <w:color w:val="auto"/>
                <w:vertAlign w:val="superscript"/>
              </w:rPr>
              <w:t>(4)</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2.76%</w:t>
            </w:r>
            <w:r>
              <w:rPr>
                <w:rFonts w:ascii="Times New Roman" w:cs="Times New Roman" w:eastAsia="Times New Roman" w:hAnsi="Times New Roman"/>
                <w:sz w:val="24"/>
                <w:szCs w:val="24"/>
                <w:color w:val="auto"/>
                <w:vertAlign w:val="superscript"/>
              </w:rPr>
              <w:t>(5)</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8.50%</w:t>
            </w:r>
            <w:r>
              <w:rPr>
                <w:rFonts w:ascii="Times New Roman" w:cs="Times New Roman" w:eastAsia="Times New Roman" w:hAnsi="Times New Roman"/>
                <w:sz w:val="24"/>
                <w:szCs w:val="24"/>
                <w:color w:val="auto"/>
                <w:vertAlign w:val="superscript"/>
              </w:rPr>
              <w:t>(6)</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12.26%</w:t>
            </w:r>
            <w:r>
              <w:rPr>
                <w:rFonts w:ascii="Times New Roman" w:cs="Times New Roman" w:eastAsia="Times New Roman" w:hAnsi="Times New Roman"/>
                <w:sz w:val="24"/>
                <w:szCs w:val="24"/>
                <w:color w:val="auto"/>
                <w:vertAlign w:val="superscript"/>
              </w:rPr>
              <w:t>(7)</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1.38%</w:t>
            </w:r>
            <w:r>
              <w:rPr>
                <w:rFonts w:ascii="Times New Roman" w:cs="Times New Roman" w:eastAsia="Times New Roman" w:hAnsi="Times New Roman"/>
                <w:sz w:val="24"/>
                <w:szCs w:val="24"/>
                <w:color w:val="auto"/>
                <w:vertAlign w:val="superscript"/>
              </w:rPr>
              <w:t>(8)</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26.88%</w:t>
            </w:r>
            <w:r>
              <w:rPr>
                <w:rFonts w:ascii="Times New Roman" w:cs="Times New Roman" w:eastAsia="Times New Roman" w:hAnsi="Times New Roman"/>
                <w:sz w:val="24"/>
                <w:szCs w:val="24"/>
                <w:color w:val="auto"/>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854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right="460" w:hanging="455"/>
        <w:spacing w:after="0" w:line="254"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any applicable prospectus relates are sold to or through underwriters or agents, a corresponding prospectus supplement will disclose the applicable sales load.</w:t>
      </w:r>
    </w:p>
    <w:p>
      <w:pPr>
        <w:ind w:left="460" w:right="660" w:hanging="455"/>
        <w:spacing w:after="0" w:line="244"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ind w:left="460" w:hanging="455"/>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for the fiscal quarter ended March 31, 2024.</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March 31, 2024.</w:t>
      </w:r>
    </w:p>
    <w:p>
      <w:pPr>
        <w:spacing w:after="0" w:line="3" w:lineRule="exact"/>
        <w:rPr>
          <w:rFonts w:ascii="Times New Roman" w:cs="Times New Roman" w:eastAsia="Times New Roman" w:hAnsi="Times New Roman"/>
          <w:sz w:val="18"/>
          <w:szCs w:val="18"/>
          <w:color w:val="auto"/>
        </w:rPr>
      </w:pPr>
    </w:p>
    <w:p>
      <w:pPr>
        <w:ind w:left="460" w:hanging="455"/>
        <w:spacing w:after="0" w:line="244"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incentive fees paid with respect to net investment income and capital gains, if any, is based on actual amounts incurred during the fiscal quarter ended March 31, 2024.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w:t>
      </w:r>
      <w:hyperlink r:id="rId10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$168.9 million in borrowings outstanding under the Credit Facility, $185.0 million outstanding under of 2026 Notes,</w:t>
      </w:r>
    </w:p>
    <w:p>
      <w:pPr>
        <w:spacing w:after="0" w:line="3" w:lineRule="exact"/>
        <w:rPr>
          <w:rFonts w:ascii="Times New Roman" w:cs="Times New Roman" w:eastAsia="Times New Roman" w:hAnsi="Times New Roman"/>
          <w:sz w:val="18"/>
          <w:szCs w:val="18"/>
          <w:color w:val="auto"/>
        </w:rPr>
      </w:pPr>
    </w:p>
    <w:p>
      <w:pPr>
        <w:ind w:left="460" w:right="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$226.3 million outstanding under the 2031 Asset-Backed Debt and $287.0 million outstanding under the 2036 Asset-Backed Debt. We may use proceeds of an offering of securities under any applicable registration statement to repay outstanding obligations under our existing financing arrangements or other indebtedness. After completing any such offering, we may continue to borrow under our existing financing arrangements to finance our investment objectives. We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44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460" w:right="60"/>
        <w:spacing w:after="0" w:line="254" w:lineRule="auto"/>
        <w:rPr>
          <w:sz w:val="20"/>
          <w:szCs w:val="20"/>
          <w:color w:val="auto"/>
        </w:rPr>
      </w:pPr>
      <w:r>
        <w:rPr>
          <w:rFonts w:ascii="Times New Roman" w:cs="Times New Roman" w:eastAsia="Times New Roman" w:hAnsi="Times New Roman"/>
          <w:sz w:val="18"/>
          <w:szCs w:val="18"/>
          <w:color w:val="auto"/>
        </w:rPr>
        <w:t>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jc w:val="both"/>
        <w:ind w:left="460" w:right="80" w:hanging="455"/>
        <w:spacing w:after="0" w:line="24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w:t>
      </w:r>
    </w:p>
    <w:p>
      <w:pPr>
        <w:spacing w:after="0" w:line="189" w:lineRule="exact"/>
        <w:rPr>
          <w:rFonts w:ascii="Times New Roman" w:cs="Times New Roman" w:eastAsia="Times New Roman" w:hAnsi="Times New Roman"/>
          <w:sz w:val="18"/>
          <w:szCs w:val="18"/>
          <w:color w:val="auto"/>
        </w:rPr>
      </w:pPr>
    </w:p>
    <w:p>
      <w:pPr>
        <w:ind w:left="460" w:right="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23.08% of the expenses of our investment in PTSF. A management fee equal to 0.50% per annum of the gross assets of PTSF and its subsidiaries is charged by PennantPark Investment Advisers in connection with PTSF and the entity is subject to an incentive fee of 20% of residual income proceeds after the internal rate of return on the equity has reached at least 12%.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460" w:right="20" w:hanging="455"/>
        <w:spacing w:after="0" w:line="244"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w:t>
      </w:r>
    </w:p>
    <w:p>
      <w:pPr>
        <w:ind w:left="460" w:hanging="455"/>
        <w:spacing w:after="0" w:line="244"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24.12% of average net assets attributable to common shares as set forth in the table above (other than performance-based incentive fees) and (3) a 5% annual return.</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 investment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92"/>
        </w:trPr>
        <w:tc>
          <w:tcPr>
            <w:tcW w:w="69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$ 1,004</w:t>
            </w:r>
          </w:p>
        </w:tc>
      </w:tr>
      <w:tr>
        <w:trPr>
          <w:trHeight w:val="192"/>
        </w:trPr>
        <w:tc>
          <w:tcPr>
            <w:tcW w:w="6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 gains and thus subject</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capital gains incentive fee)</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$ 1,004</w:t>
            </w:r>
          </w:p>
        </w:tc>
      </w:tr>
    </w:tbl>
    <w:p>
      <w:pPr>
        <w:spacing w:after="0" w:line="193" w:lineRule="exact"/>
        <w:rPr>
          <w:sz w:val="20"/>
          <w:szCs w:val="20"/>
          <w:color w:val="auto"/>
        </w:rPr>
      </w:pPr>
    </w:p>
    <w:p>
      <w:pPr>
        <w:ind w:firstLine="450"/>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 in our most recent Annual Report on </w:t>
      </w:r>
      <w:hyperlink r:id="rId102">
        <w:r>
          <w:rPr>
            <w:rFonts w:ascii="Times New Roman" w:cs="Times New Roman" w:eastAsia="Times New Roman" w:hAnsi="Times New Roman"/>
            <w:sz w:val="16"/>
            <w:szCs w:val="16"/>
            <w:u w:val="single" w:color="auto"/>
            <w:color w:val="0000EE"/>
          </w:rPr>
          <w:t>Form 10-K</w:t>
        </w:r>
      </w:hyperlink>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44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16" w:lineRule="exact"/>
        <w:rPr>
          <w:sz w:val="20"/>
          <w:szCs w:val="20"/>
          <w:color w:val="auto"/>
        </w:rPr>
      </w:pPr>
    </w:p>
    <w:p>
      <w:pPr>
        <w:ind w:right="140" w:firstLine="450"/>
        <w:spacing w:after="0" w:line="24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data set forth in the following table as of and for the years ended September 30, 2023, 2022, 2021, 2020, 2019, 2018, 2017, 2016, 2015 and 2014 are derived from our consolidated financial statements, which have been audited by an independent registered public accounting firm for those periods. The financial data set forth in the following table as of and for the six months ended March 31, 2024 is derived from our unaudited consolidated financial statements, but in the opinion of management, reflects all adjustments (consisting only of normal recurring adjustments) that are necessary to present fairly the results of such interim period. Interim results as of and for the six months ended March 31, 2024 are not necessarily indicative of the results that may be expected for the year ending September 30, 2024. This financial data should be read in conjunction with our Consolidated Financial Statements and related notes thereto and “Management’s Discussion and Analysis of Financial Condition and Results of Operations” included in our most recent Annual Report on </w:t>
      </w:r>
      <w:hyperlink r:id="rId9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most recent Quarterly Report on</w:t>
      </w:r>
      <w:r>
        <w:rPr>
          <w:rFonts w:ascii="Times New Roman" w:cs="Times New Roman" w:eastAsia="Times New Roman" w:hAnsi="Times New Roman"/>
          <w:sz w:val="18"/>
          <w:szCs w:val="18"/>
          <w:color w:val="0000EE"/>
        </w:rPr>
        <w:t xml:space="preserve"> </w:t>
      </w:r>
      <w:hyperlink r:id="rId104">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000000"/>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six months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ended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beginning of</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investment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realized and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unrealized (loss)</w:t>
            </w: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(0.56)</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(1)</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increase in net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assets resulting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from</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0.77</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Distribution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Distribution of</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gains</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Total distributions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stockholders (1),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4"/>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Accretive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(dilutive) effect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of common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and acquisition</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MCG (1)</w:t>
            </w: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00" w:type="dxa"/>
            <w:vAlign w:val="bottom"/>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 of period</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Per share market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value, end of</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9.60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return*(3)</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12.76%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23.84%</w:t>
            </w:r>
          </w:p>
        </w:tc>
        <w:tc>
          <w:tcPr>
            <w:tcW w:w="60" w:type="dxa"/>
            <w:vAlign w:val="bottom"/>
          </w:tcPr>
          <w:p>
            <w:pPr>
              <w:spacing w:after="0"/>
              <w:rPr>
                <w:sz w:val="13"/>
                <w:szCs w:val="13"/>
                <w:color w:val="auto"/>
              </w:rPr>
            </w:pPr>
          </w:p>
        </w:tc>
        <w:tc>
          <w:tcPr>
            <w:tcW w:w="9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(17.76)%</w:t>
            </w: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66.47%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(17.15)%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63,228,138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58,734,702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45,345,638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38,880,728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8"/>
              </w:rPr>
              <w:t>38,772,074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32,480,074</w:t>
            </w: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26,730,074</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5"/>
              </w:rPr>
              <w:t>26,730,074</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14,898,056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end of 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4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Ratios**/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Supplemental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operating</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(4)</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debt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related expenses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6.68%</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5.85%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total</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11.19%</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income 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11.82%</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assets at end of</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720,711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653,605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527,092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490,611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477,270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503,057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535,842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457,906</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375,907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372,890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214,528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outstanding</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667,111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615,068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698,765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622,739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737,209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512,135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354,322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269,320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140,218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123,924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147,599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per</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(1)</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Asset coverage per</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2,304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1,784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1,786</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(6)</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Portfolio turnover</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28.64%</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45.03%</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62.58%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35.08%</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32.16%</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40"/>
          </w:cols>
          <w:pgMar w:left="320" w:top="448" w:right="239" w:bottom="1440" w:gutter="0" w:footer="0" w:header="0"/>
        </w:sect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40"/>
          </w:cols>
          <w:pgMar w:left="320" w:top="448" w:right="2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expense and investment income ratios above do not reflect the Company’s proportionate share of income and expenses of PSSL and PTSF.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854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68" w:lineRule="exact"/>
        <w:rPr>
          <w:sz w:val="20"/>
          <w:szCs w:val="20"/>
          <w:color w:val="auto"/>
        </w:rPr>
      </w:pPr>
    </w:p>
    <w:p>
      <w:pPr>
        <w:ind w:left="460" w:hanging="455"/>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 for periods less than one year.</w:t>
      </w:r>
    </w:p>
    <w:p>
      <w:pPr>
        <w:spacing w:after="0" w:line="21" w:lineRule="exact"/>
        <w:rPr>
          <w:sz w:val="20"/>
          <w:szCs w:val="20"/>
          <w:color w:val="auto"/>
        </w:rPr>
      </w:pPr>
    </w:p>
    <w:p>
      <w:pPr>
        <w:ind w:left="460" w:hanging="455"/>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Re-occuring investment income and expenses included in these ratios are annualized for periods less than one year.</w:t>
      </w:r>
    </w:p>
    <w:p>
      <w:pPr>
        <w:spacing w:after="0" w:line="4" w:lineRule="exact"/>
        <w:rPr>
          <w:sz w:val="20"/>
          <w:szCs w:val="20"/>
          <w:color w:val="auto"/>
        </w:rPr>
      </w:pPr>
    </w:p>
    <w:p>
      <w:pPr>
        <w:ind w:left="460" w:hanging="455"/>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weighted average shares outstanding for the respective periods.</w:t>
      </w:r>
    </w:p>
    <w:p>
      <w:pPr>
        <w:spacing w:after="0" w:line="3" w:lineRule="exact"/>
        <w:rPr>
          <w:rFonts w:ascii="Times New Roman" w:cs="Times New Roman" w:eastAsia="Times New Roman" w:hAnsi="Times New Roman"/>
          <w:sz w:val="18"/>
          <w:szCs w:val="18"/>
          <w:color w:val="auto"/>
        </w:rPr>
      </w:pPr>
    </w:p>
    <w:p>
      <w:pPr>
        <w:ind w:left="460" w:right="160" w:hanging="455"/>
        <w:spacing w:after="0" w:line="244"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distributions is calculated in accordance with income tax regulations, which may differ from amounts determined under GAAP, and reported on Form 1099-DIV each calendar year.</w:t>
      </w:r>
    </w:p>
    <w:p>
      <w:pPr>
        <w:ind w:left="460" w:hanging="455"/>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change in market price per share during the period and assumes distributions, if any, are reinvested.</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debt related costs.</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and expenses on debt (annualized) as well as Credit Facility amendment and debt issuance costs, if any (not annualized).</w:t>
      </w:r>
    </w:p>
    <w:p>
      <w:pPr>
        <w:spacing w:after="0" w:line="3" w:lineRule="exact"/>
        <w:rPr>
          <w:rFonts w:ascii="Times New Roman" w:cs="Times New Roman" w:eastAsia="Times New Roman" w:hAnsi="Times New Roman"/>
          <w:sz w:val="18"/>
          <w:szCs w:val="18"/>
          <w:color w:val="auto"/>
        </w:rPr>
      </w:pPr>
    </w:p>
    <w:p>
      <w:pPr>
        <w:ind w:left="460" w:hanging="455"/>
        <w:spacing w:after="0" w:line="246"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48"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6" w:lineRule="exact"/>
        <w:rPr>
          <w:sz w:val="20"/>
          <w:szCs w:val="20"/>
          <w:color w:val="auto"/>
        </w:rPr>
      </w:pPr>
    </w:p>
    <w:p>
      <w:pPr>
        <w:ind w:firstLine="45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w:t>
      </w:r>
      <w:hyperlink r:id="rId96">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September 30, 2023, filed on December 8, 2023,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48"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Hamas-Israel conflicts and other world economic and political issues;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8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48"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83"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Forms 10-K and 10-Q and current reports on Form 8-K.</w:t>
      </w:r>
    </w:p>
    <w:p>
      <w:pPr>
        <w:spacing w:after="0" w:line="185" w:lineRule="exact"/>
        <w:rPr>
          <w:sz w:val="20"/>
          <w:szCs w:val="20"/>
          <w:color w:val="auto"/>
        </w:rPr>
      </w:pPr>
    </w:p>
    <w:p>
      <w:pPr>
        <w:ind w:right="220" w:firstLine="450"/>
        <w:spacing w:after="0" w:line="25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4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6"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to reduce our then-outstanding debt obligations, to invest in new or existing portfolio companies, to capitalize a subsidiary or for other general corporate or strategic purposes.</w:t>
      </w:r>
    </w:p>
    <w:p>
      <w:pPr>
        <w:spacing w:after="0" w:line="180" w:lineRule="exact"/>
        <w:rPr>
          <w:sz w:val="20"/>
          <w:szCs w:val="20"/>
          <w:color w:val="auto"/>
        </w:rPr>
      </w:pPr>
    </w:p>
    <w:p>
      <w:pPr>
        <w:ind w:firstLine="45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w:t>
      </w:r>
      <w:hyperlink r:id="rId9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44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is shown in the following table as of the end of the fiscal quarter ended March 31, 2024 and as of September 30, 2023, 2022, 2021, 2020, 2019, 2018, 2017, 2016, 2015, and 2014. The report of RSM US LLP, an independent registered public accounting firm, on our senior securities table as of September 30, 2023 is included in our most recent Annual Report on </w:t>
      </w:r>
      <w:hyperlink r:id="rId96">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on December 8, 2023, and is incorporated by reference into the registration statement of which this prospectus is a part.</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58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258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69"/>
        </w:trPr>
        <w:tc>
          <w:tcPr>
            <w:tcW w:w="3680" w:type="dxa"/>
            <w:vAlign w:val="bottom"/>
            <w:gridSpan w:val="2"/>
            <w:vMerge w:val="continue"/>
          </w:tcPr>
          <w:p>
            <w:pPr>
              <w:spacing w:after="0"/>
              <w:rPr>
                <w:sz w:val="14"/>
                <w:szCs w:val="14"/>
                <w:color w:val="auto"/>
              </w:rPr>
            </w:pPr>
          </w:p>
        </w:tc>
        <w:tc>
          <w:tcPr>
            <w:tcW w:w="258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 xml:space="preserve">Outstanding </w:t>
            </w:r>
            <w:r>
              <w:rPr>
                <w:rFonts w:ascii="Times New Roman" w:cs="Times New Roman" w:eastAsia="Times New Roman" w:hAnsi="Times New Roman"/>
                <w:sz w:val="10"/>
                <w:szCs w:val="10"/>
                <w:b w:val="1"/>
                <w:bCs w:val="1"/>
                <w:color w:val="auto"/>
              </w:rPr>
              <w:t>(1)</w:t>
            </w:r>
          </w:p>
        </w:tc>
        <w:tc>
          <w:tcPr>
            <w:tcW w:w="580" w:type="dxa"/>
            <w:vAlign w:val="bottom"/>
          </w:tcPr>
          <w:p>
            <w:pPr>
              <w:spacing w:after="0"/>
              <w:rPr>
                <w:sz w:val="14"/>
                <w:szCs w:val="14"/>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 xml:space="preserve">Per Unit </w:t>
            </w:r>
            <w:r>
              <w:rPr>
                <w:rFonts w:ascii="Times New Roman" w:cs="Times New Roman" w:eastAsia="Times New Roman" w:hAnsi="Times New Roman"/>
                <w:sz w:val="10"/>
                <w:szCs w:val="10"/>
                <w:b w:val="1"/>
                <w:bCs w:val="1"/>
                <w:color w:val="auto"/>
                <w:w w:val="99"/>
              </w:rPr>
              <w:t>(2)</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168,855</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168,830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308,599</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265,308</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333,728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253,783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2,780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232,908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2,601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29,600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13,598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146,400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2,469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76,219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97,006</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117,793</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2031 Asset-Backed Debt</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226,259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2036 Asset-Backed Debt</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287,000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854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75" w:lineRule="exact"/>
        <w:rPr>
          <w:sz w:val="20"/>
          <w:szCs w:val="20"/>
          <w:color w:val="auto"/>
        </w:rPr>
      </w:pPr>
    </w:p>
    <w:p>
      <w:pPr>
        <w:ind w:left="460" w:hanging="455"/>
        <w:spacing w:after="0"/>
        <w:tabs>
          <w:tab w:leader="none" w:pos="460" w:val="left"/>
        </w:tabs>
        <w:numPr>
          <w:ilvl w:val="0"/>
          <w:numId w:val="37"/>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 w:lineRule="exact"/>
        <w:rPr>
          <w:rFonts w:ascii="Times New Roman" w:cs="Times New Roman" w:eastAsia="Times New Roman" w:hAnsi="Times New Roman"/>
          <w:sz w:val="26"/>
          <w:szCs w:val="26"/>
          <w:b w:val="1"/>
          <w:bCs w:val="1"/>
          <w:color w:val="auto"/>
          <w:vertAlign w:val="superscript"/>
        </w:rPr>
      </w:pPr>
    </w:p>
    <w:p>
      <w:pPr>
        <w:ind w:left="460" w:right="40" w:hanging="455"/>
        <w:spacing w:after="0" w:line="211" w:lineRule="auto"/>
        <w:tabs>
          <w:tab w:leader="none" w:pos="460" w:val="left"/>
        </w:tabs>
        <w:numPr>
          <w:ilvl w:val="0"/>
          <w:numId w:val="37"/>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2" w:lineRule="exact"/>
        <w:rPr>
          <w:rFonts w:ascii="Times New Roman" w:cs="Times New Roman" w:eastAsia="Times New Roman" w:hAnsi="Times New Roman"/>
          <w:sz w:val="26"/>
          <w:szCs w:val="26"/>
          <w:b w:val="1"/>
          <w:bCs w:val="1"/>
          <w:color w:val="auto"/>
          <w:vertAlign w:val="superscript"/>
        </w:rPr>
      </w:pPr>
    </w:p>
    <w:p>
      <w:pPr>
        <w:ind w:left="460" w:hanging="455"/>
        <w:spacing w:after="0" w:line="183" w:lineRule="auto"/>
        <w:tabs>
          <w:tab w:leader="none" w:pos="460" w:val="left"/>
        </w:tabs>
        <w:numPr>
          <w:ilvl w:val="0"/>
          <w:numId w:val="37"/>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6"/>
          <w:szCs w:val="16"/>
          <w:color w:val="auto"/>
        </w:rPr>
        <w:t>Not applicable, as senior securities are not registered for public trading in the United States of America.</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448"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216"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2023 and 2022, and each full fiscal quarter since the beginning of the fiscal year ended September 30,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6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1640" w:type="dxa"/>
            <w:vAlign w:val="bottom"/>
          </w:tcPr>
          <w:p>
            <w:pPr>
              <w:jc w:val="center"/>
              <w:ind w:right="9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restart"/>
          </w:tcPr>
          <w:p>
            <w:pPr>
              <w:jc w:val="right"/>
              <w:ind w:right="195"/>
              <w:spacing w:after="0"/>
              <w:rPr>
                <w:sz w:val="20"/>
                <w:szCs w:val="20"/>
                <w:color w:val="auto"/>
              </w:rPr>
            </w:pPr>
            <w:r>
              <w:rPr>
                <w:rFonts w:ascii="Times New Roman" w:cs="Times New Roman" w:eastAsia="Times New Roman" w:hAnsi="Times New Roman"/>
                <w:sz w:val="28"/>
                <w:szCs w:val="28"/>
                <w:b w:val="1"/>
                <w:bCs w:val="1"/>
                <w:color w:val="auto"/>
                <w:vertAlign w:val="subscript"/>
              </w:rPr>
              <w:t>NAV</w:t>
            </w:r>
            <w:r>
              <w:rPr>
                <w:rFonts w:ascii="Times New Roman" w:cs="Times New Roman" w:eastAsia="Times New Roman" w:hAnsi="Times New Roman"/>
                <w:sz w:val="11"/>
                <w:szCs w:val="11"/>
                <w:b w:val="1"/>
                <w:bCs w:val="1"/>
                <w:color w:val="auto"/>
              </w:rPr>
              <w:t xml:space="preserve"> (1)</w:t>
            </w:r>
          </w:p>
        </w:tc>
        <w:tc>
          <w:tcPr>
            <w:tcW w:w="1960" w:type="dxa"/>
            <w:vAlign w:val="bottom"/>
            <w:gridSpan w:val="3"/>
          </w:tcPr>
          <w:p>
            <w:pPr>
              <w:jc w:val="right"/>
              <w:ind w:right="334"/>
              <w:spacing w:after="0" w:line="158" w:lineRule="exact"/>
              <w:rPr>
                <w:sz w:val="20"/>
                <w:szCs w:val="20"/>
                <w:color w:val="auto"/>
              </w:rPr>
            </w:pPr>
            <w:r>
              <w:rPr>
                <w:rFonts w:ascii="Times New Roman" w:cs="Times New Roman" w:eastAsia="Times New Roman" w:hAnsi="Times New Roman"/>
                <w:sz w:val="14"/>
                <w:szCs w:val="14"/>
                <w:b w:val="1"/>
                <w:bCs w:val="1"/>
                <w:color w:val="auto"/>
              </w:rPr>
              <w:t>Closing Sale Prices</w:t>
            </w:r>
          </w:p>
        </w:tc>
        <w:tc>
          <w:tcPr>
            <w:tcW w:w="1580" w:type="dxa"/>
            <w:vAlign w:val="bottom"/>
          </w:tcPr>
          <w:p>
            <w:pPr>
              <w:jc w:val="center"/>
              <w:ind w:right="57"/>
              <w:spacing w:after="0" w:line="158" w:lineRule="exact"/>
              <w:rPr>
                <w:sz w:val="20"/>
                <w:szCs w:val="20"/>
                <w:color w:val="auto"/>
              </w:rPr>
            </w:pPr>
            <w:r>
              <w:rPr>
                <w:rFonts w:ascii="Times New Roman" w:cs="Times New Roman" w:eastAsia="Times New Roman" w:hAnsi="Times New Roman"/>
                <w:sz w:val="14"/>
                <w:szCs w:val="14"/>
                <w:b w:val="1"/>
                <w:bCs w:val="1"/>
                <w:color w:val="auto"/>
                <w:w w:val="98"/>
              </w:rPr>
              <w:t>of High Sale</w:t>
            </w:r>
          </w:p>
        </w:tc>
        <w:tc>
          <w:tcPr>
            <w:tcW w:w="1640" w:type="dxa"/>
            <w:vAlign w:val="bottom"/>
          </w:tcPr>
          <w:p>
            <w:pPr>
              <w:jc w:val="center"/>
              <w:ind w:right="97"/>
              <w:spacing w:after="0" w:line="158" w:lineRule="exact"/>
              <w:rPr>
                <w:sz w:val="20"/>
                <w:szCs w:val="20"/>
                <w:color w:val="auto"/>
              </w:rPr>
            </w:pPr>
            <w:r>
              <w:rPr>
                <w:rFonts w:ascii="Times New Roman" w:cs="Times New Roman" w:eastAsia="Times New Roman" w:hAnsi="Times New Roman"/>
                <w:sz w:val="14"/>
                <w:szCs w:val="14"/>
                <w:b w:val="1"/>
                <w:bCs w:val="1"/>
                <w:color w:val="auto"/>
                <w:w w:val="99"/>
              </w:rPr>
              <w:t>of Low Sale</w:t>
            </w:r>
          </w:p>
        </w:tc>
        <w:tc>
          <w:tcPr>
            <w:tcW w:w="108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4"/>
                <w:szCs w:val="14"/>
                <w:color w:val="auto"/>
              </w:rPr>
            </w:pPr>
          </w:p>
        </w:tc>
        <w:tc>
          <w:tcPr>
            <w:tcW w:w="6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5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0"/>
                <w:szCs w:val="10"/>
                <w:b w:val="1"/>
                <w:bCs w:val="1"/>
                <w:color w:val="auto"/>
                <w:w w:val="98"/>
              </w:rPr>
              <w:t>(2)</w:t>
            </w:r>
          </w:p>
        </w:tc>
        <w:tc>
          <w:tcPr>
            <w:tcW w:w="1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0"/>
                <w:szCs w:val="10"/>
                <w:b w:val="1"/>
                <w:bCs w:val="1"/>
                <w:color w:val="auto"/>
                <w:w w:val="98"/>
              </w:rPr>
              <w:t>(2)</w:t>
            </w:r>
          </w:p>
        </w:tc>
        <w:tc>
          <w:tcPr>
            <w:tcW w:w="34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2024</w:t>
            </w: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$11.40</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11.09</w:t>
            </w: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11.20</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12.24</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9.71</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2023</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$11.13</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10.32</w:t>
            </w:r>
          </w:p>
        </w:tc>
        <w:tc>
          <w:tcPr>
            <w:tcW w:w="15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10.96</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10.37</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0.303</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11.15</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12.20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9.98</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11.30</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11.56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9.77</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$11.62</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9.60</w:t>
            </w: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12.21</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14.20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10.45</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12.62</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12.23</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12.70</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13.80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12.23</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854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right="300" w:hanging="455"/>
        <w:spacing w:after="0" w:line="208" w:lineRule="auto"/>
        <w:tabs>
          <w:tab w:leader="none" w:pos="460" w:val="left"/>
        </w:tabs>
        <w:numPr>
          <w:ilvl w:val="0"/>
          <w:numId w:val="38"/>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5"/>
        <w:spacing w:after="0" w:line="183" w:lineRule="auto"/>
        <w:tabs>
          <w:tab w:leader="none" w:pos="460" w:val="left"/>
        </w:tabs>
        <w:numPr>
          <w:ilvl w:val="0"/>
          <w:numId w:val="38"/>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6"/>
          <w:szCs w:val="16"/>
          <w:color w:val="auto"/>
        </w:rPr>
        <w:t>Calculated as the respective high or low closing sales price less NAV per share, divided by the quarter-end NAV per share.</w:t>
      </w:r>
    </w:p>
    <w:p>
      <w:pPr>
        <w:spacing w:after="0" w:line="193" w:lineRule="exact"/>
        <w:rPr>
          <w:sz w:val="20"/>
          <w:szCs w:val="20"/>
          <w:color w:val="auto"/>
        </w:rPr>
      </w:pPr>
    </w:p>
    <w:p>
      <w:pPr>
        <w:jc w:val="both"/>
        <w:ind w:right="80" w:firstLine="450"/>
        <w:spacing w:after="0" w:line="250"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New York Stock Exchange at $11.38 and $10.61 on March 31, 2024 and 2023, respectively. Our NAV per share was $11.40 and $11.15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engage in any sales of unregistered securities during the quarter ended March 31,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repurchase any of our common stock under our share repurchase plan during the quarter ended March 31, 2024.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4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216" w:lineRule="exact"/>
        <w:rPr>
          <w:sz w:val="20"/>
          <w:szCs w:val="20"/>
          <w:color w:val="auto"/>
        </w:rPr>
      </w:pPr>
    </w:p>
    <w:p>
      <w:pPr>
        <w:ind w:right="240" w:firstLine="450"/>
        <w:spacing w:after="0" w:line="303" w:lineRule="auto"/>
        <w:rPr>
          <w:sz w:val="20"/>
          <w:szCs w:val="20"/>
          <w:color w:val="auto"/>
        </w:rPr>
      </w:pPr>
      <w:r>
        <w:rPr>
          <w:rFonts w:ascii="Times New Roman" w:cs="Times New Roman" w:eastAsia="Times New Roman" w:hAnsi="Times New Roman"/>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3" w:lineRule="exact"/>
        <w:rPr>
          <w:sz w:val="20"/>
          <w:szCs w:val="20"/>
          <w:color w:val="auto"/>
        </w:rPr>
      </w:pPr>
    </w:p>
    <w:p>
      <w:pPr>
        <w:ind w:left="1000" w:right="380" w:hanging="442"/>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77"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77" w:lineRule="exact"/>
        <w:rPr>
          <w:rFonts w:ascii="Times New Roman" w:cs="Times New Roman" w:eastAsia="Times New Roman" w:hAnsi="Times New Roman"/>
          <w:sz w:val="18"/>
          <w:szCs w:val="18"/>
          <w:color w:val="auto"/>
        </w:rPr>
      </w:pPr>
    </w:p>
    <w:p>
      <w:pPr>
        <w:ind w:left="1000" w:right="160" w:hanging="442"/>
        <w:spacing w:after="0" w:line="26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both before and after the offering and other borrowing terms;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1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80"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80" w:lineRule="exact"/>
        <w:rPr>
          <w:sz w:val="20"/>
          <w:szCs w:val="20"/>
          <w:color w:val="auto"/>
        </w:rPr>
      </w:pPr>
    </w:p>
    <w:p>
      <w:pPr>
        <w:ind w:firstLine="450"/>
        <w:spacing w:after="0" w:line="278" w:lineRule="auto"/>
        <w:rPr>
          <w:sz w:val="20"/>
          <w:szCs w:val="20"/>
          <w:color w:val="auto"/>
        </w:rPr>
      </w:pPr>
      <w:r>
        <w:rPr>
          <w:rFonts w:ascii="Times New Roman" w:cs="Times New Roman" w:eastAsia="Times New Roman" w:hAnsi="Times New Roman"/>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w:t>
      </w:r>
    </w:p>
    <w:p>
      <w:pPr>
        <w:spacing w:after="0" w:line="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4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7" w:lineRule="exact"/>
        <w:rPr>
          <w:sz w:val="20"/>
          <w:szCs w:val="20"/>
          <w:color w:val="auto"/>
        </w:rPr>
      </w:pPr>
    </w:p>
    <w:p>
      <w:pPr>
        <w:ind w:left="1000" w:hanging="44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stockholders who purchase a relatively small amount of shares in the offering or a relatively large amount of shares in the offering; and</w:t>
      </w:r>
    </w:p>
    <w:p>
      <w:pPr>
        <w:spacing w:after="0" w:line="144"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448"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Example 3</w:t>
            </w:r>
          </w:p>
        </w:tc>
        <w:tc>
          <w:tcPr>
            <w:tcW w:w="0" w:type="dxa"/>
            <w:vAlign w:val="bottom"/>
          </w:tcPr>
          <w:p>
            <w:pPr>
              <w:spacing w:after="0"/>
              <w:rPr>
                <w:sz w:val="1"/>
                <w:szCs w:val="1"/>
                <w:color w:val="auto"/>
              </w:rPr>
            </w:pPr>
          </w:p>
        </w:tc>
      </w:tr>
      <w:tr>
        <w:trPr>
          <w:trHeight w:val="145"/>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30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20" w:type="dxa"/>
            <w:vAlign w:val="bottom"/>
            <w:gridSpan w:val="2"/>
          </w:tcPr>
          <w:p>
            <w:pPr>
              <w:jc w:val="center"/>
              <w:ind w:right="342"/>
              <w:spacing w:after="0" w:line="145"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220" w:type="dxa"/>
            <w:vAlign w:val="bottom"/>
          </w:tcPr>
          <w:p>
            <w:pPr>
              <w:spacing w:after="0"/>
              <w:rPr>
                <w:sz w:val="12"/>
                <w:szCs w:val="12"/>
                <w:color w:val="auto"/>
              </w:rPr>
            </w:pPr>
          </w:p>
        </w:tc>
        <w:tc>
          <w:tcPr>
            <w:tcW w:w="192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w w:val="98"/>
              </w:rPr>
              <w:t>25% Offering</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20" w:type="dxa"/>
            <w:vAlign w:val="bottom"/>
            <w:gridSpan w:val="2"/>
          </w:tcPr>
          <w:p>
            <w:pPr>
              <w:jc w:val="center"/>
              <w:ind w:right="32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w w:val="98"/>
              </w:rPr>
              <w:t>at 25% Discount</w:t>
            </w: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0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9.47</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7.89</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7.50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1,000,000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1,050,000</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3"/>
              </w:rPr>
              <w:t>1,100,000</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1,250,000</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40" w:type="dxa"/>
            <w:vAlign w:val="bottom"/>
          </w:tcPr>
          <w:p>
            <w:pPr>
              <w:spacing w:after="0"/>
              <w:rPr>
                <w:sz w:val="17"/>
                <w:szCs w:val="17"/>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0.95%</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0.91%</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99,800</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99,100</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$10.00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 to stockholder A (total NAV less total</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(200)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(5,000)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(assumed to be $10.00 per share on shares held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to sale)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per share held by stockholder A (NAV per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less investment per share)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(0.09)</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Percentage dilution to stockholder A (dilution per</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13" w:lineRule="exact"/>
        <w:rPr>
          <w:sz w:val="20"/>
          <w:szCs w:val="20"/>
          <w:color w:val="auto"/>
        </w:rPr>
      </w:pPr>
    </w:p>
    <w:p>
      <w:pPr>
        <w:ind w:right="20" w:firstLine="450"/>
        <w:spacing w:after="0" w:line="280" w:lineRule="auto"/>
        <w:rPr>
          <w:sz w:val="20"/>
          <w:szCs w:val="20"/>
          <w:color w:val="auto"/>
        </w:rPr>
      </w:pPr>
      <w:r>
        <w:rPr>
          <w:rFonts w:ascii="Times New Roman" w:cs="Times New Roman" w:eastAsia="Times New Roman" w:hAnsi="Times New Roman"/>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44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80" w:type="dxa"/>
            <w:vAlign w:val="bottom"/>
          </w:tcPr>
          <w:p>
            <w:pPr>
              <w:spacing w:after="0"/>
              <w:rPr>
                <w:sz w:val="13"/>
                <w:szCs w:val="13"/>
                <w:color w:val="auto"/>
              </w:rPr>
            </w:pPr>
          </w:p>
        </w:tc>
        <w:tc>
          <w:tcPr>
            <w:tcW w:w="2180" w:type="dxa"/>
            <w:vAlign w:val="bottom"/>
            <w:gridSpan w:val="2"/>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80" w:type="dxa"/>
            <w:vAlign w:val="bottom"/>
          </w:tcPr>
          <w:p>
            <w:pPr>
              <w:spacing w:after="0"/>
              <w:rPr>
                <w:sz w:val="13"/>
                <w:szCs w:val="13"/>
                <w:color w:val="auto"/>
              </w:rPr>
            </w:pPr>
          </w:p>
        </w:tc>
        <w:tc>
          <w:tcPr>
            <w:tcW w:w="2020" w:type="dxa"/>
            <w:vAlign w:val="bottom"/>
            <w:gridSpan w:val="2"/>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2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2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Shares and Decrease to NAV</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1,000,000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(Dilution)/Accretion to Participating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340" w:type="dxa"/>
            <w:vAlign w:val="bottom"/>
          </w:tcPr>
          <w:p>
            <w:pPr>
              <w:spacing w:after="0"/>
              <w:rPr>
                <w:sz w:val="17"/>
                <w:szCs w:val="17"/>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11,250</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13,750</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0.90%</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106,875</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130,625</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109,863</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129,588</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(2,988)</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1,037</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9.77</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9.42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6"/>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(0.27)</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0.08</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13"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120" w:firstLine="450"/>
        <w:spacing w:after="0" w:line="247"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4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0" w:lineRule="exact"/>
        <w:rPr>
          <w:sz w:val="20"/>
          <w:szCs w:val="20"/>
          <w:color w:val="auto"/>
        </w:rPr>
      </w:pPr>
    </w:p>
    <w:p>
      <w:pPr>
        <w:ind w:right="80" w:firstLine="450"/>
        <w:spacing w:after="0" w:line="247"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32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60" w:type="dxa"/>
            <w:vAlign w:val="bottom"/>
            <w:gridSpan w:val="2"/>
          </w:tcPr>
          <w:p>
            <w:pPr>
              <w:jc w:val="center"/>
              <w:ind w:right="362"/>
              <w:spacing w:after="0" w:line="145" w:lineRule="exact"/>
              <w:rPr>
                <w:sz w:val="20"/>
                <w:szCs w:val="20"/>
                <w:color w:val="auto"/>
              </w:rPr>
            </w:pPr>
            <w:r>
              <w:rPr>
                <w:rFonts w:ascii="Times New Roman" w:cs="Times New Roman" w:eastAsia="Times New Roman" w:hAnsi="Times New Roman"/>
                <w:sz w:val="14"/>
                <w:szCs w:val="14"/>
                <w:b w:val="1"/>
                <w:bCs w:val="1"/>
                <w:color w:val="auto"/>
                <w:w w:val="98"/>
              </w:rPr>
              <w:t>10% Offering</w:t>
            </w:r>
          </w:p>
        </w:tc>
        <w:tc>
          <w:tcPr>
            <w:tcW w:w="240" w:type="dxa"/>
            <w:vAlign w:val="bottom"/>
          </w:tcPr>
          <w:p>
            <w:pPr>
              <w:spacing w:after="0"/>
              <w:rPr>
                <w:sz w:val="12"/>
                <w:szCs w:val="12"/>
                <w:color w:val="auto"/>
              </w:rPr>
            </w:pPr>
          </w:p>
        </w:tc>
        <w:tc>
          <w:tcPr>
            <w:tcW w:w="194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8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9.00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6"/>
              </w:rPr>
              <w:t>1,050,000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1,100,000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1,250,000</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2,500</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0.05%</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0.09%</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0.20%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4,990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23,750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19,725</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440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4,025</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0.44</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1.61</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 (dilution)/ accretion per share divided by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4.65%</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44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1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tax characteristics of distributions declared, in accordance with Section 19(a) of the 1940 Act, for our fiscal and taxable years ended September 30, 2023 and 2022 from ordinary income (including short-term gains), if any, totaled $60.5 million, or $1.19 per share, and $46.7 million, or $1.14 per share, respectively, based on the weighted average shares outstanding for the respective periods. Additionally, for both years ended September 30, 2023 and 2022, we did not pay any distributions from long-term capital gains.</w:t>
      </w:r>
    </w:p>
    <w:p>
      <w:pPr>
        <w:spacing w:after="0" w:line="183"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44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16" w:lineRule="exact"/>
        <w:rPr>
          <w:sz w:val="20"/>
          <w:szCs w:val="20"/>
          <w:color w:val="auto"/>
        </w:rPr>
      </w:pPr>
    </w:p>
    <w:p>
      <w:pPr>
        <w:ind w:right="100" w:firstLine="45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 listing of each portfolio company or its affiliate, together referred to as portfolio companies, in which we had an investment as of March 31, 2024.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Quarterly Report on </w:t>
      </w:r>
      <w:hyperlink r:id="rId10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2024.</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and 2036 Asset-Backed Debt as disclosed in our Consolidated Schedule of Investments. Unless otherwise noted, we held no voting board membership on any of our portfolio companies.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80" w:type="dxa"/>
            <w:vAlign w:val="bottom"/>
            <w:gridSpan w:val="2"/>
          </w:tcPr>
          <w:p>
            <w:pPr>
              <w:jc w:val="center"/>
              <w:ind w:right="5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700" w:type="dxa"/>
            <w:vAlign w:val="bottom"/>
          </w:tcPr>
          <w:p>
            <w:pPr>
              <w:jc w:val="right"/>
              <w:ind w:right="51"/>
              <w:spacing w:after="0" w:line="126"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980" w:type="dxa"/>
            <w:vAlign w:val="bottom"/>
          </w:tcPr>
          <w:p>
            <w:pPr>
              <w:spacing w:after="0"/>
              <w:rPr>
                <w:sz w:val="14"/>
                <w:szCs w:val="14"/>
                <w:color w:val="auto"/>
              </w:rPr>
            </w:pPr>
          </w:p>
        </w:tc>
        <w:tc>
          <w:tcPr>
            <w:tcW w:w="1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5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95"/>
        </w:trPr>
        <w:tc>
          <w:tcPr>
            <w:tcW w:w="162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Companies Less than 5%</w:t>
            </w:r>
          </w:p>
        </w:tc>
        <w:tc>
          <w:tcPr>
            <w:tcW w:w="298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Owned</w:t>
            </w:r>
          </w:p>
        </w:tc>
        <w:tc>
          <w:tcPr>
            <w:tcW w:w="2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Merger Sub, LLC</w:t>
            </w:r>
          </w:p>
        </w:tc>
        <w:tc>
          <w:tcPr>
            <w:tcW w:w="252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Equity, LLC)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S+660, 12/22/2028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3254 E Broadway Rd.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85040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Avenu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IT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5860 Trinity Pkwy</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S+625, 10/02/2029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Centerville, VA 20120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Falcon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2141 Rosecrans Ave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 , 08/01/2029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Segundo, CA 90245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Ad.net Acquisition,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Media</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(Ad.net Holdings, Inc.)</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S+626, 05/07/2026</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 Suite 1200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Aeronix, Inc.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34,996</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(SV Aero Holdings, LLC)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S+550, 12/18/2028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1775 West Hibiscus Boulevard, Suite 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Melbourne, FL 32901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AFC Dell Holding Corp.</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Distributors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(AFC Acquisitions, Inc.)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S+640, 04/09/2027</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9030 Port Union Road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Chester Township, OH 45011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Affinion Group Holdings, Inc.</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Consumer Goods: Durable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7"/>
              </w:rPr>
              <w:t>Warrants</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 High Ridge Park</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Stamford, CT 06905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r>
              <w:rPr>
                <w:rFonts w:ascii="Times New Roman" w:cs="Times New Roman" w:eastAsia="Times New Roman" w:hAnsi="Times New Roman"/>
                <w:sz w:val="10"/>
                <w:szCs w:val="10"/>
                <w:color w:val="auto"/>
              </w:rPr>
              <w:t>(5)</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Software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251 Little Falls Drive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4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5"/>
        </w:trPr>
        <w:tc>
          <w:tcPr>
            <w:tcW w:w="1620" w:type="dxa"/>
            <w:vAlign w:val="bottom"/>
            <w:tcBorders>
              <w:top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auto"/>
              </w:rPr>
              <w:t>Altamira Technologies, LLC</w:t>
            </w:r>
          </w:p>
        </w:tc>
        <w:tc>
          <w:tcPr>
            <w:tcW w:w="2880" w:type="dxa"/>
            <w:vAlign w:val="bottom"/>
          </w:tcPr>
          <w:p>
            <w:pPr>
              <w:spacing w:after="0"/>
              <w:rPr>
                <w:sz w:val="9"/>
                <w:szCs w:val="9"/>
                <w:color w:val="auto"/>
              </w:rPr>
            </w:pPr>
          </w:p>
        </w:tc>
        <w:tc>
          <w:tcPr>
            <w:tcW w:w="214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IT Services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Common Equity</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1.0</w:t>
            </w:r>
          </w:p>
        </w:tc>
        <w:tc>
          <w:tcPr>
            <w:tcW w:w="500" w:type="dxa"/>
            <w:vAlign w:val="bottom"/>
          </w:tcPr>
          <w:p>
            <w:pPr>
              <w:jc w:val="right"/>
              <w:ind w:right="320"/>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1,679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2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Amsive Holding Corporation (f/k/a Vision Purchaser Corporation)</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13,712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605 Territorial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S+640, 06/10/2025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A, B &amp; 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Bolingbrook, IL 60440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Anteriad, LLC (f/k/a MeritDirect,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18,751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(Anterida Holdings, LP (5))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06/30/2026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 International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Hour Services</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Energy Equipment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(KL Stockton Co-Invest LP) </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07/21/2027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1374 130 S</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Orem, UT 84058</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Applied Technical Services,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13,853</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(Ironclad Holdco, LLC) </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S+590, 12/29/2026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1049 Triad Ct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Arcfield Acquisition Corp.</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14295 Park Meadow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08/03/2029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Chantilly, VA 20151</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Athletico Holdings, LLC</w:t>
            </w:r>
            <w:r>
              <w:rPr>
                <w:rFonts w:ascii="Times New Roman" w:cs="Times New Roman" w:eastAsia="Times New Roman" w:hAnsi="Times New Roman"/>
                <w:sz w:val="10"/>
                <w:szCs w:val="10"/>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2122 York Road, Ste. 300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 Brook, IL 60523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Beta Plus Technologies,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 World Trade Center, 47th Floor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07/01/2029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10007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Big Top Holdings,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48,636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(ACP Big Top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02/28/2030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3255 U.S. Hwy 19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FL 32347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BioDerm,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(BioDerm holdings, LP)</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S+650, 01/31/2028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12320 73rd Court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Largo, FL 33773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Blackhawk Industrial Distribution,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1501 SW Expressway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S+565, 09/17/2026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Broken Arrow, OK 74012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BlueHalo Financing Holdings,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6,397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410 Jan Davis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S+475, 10/31/2025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Broder Bros., Co.</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Textiles, Apparel and Luxury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Six Neshaminy Interplex, 6 Floor</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8"/>
              </w:rPr>
              <w:t>Goods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S+626, 12/04/2025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Trevose, PA 19053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Burgess Point Holdings, LP</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29627 Renaissance Blvd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Daphne, AL 26526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448"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880" w:type="dxa"/>
            <w:vAlign w:val="bottom"/>
          </w:tcPr>
          <w:p>
            <w:pPr>
              <w:spacing w:after="0"/>
              <w:rPr>
                <w:sz w:val="14"/>
                <w:szCs w:val="14"/>
                <w:color w:val="auto"/>
              </w:rPr>
            </w:pP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45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By Light Professional IT Services, LLC</w:t>
            </w:r>
          </w:p>
        </w:tc>
        <w:tc>
          <w:tcPr>
            <w:tcW w:w="21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High Tech Industries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2.9</w:t>
            </w:r>
          </w:p>
        </w:tc>
        <w:tc>
          <w:tcPr>
            <w:tcW w:w="500" w:type="dxa"/>
            <w:vAlign w:val="bottom"/>
          </w:tcPr>
          <w:p>
            <w:pPr>
              <w:jc w:val="right"/>
              <w:ind w:right="32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40,004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(By Light Investco, LP)</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S+688, 05/16/2025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8484 Westpark Drive Suite 600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Carisk Buyer,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(Carisk Parent,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12/01/2029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10685 North Kendall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Carnegie Dartlet,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48,279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(Carnegie HoldCo, LLC)</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S+550, 02/07/2030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210 Littleton Road, Suite 100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Westford, MA 01886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Cartessa Aesthetics, LLC</w:t>
            </w:r>
            <w:r>
              <w:rPr>
                <w:rFonts w:ascii="Times New Roman" w:cs="Times New Roman" w:eastAsia="Times New Roman" w:hAnsi="Times New Roman"/>
                <w:sz w:val="10"/>
                <w:szCs w:val="10"/>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15,787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175 Broadhollow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06/14/2028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Melville, NY 11747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CF512,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5,991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(StellPen Holdings,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S+619, 08/20/2026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960B Harvest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 Bell, PA 19422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Challenger Performance Optimization, Inc. 1201 Wilson Blvd</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Arlington, VA 22209</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S+775 (PIK 2.00%),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08/31/2024</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Compex Legal Services,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S+555, 02/09/2026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1200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Confluent Health,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75 S English Station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S+500, 11/30/2028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Louisville, KY 40245</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Connatix Buyer,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(Connatix Parent,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S+576, 07/13/2027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666 Broadway, Floor 10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Crane 1 Services,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(Crane 1 Acquisition Parent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S+501, 08/16/2027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1027 Byers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Miamisburg, OH 45342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Squatch,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Personal Products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2355 Westwood Blvd. #1834</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08/31/2027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90064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DRS Holdings III,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15,810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225 State Street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S+640, 11/03/2025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02109</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Duraco Specialty Tapes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Containers and Packaging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3,417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7400 Industrial Dr.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S+650, 06/30/2024</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Forest Park, IL 60130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ECL Entertainment,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(Kentucky Racing Holco, LLC)</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S+475, 08/31/2030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5629 Nashville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7"/>
              </w:rPr>
              <w:t>Warrants</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448"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ectPr>
          <w:pgSz w:w="11900" w:h="16838" w:orient="portrait"/>
          <w:cols w:equalWidth="0" w:num="1">
            <w:col w:w="11200"/>
          </w:cols>
          <w:pgMar w:left="320" w:top="448" w:right="37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p>
    <w:p>
      <w:pPr>
        <w:spacing w:after="0" w:line="222" w:lineRule="auto"/>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10"/>
          <w:szCs w:val="10"/>
          <w:color w:val="auto"/>
        </w:rPr>
        <w:t>(6)</w:t>
      </w:r>
    </w:p>
    <w:p>
      <w:pPr>
        <w:spacing w:after="0" w:line="232" w:lineRule="auto"/>
        <w:rPr>
          <w:sz w:val="20"/>
          <w:szCs w:val="20"/>
          <w:color w:val="auto"/>
        </w:rPr>
      </w:pPr>
      <w:r>
        <w:rPr>
          <w:rFonts w:ascii="Times New Roman" w:cs="Times New Roman" w:eastAsia="Times New Roman" w:hAnsi="Times New Roman"/>
          <w:sz w:val="13"/>
          <w:szCs w:val="13"/>
          <w:color w:val="auto"/>
        </w:rPr>
        <w:t>11612 Bee Caves Road, Building II, Suite 200 Austin, TX,</w:t>
      </w:r>
    </w:p>
    <w:p>
      <w:pPr>
        <w:spacing w:after="0"/>
        <w:rPr>
          <w:sz w:val="20"/>
          <w:szCs w:val="20"/>
          <w:color w:val="auto"/>
        </w:rPr>
      </w:pPr>
      <w:r>
        <w:rPr>
          <w:rFonts w:ascii="Times New Roman" w:cs="Times New Roman" w:eastAsia="Times New Roman" w:hAnsi="Times New Roman"/>
          <w:sz w:val="14"/>
          <w:szCs w:val="14"/>
          <w:color w:val="auto"/>
        </w:rPr>
        <w:t>78738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EDS Buyer, LLC</w:t>
      </w:r>
    </w:p>
    <w:p>
      <w:pPr>
        <w:spacing w:after="0" w:line="215" w:lineRule="auto"/>
        <w:rPr>
          <w:sz w:val="20"/>
          <w:szCs w:val="20"/>
          <w:color w:val="auto"/>
        </w:rPr>
      </w:pPr>
      <w:r>
        <w:rPr>
          <w:rFonts w:ascii="Times New Roman" w:cs="Times New Roman" w:eastAsia="Times New Roman" w:hAnsi="Times New Roman"/>
          <w:sz w:val="14"/>
          <w:szCs w:val="14"/>
          <w:color w:val="auto"/>
        </w:rPr>
        <w:t>(EDS Topco, LP)</w:t>
      </w:r>
    </w:p>
    <w:p>
      <w:pPr>
        <w:spacing w:after="0" w:line="216" w:lineRule="auto"/>
        <w:rPr>
          <w:sz w:val="20"/>
          <w:szCs w:val="20"/>
          <w:color w:val="auto"/>
        </w:rPr>
      </w:pPr>
      <w:r>
        <w:rPr>
          <w:rFonts w:ascii="Times New Roman" w:cs="Times New Roman" w:eastAsia="Times New Roman" w:hAnsi="Times New Roman"/>
          <w:sz w:val="14"/>
          <w:szCs w:val="14"/>
          <w:color w:val="auto"/>
        </w:rPr>
        <w:t>810 7th Ave 12th floor</w:t>
      </w:r>
    </w:p>
    <w:p>
      <w:pPr>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7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2"/>
          </w:tcPr>
          <w:p>
            <w:pPr>
              <w:jc w:val="center"/>
              <w:ind w:right="780"/>
              <w:spacing w:after="0" w:line="132"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20" w:type="dxa"/>
            <w:vAlign w:val="bottom"/>
            <w:gridSpan w:val="2"/>
          </w:tcPr>
          <w:p>
            <w:pPr>
              <w:jc w:val="center"/>
              <w:ind w:right="870"/>
              <w:spacing w:after="0" w:line="13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1"/>
                <w:szCs w:val="11"/>
                <w:color w:val="auto"/>
              </w:rPr>
            </w:pPr>
          </w:p>
        </w:tc>
        <w:tc>
          <w:tcPr>
            <w:tcW w:w="660" w:type="dxa"/>
            <w:vAlign w:val="bottom"/>
          </w:tcPr>
          <w:p>
            <w:pPr>
              <w:jc w:val="right"/>
              <w:ind w:right="34"/>
              <w:spacing w:after="0" w:line="132"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9"/>
        </w:trPr>
        <w:tc>
          <w:tcPr>
            <w:tcW w:w="2580" w:type="dxa"/>
            <w:vAlign w:val="bottom"/>
            <w:gridSpan w:val="2"/>
          </w:tcPr>
          <w:p>
            <w:pPr>
              <w:jc w:val="center"/>
              <w:ind w:right="800"/>
              <w:spacing w:after="0" w:line="129" w:lineRule="exact"/>
              <w:rPr>
                <w:sz w:val="20"/>
                <w:szCs w:val="20"/>
                <w:color w:val="auto"/>
              </w:rPr>
            </w:pPr>
            <w:r>
              <w:rPr>
                <w:rFonts w:ascii="Times New Roman" w:cs="Times New Roman" w:eastAsia="Times New Roman" w:hAnsi="Times New Roman"/>
                <w:sz w:val="12"/>
                <w:szCs w:val="12"/>
                <w:b w:val="1"/>
                <w:bCs w:val="1"/>
                <w:color w:val="auto"/>
              </w:rPr>
              <w:t>Nature of Business</w:t>
            </w:r>
          </w:p>
        </w:tc>
        <w:tc>
          <w:tcPr>
            <w:tcW w:w="2340" w:type="dxa"/>
            <w:vAlign w:val="bottom"/>
            <w:gridSpan w:val="2"/>
          </w:tcPr>
          <w:p>
            <w:pPr>
              <w:jc w:val="center"/>
              <w:ind w:right="780"/>
              <w:spacing w:after="0" w:line="129" w:lineRule="exact"/>
              <w:rPr>
                <w:sz w:val="20"/>
                <w:szCs w:val="20"/>
                <w:color w:val="auto"/>
              </w:rPr>
            </w:pPr>
            <w:r>
              <w:rPr>
                <w:rFonts w:ascii="Times New Roman" w:cs="Times New Roman" w:eastAsia="Times New Roman" w:hAnsi="Times New Roman"/>
                <w:sz w:val="12"/>
                <w:szCs w:val="12"/>
                <w:b w:val="1"/>
                <w:bCs w:val="1"/>
                <w:color w:val="auto"/>
              </w:rPr>
              <w:t>Interest (1), Maturity</w:t>
            </w:r>
          </w:p>
        </w:tc>
        <w:tc>
          <w:tcPr>
            <w:tcW w:w="1720" w:type="dxa"/>
            <w:vAlign w:val="bottom"/>
            <w:gridSpan w:val="2"/>
          </w:tcPr>
          <w:p>
            <w:pPr>
              <w:jc w:val="center"/>
              <w:ind w:right="890"/>
              <w:spacing w:after="0" w:line="129" w:lineRule="exact"/>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jc w:val="right"/>
              <w:ind w:right="770"/>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Banking, Finance, Insurance &amp;</w:t>
            </w:r>
          </w:p>
        </w:tc>
        <w:tc>
          <w:tcPr>
            <w:tcW w:w="780" w:type="dxa"/>
            <w:vAlign w:val="bottom"/>
            <w:vMerge w:val="continue"/>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Common Equity</w:t>
            </w:r>
          </w:p>
        </w:tc>
        <w:tc>
          <w:tcPr>
            <w:tcW w:w="780" w:type="dxa"/>
            <w:vAlign w:val="bottom"/>
            <w:vMerge w:val="continue"/>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96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83"/>
        </w:trPr>
        <w:tc>
          <w:tcPr>
            <w:tcW w:w="25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Real Estate</w:t>
            </w: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3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2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145"/>
        </w:trPr>
        <w:tc>
          <w:tcPr>
            <w:tcW w:w="258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34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3M S+575, 01/10/2029</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ectPr>
          <w:pgSz w:w="11900" w:h="16838" w:orient="portrait"/>
          <w:cols w:equalWidth="0" w:num="2">
            <w:col w:w="3300" w:space="520"/>
            <w:col w:w="7380"/>
          </w:cols>
          <w:pgMar w:left="320" w:top="448" w:right="37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Efficient Collaborative Retail Marketing Company,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Media: Diversified and</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27070 Miles Road</w:t>
            </w:r>
          </w:p>
        </w:tc>
        <w:tc>
          <w:tcPr>
            <w:tcW w:w="250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S+900 (PIK 1.50%),</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06/15/2024</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Eisner Advisory Group,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733 Third Avenue</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S+400, 02/23/2031</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ETE Intermediate II,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(Gauge ETE Blocker,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—(4), 05/25/2029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1604 South West Avenue</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rPr>
              <w:t>12.56% Fixed, 05/19/2029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Waukesha, WI 53186</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Exigo Intermediate II,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Software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(Exigo,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9"/>
              </w:rPr>
              <w:t>— , 03/15/2027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Fairbanks Morse Defense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655 3rd St Suite 301</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S+501, 06/23/2028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Beloit, WI 53511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FedHC InvestCo LP</w:t>
            </w:r>
            <w:r>
              <w:rPr>
                <w:rFonts w:ascii="Times New Roman" w:cs="Times New Roman" w:eastAsia="Times New Roman" w:hAnsi="Times New Roman"/>
                <w:sz w:val="10"/>
                <w:szCs w:val="10"/>
                <w:color w:val="auto"/>
              </w:rPr>
              <w:t>(5)</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Common Equity(4)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3100 Clarendon Blvd</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Five Star Buyer, Inc.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(Five Star Parent Holdings,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S+710, 02/23/2028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3388 Green Mountain Dr</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Branson, MO 65616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GCOM InvestCo LP</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IT Services</w:t>
            </w: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9175 Guilford Road, Suite 101</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Columbia, MD 21046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Global Holdings InterCo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4343 South 118th East Ave Suite 220</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S+610, 03/16/2026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Tulsa, OK 74146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Graffiti Buyer,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Trading Companies &amp;</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25195 Brest Road</w:t>
            </w:r>
          </w:p>
        </w:tc>
        <w:tc>
          <w:tcPr>
            <w:tcW w:w="2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08/10/2027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Taylor, MI 48180</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Hancock Roofing and Construction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Insurance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(Hancock Claims Consultants Investors, LLC)</w:t>
            </w:r>
            <w:r>
              <w:rPr>
                <w:rFonts w:ascii="Times New Roman" w:cs="Times New Roman" w:eastAsia="Times New Roman" w:hAnsi="Times New Roman"/>
                <w:sz w:val="10"/>
                <w:szCs w:val="10"/>
                <w:color w:val="auto"/>
              </w:rPr>
              <w:t>(5)</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12/31/2026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6875 Shiloh Rd. East</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Alpharetta, GA 30005</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Hills Distribution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(GMP Hills, L.P.)</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S+600, 11/07/2029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 Brainard Road</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Hartford, CT 06114</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448" w:right="37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60" w:type="dxa"/>
            <w:vAlign w:val="bottom"/>
          </w:tcPr>
          <w:p>
            <w:pPr>
              <w:jc w:val="right"/>
              <w:ind w:right="31"/>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tcPr>
          <w:p>
            <w:pPr>
              <w:spacing w:after="0"/>
              <w:rPr>
                <w:sz w:val="14"/>
                <w:szCs w:val="14"/>
                <w:color w:val="auto"/>
              </w:rPr>
            </w:pP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39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HV Watterson Holdings, LLC</w:t>
            </w:r>
          </w:p>
        </w:tc>
        <w:tc>
          <w:tcPr>
            <w:tcW w:w="19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0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Common Equity</w:t>
            </w:r>
          </w:p>
        </w:tc>
        <w:tc>
          <w:tcPr>
            <w:tcW w:w="70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0.1</w:t>
            </w:r>
          </w:p>
        </w:tc>
        <w:tc>
          <w:tcPr>
            <w:tcW w:w="860" w:type="dxa"/>
            <w:vAlign w:val="bottom"/>
          </w:tcPr>
          <w:p>
            <w:pPr>
              <w:jc w:val="right"/>
              <w:ind w:right="68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1821 Walden Office Square Unit 111</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Schaumburg, IL 60173</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HW Holdco,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Thomas Circle, NW Suite 600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1M S+640, 05/10/2026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Icon Partners V C, L.P.</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315 Capitol St Suite 100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Infusion Co-Invest, LP</w:t>
            </w:r>
            <w:r>
              <w:rPr>
                <w:rFonts w:ascii="Times New Roman" w:cs="Times New Roman" w:eastAsia="Times New Roman" w:hAnsi="Times New Roman"/>
                <w:sz w:val="10"/>
                <w:szCs w:val="10"/>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3609 Park East Drive</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Beachwood, OH 44122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IG Investments Holdings,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1224 Hammond Drive, Suite 1500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S+610, 09/22/2028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30346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Imagine Acquisitionco,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Software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(Imagine Topco,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 , 11/15/2027</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8757 Red Oak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Inception Fertility Ventures,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4828 Loop Central Drive, Suite 900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S+725, 12/31/2024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77081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Infinity Home Services Holdco,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(IHS Parent Holdings,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S+685, 12/28/2028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16600 W Cleveland Ave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Berlin, WI 53151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Infolinks Media Buyco,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(Tower Arch Infolinks Media, LP)</w:t>
            </w:r>
            <w:r>
              <w:rPr>
                <w:rFonts w:ascii="Times New Roman" w:cs="Times New Roman" w:eastAsia="Times New Roman" w:hAnsi="Times New Roman"/>
                <w:sz w:val="10"/>
                <w:szCs w:val="10"/>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S+585, 11/01/2026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45 North Broad Street</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Ridgewood, NJ 07450</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Integrative Nutrition,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Consumer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(IIN Group Holdings, LLC)</w:t>
            </w:r>
            <w:r>
              <w:rPr>
                <w:rFonts w:ascii="Times New Roman" w:cs="Times New Roman" w:eastAsia="Times New Roman" w:hAnsi="Times New Roman"/>
                <w:sz w:val="10"/>
                <w:szCs w:val="10"/>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S+715 (PIK 2.25%),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245 5th Avenue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01/31/2025</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Integrity Marketing Acquisition,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Insurance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1445 Ross Avenue, 22nd Floor</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S+615, 08/27/2026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Rumba, LLC</w:t>
            </w:r>
            <w:r>
              <w:rPr>
                <w:rFonts w:ascii="Times New Roman" w:cs="Times New Roman" w:eastAsia="Times New Roman" w:hAnsi="Times New Roman"/>
                <w:sz w:val="10"/>
                <w:szCs w:val="10"/>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9725 NW 117th Ave #200,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33178</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Electronic Equipment,</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1200 Internationale Parkway</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S+761, 06/30/2025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ITI Holdings,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IT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2980 E. Coliseum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S+560, 03/03/2028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Wayne, IN 46805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Keel Platform,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Metals and Mining</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Building 1 9801, 9801 US-78</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S+525, 01/19/2031</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Ladson, SC 29456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448"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4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Kinetic Purchaser, LLC</w:t>
            </w:r>
          </w:p>
        </w:tc>
        <w:tc>
          <w:tcPr>
            <w:tcW w:w="3320" w:type="dxa"/>
            <w:vAlign w:val="bottom"/>
          </w:tcPr>
          <w:p>
            <w:pPr>
              <w:spacing w:after="0"/>
              <w:rPr>
                <w:sz w:val="9"/>
                <w:szCs w:val="9"/>
                <w:color w:val="auto"/>
              </w:rPr>
            </w:pPr>
          </w:p>
        </w:tc>
        <w:tc>
          <w:tcPr>
            <w:tcW w:w="1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Personal Products</w:t>
            </w:r>
          </w:p>
        </w:tc>
        <w:tc>
          <w:tcPr>
            <w:tcW w:w="24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220" w:type="dxa"/>
            <w:vAlign w:val="bottom"/>
          </w:tcPr>
          <w:p>
            <w:pPr>
              <w:spacing w:after="0"/>
              <w:rPr>
                <w:sz w:val="9"/>
                <w:szCs w:val="9"/>
                <w:color w:val="auto"/>
              </w:rPr>
            </w:pPr>
          </w:p>
        </w:tc>
        <w:tc>
          <w:tcPr>
            <w:tcW w:w="8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jc w:val="right"/>
              <w:ind w:right="20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19,735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12552 S. 125 West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S+615, 11/10/2027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Draper, UT 84020</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Lash OpCo,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21,041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Lash Coinvest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S+810 (PIK 5.10%),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02/18/2027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LAV Gear Holdings,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 Equipment</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14,594</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3165 W Sunset Rd,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1M S+640, 10/31/25</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Ledge Lounger,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(SP L2 Holdings,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S+665, 11/09/2026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616 Cane Island Pkwy Suite 200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Katy, TX 77494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Lightspeed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(Lightspeed Investment Holdco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S+535, 02/03/2026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1457 East 40th Street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OH 44103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LJ Avalon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(LJ Avalon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S+640, 02/01/2030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4921 Memorial Hwy, Suite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Tampa, FL 33634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Loving Tan Intermediate II,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22,121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Loving Tan,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S+700, 05/31/2028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857 Post Rd, Suite 348</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Fairfield, CT 06824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LSF9 Atlantis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Specialty Retail</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5,581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8510 Colonnade Center Dr.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S+650, 06/30/2029</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Unit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Raleigh, MN 27615</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Lucky Bucks,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5820 Live Oak Parkway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S+765, 10/02/2028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Norcross, GA 30093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 DS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2730 Fair Lakes Circle</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S+550, 04/01/2027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Fairfax VA, 22033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Magnolia Topco LP</w:t>
            </w:r>
            <w:r>
              <w:rPr>
                <w:rFonts w:ascii="Times New Roman" w:cs="Times New Roman" w:eastAsia="Times New Roman" w:hAnsi="Times New Roman"/>
                <w:sz w:val="10"/>
                <w:szCs w:val="10"/>
                <w:color w:val="auto"/>
              </w:rPr>
              <w:t>(5)</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Automobiles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 Equity</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5821 Fairview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28209</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Mars Acquisition Holdings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Media</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(Mars Intermediate Holdings II, Inc.)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S+565, 05/14/2026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25200 Telegraph Rd., 5th Floor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Southfield, MI 48033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MBS Holdings,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880 Montclair Road Suite 400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w w:val="99"/>
              </w:rPr>
              <w:t>— , 04/16/2027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Birmingham, AL 35213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MDI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Commodity Chemicals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(MDI Aggregator,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S+550, 07/25/2028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 W Knox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 AZ 85284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448"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4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40" w:type="dxa"/>
            <w:vAlign w:val="bottom"/>
            <w:gridSpan w:val="2"/>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0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Meadowlark Acquirer, LLC</w:t>
            </w:r>
          </w:p>
        </w:tc>
        <w:tc>
          <w:tcPr>
            <w:tcW w:w="2860" w:type="dxa"/>
            <w:vAlign w:val="bottom"/>
          </w:tcPr>
          <w:p>
            <w:pPr>
              <w:spacing w:after="0"/>
              <w:rPr>
                <w:sz w:val="9"/>
                <w:szCs w:val="9"/>
                <w:color w:val="auto"/>
              </w:rPr>
            </w:pPr>
          </w:p>
        </w:tc>
        <w:tc>
          <w:tcPr>
            <w:tcW w:w="1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58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58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740" w:type="dxa"/>
            <w:vAlign w:val="bottom"/>
          </w:tcPr>
          <w:p>
            <w:pPr>
              <w:jc w:val="right"/>
              <w:ind w:right="56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1,895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(Meadowlark Title, LLC)</w:t>
            </w:r>
            <w:r>
              <w:rPr>
                <w:rFonts w:ascii="Times New Roman" w:cs="Times New Roman" w:eastAsia="Times New Roman" w:hAnsi="Times New Roman"/>
                <w:sz w:val="10"/>
                <w:szCs w:val="10"/>
                <w:color w:val="auto"/>
              </w:rPr>
              <w:t>(5)</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S+565, 12/10/2027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888 Boylston, Ste. 1600,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02199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Medina Health,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Medina Health, LLC)</w:t>
            </w:r>
            <w:r>
              <w:rPr>
                <w:rFonts w:ascii="Times New Roman" w:cs="Times New Roman" w:eastAsia="Times New Roman" w:hAnsi="Times New Roman"/>
                <w:sz w:val="10"/>
                <w:szCs w:val="10"/>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10/20/2028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Parkview Plaza,</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Oakbrook Terrace, IL 60181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Megawatt Acquisitionco, Inc.</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23,449</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(Megawatt Acquisition Partners, LLC)</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03/01/2030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6060 Phyllis Dr</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Cypress, CA 90630</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Mission Critical Electronics,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Capital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15272 Newsboy Circle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03/31/2025</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Huntington, CA 92649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MOREGroup Holdings,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31,614</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801 Cherry Street Suite 500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S+590, 01/16/2030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Worth, TX 76102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 Emergency Services,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 Turnberry Ln</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S+515, 10/01/2027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Sandy Hook, CT 06482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NBH Group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3035 S Maryland Pkwy #110</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08/19/2026</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Neptune Flood Incorporated</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400 6th St 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05/09/2029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Petersburg, FL 33701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NORA Acquisition,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22,741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(NORA Parent Holdings, LLC)</w:t>
            </w:r>
            <w:r>
              <w:rPr>
                <w:rFonts w:ascii="Times New Roman" w:cs="Times New Roman" w:eastAsia="Times New Roman" w:hAnsi="Times New Roman"/>
                <w:sz w:val="10"/>
                <w:szCs w:val="10"/>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S+635, 08/31/2029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3805 E Main St.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Charlees, IL 60174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OHCP V BC COI, L.P.</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525 West Monroe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60661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Omnia Exterior Solutions,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10,790</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6650 Walnut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S+550, 12/29/2029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Albany, OH 43054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Stop Mailing,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Air Freight and Logistics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601 Regency Drive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S+636, 05/07/2027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Glendale Heights, IL 60139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ORL Acquisition,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Consumer Finance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3,523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(ORL Holdco, Inc.)</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S+940 (PIK 2.00%),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5555 N Beach St #4100,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09/03/2027</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Fort Worth, TX 76137</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OSP Embedded Purchaser,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14,486</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(OSP Embedded Aggregator, LP)</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S+585, 12/15/2029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Grand Island Blvd, Suite 2</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Island, NY 14072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Output Services Group,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775 Washington Ave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S+843, 11/30/2028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Carlstadt, NJ 07072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448"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60" w:type="dxa"/>
            <w:vAlign w:val="bottom"/>
            <w:gridSpan w:val="2"/>
          </w:tcPr>
          <w:p>
            <w:pPr>
              <w:jc w:val="center"/>
              <w:ind w:right="98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76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Owl Acquisition, LLC</w:t>
            </w:r>
          </w:p>
        </w:tc>
        <w:tc>
          <w:tcPr>
            <w:tcW w:w="2420" w:type="dxa"/>
            <w:vAlign w:val="bottom"/>
          </w:tcPr>
          <w:p>
            <w:pPr>
              <w:spacing w:after="0"/>
              <w:rPr>
                <w:sz w:val="9"/>
                <w:szCs w:val="9"/>
                <w:color w:val="auto"/>
              </w:rPr>
            </w:pPr>
          </w:p>
        </w:tc>
        <w:tc>
          <w:tcPr>
            <w:tcW w:w="1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2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70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100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3,834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47 Old Webster Road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S+550, 02/04/2028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Oxford, MA 01540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 Two,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22,736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22260 Haggerty Road #365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S+651, 05/18/2026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Northville, MI 48167</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Pacific Purchaser,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6,016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(Consello Pacific Aggregator, LLC)</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S+625, 09/30/2028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3250 Wilshire Blvd # 900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90010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PCS Midco,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11,706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(PCS Parent, LP)</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03/01/2030</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9450 SW Gemini Dr</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Beaverton, OR 97008</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PennantPark-TSO Senior Loan Fund, LP</w:t>
            </w:r>
            <w:r>
              <w:rPr>
                <w:rFonts w:ascii="Times New Roman" w:cs="Times New Roman" w:eastAsia="Times New Roman" w:hAnsi="Times New Roman"/>
                <w:sz w:val="10"/>
                <w:szCs w:val="10"/>
                <w:color w:val="auto"/>
              </w:rPr>
              <w:t>(6)</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Financial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4.99%</w:t>
            </w:r>
            <w:r>
              <w:rPr>
                <w:rFonts w:ascii="Times New Roman" w:cs="Times New Roman" w:eastAsia="Times New Roman" w:hAnsi="Times New Roman"/>
                <w:sz w:val="10"/>
                <w:szCs w:val="10"/>
                <w:color w:val="auto"/>
              </w:rPr>
              <w:t>(3)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9,705</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Acquisitionco,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Textiles, Apparel and Luxury</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(Pink Lily Holdco, LLC)</w:t>
            </w:r>
            <w:r>
              <w:rPr>
                <w:rFonts w:ascii="Times New Roman" w:cs="Times New Roman" w:eastAsia="Times New Roman" w:hAnsi="Times New Roman"/>
                <w:sz w:val="10"/>
                <w:szCs w:val="10"/>
                <w:color w:val="auto"/>
              </w:rPr>
              <w:t>(5)</w:t>
            </w:r>
          </w:p>
        </w:tc>
        <w:tc>
          <w:tcPr>
            <w:tcW w:w="240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Goods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S+710 (PIK 3.50%),</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323 Mitch McConnell Way</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11/09/2027</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Bowling Green KY 42101</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PlayPower,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13310 James E. Casey Ave.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S+565, 05/08/2026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Englewood, CO 80112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Pragmatic Institute,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8910 East Raintree Drive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07/06/2028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Scottsdale, AZ 85620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Quad (U.S.) Co-Invest, L.P.</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330 Old Country Rd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300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Mineola, NY 11501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Quantic Electronics,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6,467</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Four Embarcadero Center, Suite 3460</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S+635, 11/19/2026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Francisco, CA 94111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QuantiTech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LP)</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3M S+1010, 02/04/2027</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II LP)</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360A-360D Quality Circle, Suite 100/430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 Diversified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6,731</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275 Grove Street, Suite 2-130</w:t>
            </w:r>
          </w:p>
        </w:tc>
        <w:tc>
          <w:tcPr>
            <w:tcW w:w="240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09/09/2024</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Rancho Health MSO,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(RFMG Parent, LP)</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12/18/2025</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31720 Temecula Pkwy Suite 100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Temecula, CA 92592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Recteq,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1,758</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(NEPRT Parent Holdings, LLC )</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S+715, 01/29/2026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1061 Triad Ct., Ste. 3</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448"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2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4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Research Now Group, LLC</w:t>
            </w:r>
          </w:p>
        </w:tc>
        <w:tc>
          <w:tcPr>
            <w:tcW w:w="25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and Dynata, LLC</w:t>
            </w:r>
          </w:p>
        </w:tc>
        <w:tc>
          <w:tcPr>
            <w:tcW w:w="1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Business Services</w:t>
            </w:r>
          </w:p>
        </w:tc>
        <w:tc>
          <w:tcPr>
            <w:tcW w:w="68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680" w:type="dxa"/>
            <w:vAlign w:val="bottom"/>
          </w:tcPr>
          <w:p>
            <w:pPr>
              <w:spacing w:after="0"/>
              <w:rPr>
                <w:sz w:val="9"/>
                <w:szCs w:val="9"/>
                <w:color w:val="auto"/>
              </w:rPr>
            </w:pPr>
          </w:p>
        </w:tc>
        <w:tc>
          <w:tcPr>
            <w:tcW w:w="78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14,341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S+576, 12/20/2024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10,122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825 NE 25th Avenue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S+515, 06/20/2025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Rural Sourcing Holdings,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(HPA SPQ Aggregator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S+625, 06/15/2029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817 West Peachtree St. Suite M100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30308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S101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12,377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1450 Centrepark Blvd.</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12/29/2026</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210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Palm Beach, FL 33401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Benchmark Index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(SBI Holdings Investments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S+620, 01/03/2025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2021 McKinney Avenue Suite 550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Sargent &amp; Greenleaf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Security Drive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S+760 (PIK 1.00%),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Nicholasville, KY 40356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12/20/2024</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16,420</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S+825 (PIK 5.60%),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07/14/2025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Iselin, NJ 08830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Subordinate Debt</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S+700, 07/26/2024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Seaway Buyer,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(Seaway Topco,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06/13/2029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6006 Siesta Lane</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 Richey, FL 34668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Sigma Defense Systems,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IT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23,587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(Delta InvestCo LP)</w:t>
            </w:r>
            <w:r>
              <w:rPr>
                <w:rFonts w:ascii="Times New Roman" w:cs="Times New Roman" w:eastAsia="Times New Roman" w:hAnsi="Times New Roman"/>
                <w:sz w:val="10"/>
                <w:szCs w:val="10"/>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S+715, 12/18/2027</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1812 Macon Rd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GA 31069</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Simplicity Financial Marketing Group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86 Summit Avenue Suite 303</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3M S+640, 12/02/2026</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NJ 07901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Skopima Consilio Parent,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1828 L Street NW Suite 1070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05/17/2028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20036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Smartronix,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Aerospace and Defense</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(OceanSound Discovery Equity, LP)</w:t>
            </w:r>
            <w:r>
              <w:rPr>
                <w:rFonts w:ascii="Times New Roman" w:cs="Times New Roman" w:eastAsia="Times New Roman" w:hAnsi="Times New Roman"/>
                <w:sz w:val="10"/>
                <w:szCs w:val="10"/>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S+635, 11/23/2028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310 The Bridge Street, Suite 350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Smile Brands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100 Spectrum Center Drive, Suite 100</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Pharmaceuticals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10/14/2025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 92618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448"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0" w:type="dxa"/>
            <w:vAlign w:val="bottom"/>
            <w:gridSpan w:val="2"/>
          </w:tcPr>
          <w:p>
            <w:pPr>
              <w:jc w:val="center"/>
              <w:ind w:right="4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80" w:type="dxa"/>
            <w:vAlign w:val="bottom"/>
            <w:gridSpan w:val="2"/>
          </w:tcPr>
          <w:p>
            <w:pPr>
              <w:jc w:val="center"/>
              <w:ind w:right="6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Solutionreach, Inc.</w:t>
            </w:r>
          </w:p>
        </w:tc>
        <w:tc>
          <w:tcPr>
            <w:tcW w:w="3080" w:type="dxa"/>
            <w:vAlign w:val="bottom"/>
          </w:tcPr>
          <w:p>
            <w:pPr>
              <w:spacing w:after="0"/>
              <w:rPr>
                <w:sz w:val="9"/>
                <w:szCs w:val="9"/>
                <w:color w:val="auto"/>
              </w:rPr>
            </w:pPr>
          </w:p>
        </w:tc>
        <w:tc>
          <w:tcPr>
            <w:tcW w:w="19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Healthcare Technology</w:t>
            </w:r>
          </w:p>
        </w:tc>
        <w:tc>
          <w:tcPr>
            <w:tcW w:w="44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44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62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4,652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2600 N. Ashton Blvd.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S+700, 07/17/2025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Spendmend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(North Haven Saints Equity Holdings, LP)</w:t>
            </w:r>
            <w:r>
              <w:rPr>
                <w:rFonts w:ascii="Times New Roman" w:cs="Times New Roman" w:eastAsia="Times New Roman" w:hAnsi="Times New Roman"/>
                <w:sz w:val="10"/>
                <w:szCs w:val="10"/>
                <w:color w:val="auto"/>
              </w:rPr>
              <w:t>(5)</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rPr>
              <w:t>3M S+565, 03/01/2028,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Horizon Dr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Rapids, MI 49546</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SSC Dominion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Capital Equipment</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(US Dominion,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215 Spadina Avenue, Suite 200</w:t>
            </w:r>
          </w:p>
        </w:tc>
        <w:tc>
          <w:tcPr>
            <w:tcW w:w="1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Behavioral Healthcare,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501 Corporate Centre Dr. #600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1M S+501, 11/24/2028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TN 37067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System Planning and Analysis, Inc. (f/k/a Management Consulting &amp;</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20,622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Research,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S+590, 08/16/2027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1220 12th Street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TAC LifePort Purchaser, LLC</w:t>
            </w:r>
            <w:r>
              <w:rPr>
                <w:rFonts w:ascii="Times New Roman" w:cs="Times New Roman" w:eastAsia="Times New Roman" w:hAnsi="Times New Roman"/>
                <w:sz w:val="10"/>
                <w:szCs w:val="10"/>
                <w:color w:val="auto"/>
              </w:rPr>
              <w:t>(5)</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1610 Heritage St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Woodland, WA 98674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TCG 3.0 Jogger Acquisitionco, Inc.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4"/>
              </w:rPr>
              <w:t>Media</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27,893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(TCG 3.0 Jogger Co-Invest,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S+650, 01/26/2029</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3344 Walnut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Denver, CO 80205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Team Services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131 Camino Del Rio N, Suite 650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S+543, 12/20/2027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Diego, CA 92108</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Bluebird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Professional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 South Ninth Street, Suite 420,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S+665, 07/28/2026</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MN, 55402</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Vertex Companies,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(TWD Parent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S+610, 08/30/2027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398 Libbey Industrial Pkwy,</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Weymouth, MA 02189</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TPC US Parent,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Food Products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(TPC Holding Company,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3M S+565, 11/24/2025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151 Struthers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PA 16365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TransGo,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15,569</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(Aftermarket Drivetrain Products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S+600, 12/29/2028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2621 Merced Avenue</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Monte, CA, 91733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TWS Acquisition Corporation</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Diversified Consumer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3,657</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 N. 44th Street #230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S+640, 06/16/2025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Tyto Athene,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IT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12,692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(NXOF Holdings,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S+565, 04/01/2028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510 Spring Street, Suite 200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448"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4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40" w:type="dxa"/>
            <w:vAlign w:val="bottom"/>
            <w:gridSpan w:val="2"/>
          </w:tcPr>
          <w:p>
            <w:pPr>
              <w:jc w:val="center"/>
              <w:ind w:right="8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50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UniTek Global Services Inc.</w:t>
            </w:r>
          </w:p>
        </w:tc>
        <w:tc>
          <w:tcPr>
            <w:tcW w:w="2660" w:type="dxa"/>
            <w:vAlign w:val="bottom"/>
          </w:tcPr>
          <w:p>
            <w:pPr>
              <w:spacing w:after="0"/>
              <w:rPr>
                <w:sz w:val="9"/>
                <w:szCs w:val="9"/>
                <w:color w:val="auto"/>
              </w:rPr>
            </w:pPr>
          </w:p>
        </w:tc>
        <w:tc>
          <w:tcPr>
            <w:tcW w:w="20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Telecommunications</w:t>
            </w:r>
          </w:p>
        </w:tc>
        <w:tc>
          <w:tcPr>
            <w:tcW w:w="500" w:type="dxa"/>
            <w:vAlign w:val="bottom"/>
          </w:tcPr>
          <w:p>
            <w:pPr>
              <w:spacing w:after="0"/>
              <w:rPr>
                <w:sz w:val="9"/>
                <w:szCs w:val="9"/>
                <w:color w:val="auto"/>
              </w:rPr>
            </w:pPr>
          </w:p>
        </w:tc>
        <w:tc>
          <w:tcPr>
            <w:tcW w:w="16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Preferred Equity</w:t>
            </w:r>
          </w:p>
        </w:tc>
        <w:tc>
          <w:tcPr>
            <w:tcW w:w="540" w:type="dxa"/>
            <w:vAlign w:val="bottom"/>
          </w:tcPr>
          <w:p>
            <w:pPr>
              <w:spacing w:after="0"/>
              <w:rPr>
                <w:sz w:val="9"/>
                <w:szCs w:val="9"/>
                <w:color w:val="auto"/>
              </w:rPr>
            </w:pPr>
          </w:p>
        </w:tc>
        <w:tc>
          <w:tcPr>
            <w:tcW w:w="760" w:type="dxa"/>
            <w:vAlign w:val="bottom"/>
            <w:tcBorders>
              <w:top w:val="single" w:sz="8" w:color="auto"/>
            </w:tcBorders>
          </w:tcPr>
          <w:p>
            <w:pPr>
              <w:ind w:left="54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7"/>
              </w:rPr>
              <w:t>Warrants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UniVista Insurance</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Urology Partners Co., LP</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500 East Broward Blvd, Suite 2150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Lauderdale, FL 33394</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Walker Edison Furniture Company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Wholesale</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(Walker Edison Holdco LLC)</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 03/01/2029</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1553 W 9000 S</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Jordan, UT 84088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Watchtower Intermediate,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(Watchtower Holdings, LLC)</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and Components</w:t>
            </w:r>
          </w:p>
        </w:tc>
        <w:tc>
          <w:tcPr>
            <w:tcW w:w="214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rPr>
              <w:t>3M S+600 , 12/01/2029</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127 Weldon Parkway</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Maryland Heights, MO 63043</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WCP IvyRehab QP CF Feeder, LP</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4,173</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(WCP IvyRehab Coinvestment, LP) </w:t>
            </w:r>
            <w:r>
              <w:rPr>
                <w:rFonts w:ascii="Times New Roman" w:cs="Times New Roman" w:eastAsia="Times New Roman" w:hAnsi="Times New Roman"/>
                <w:sz w:val="10"/>
                <w:szCs w:val="10"/>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1311 Mamaroneck Avenue, Suite 140</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Plains, NY 10605</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Wildcat Buyerco, Inc.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13,378</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(Wildcat Parent, LP)</w:t>
            </w:r>
          </w:p>
        </w:tc>
        <w:tc>
          <w:tcPr>
            <w:tcW w:w="250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and Components</w:t>
            </w: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S+575, 02/26/2027</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9730 Northcross Center Court</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Wrench Group,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1819 Main Street Suite 1300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S+426, 10/30/2028</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Sarasota, FL 34236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Zips Car Wash,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Automobiles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12,960</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1809 East Parker Road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w w:val="99"/>
              </w:rPr>
              <w:t>3M S+735 (PIK 1.50%),</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Jonesboro, AR 72404</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12/31/2024</w:t>
            </w: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Marketplace Events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32.6%</w:t>
            </w:r>
            <w:r>
              <w:rPr>
                <w:rFonts w:ascii="Times New Roman" w:cs="Times New Roman" w:eastAsia="Times New Roman" w:hAnsi="Times New Roman"/>
                <w:sz w:val="10"/>
                <w:szCs w:val="10"/>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38,004</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MPE Holdings, LLC)</w:t>
            </w:r>
            <w:r>
              <w:rPr>
                <w:rFonts w:ascii="Times New Roman" w:cs="Times New Roman" w:eastAsia="Times New Roman" w:hAnsi="Times New Roman"/>
                <w:sz w:val="10"/>
                <w:szCs w:val="10"/>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S+550, 09/30/2026</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31105 Bainbridge Road, Suite 3</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Senior Secured Loan Fund I LLC</w:t>
            </w:r>
            <w:r>
              <w:rPr>
                <w:rFonts w:ascii="Times New Roman" w:cs="Times New Roman" w:eastAsia="Times New Roman" w:hAnsi="Times New Roman"/>
                <w:sz w:val="10"/>
                <w:szCs w:val="10"/>
                <w:color w:val="auto"/>
              </w:rPr>
              <w:t>(6)</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Financial Services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0"/>
                <w:szCs w:val="10"/>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263,199</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S+800, 05/06/2024</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2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Total Investments</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1,477,883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60" w:hanging="455"/>
        <w:spacing w:after="0" w:line="249"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floating rate instruments that accrue interest at a predetermined spread relative to an index, typically the applicable Secured Overnight Financing Rate, or “S”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4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460" w:hanging="455"/>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ownership percentage refers only to common equity, preferred equity and warrants held, if any, were we to have voting rights.</w:t>
      </w:r>
    </w:p>
    <w:p>
      <w:pPr>
        <w:spacing w:after="0" w:line="2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one or more voting seats on the portfolio company’s board of directors/managers.</w:t>
      </w:r>
    </w:p>
    <w:p>
      <w:pPr>
        <w:spacing w:after="0" w:line="3" w:lineRule="exact"/>
        <w:rPr>
          <w:rFonts w:ascii="Times New Roman" w:cs="Times New Roman" w:eastAsia="Times New Roman" w:hAnsi="Times New Roman"/>
          <w:sz w:val="18"/>
          <w:szCs w:val="18"/>
          <w:color w:val="auto"/>
        </w:rPr>
      </w:pPr>
    </w:p>
    <w:p>
      <w:pPr>
        <w:ind w:left="460" w:right="260" w:hanging="455"/>
        <w:spacing w:after="0" w:line="244"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460" w:hanging="455"/>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held through our Taxable Subsidiary.</w:t>
      </w:r>
    </w:p>
    <w:p>
      <w:pPr>
        <w:spacing w:after="0" w:line="3" w:lineRule="exact"/>
        <w:rPr>
          <w:rFonts w:ascii="Times New Roman" w:cs="Times New Roman" w:eastAsia="Times New Roman" w:hAnsi="Times New Roman"/>
          <w:sz w:val="18"/>
          <w:szCs w:val="18"/>
          <w:color w:val="auto"/>
        </w:rPr>
      </w:pPr>
    </w:p>
    <w:p>
      <w:pPr>
        <w:ind w:left="460" w:right="240" w:hanging="455"/>
        <w:spacing w:after="0" w:line="246"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brief description of each portfolio company in which we have made an investment that represents greater than 5% of our total assets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PennantPark Senior Secured Loan Fund I LLC (Financial Services)</w:t>
      </w:r>
    </w:p>
    <w:p>
      <w:pPr>
        <w:spacing w:after="0" w:line="1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PennantPark Senior Secured Loan Fund I LLC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169" w:lineRule="exact"/>
        <w:rPr>
          <w:sz w:val="20"/>
          <w:szCs w:val="20"/>
          <w:color w:val="auto"/>
        </w:rPr>
      </w:pPr>
    </w:p>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34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Professional Services</w:t>
            </w:r>
          </w:p>
        </w:tc>
        <w:tc>
          <w:tcPr>
            <w:tcW w:w="1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0"/>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7"/>
                <w:szCs w:val="17"/>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Providers and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192"/>
        </w:trPr>
        <w:tc>
          <w:tcPr>
            <w:tcW w:w="34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Electronic Equipment, Instruments, and</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9"/>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Components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&amp; Engineering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Diversified and Production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 &amp; Supplies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Freight and Logistics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Components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Equipment and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355"/>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48"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Healthcare Equipment and Supplies</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7"/>
                <w:szCs w:val="17"/>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Software and Services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Leisure Products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Apparel and Luxury Goods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7"/>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4"/>
        </w:trPr>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480" w:type="dxa"/>
            <w:vAlign w:val="bottom"/>
            <w:gridSpan w:val="3"/>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43"/>
        </w:trPr>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2"/>
              </w:rPr>
              <w:t>(1)</w:t>
            </w:r>
          </w:p>
        </w:tc>
        <w:tc>
          <w:tcPr>
            <w:tcW w:w="44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Excludes investments in PSSL.</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355"/>
        </w:trPr>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39"/>
          </w:cols>
          <w:pgMar w:left="320" w:top="44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MANAGEMENT OF THE COMPANY</w:t>
      </w:r>
    </w:p>
    <w:p>
      <w:pPr>
        <w:spacing w:after="0" w:line="216" w:lineRule="exact"/>
        <w:rPr>
          <w:sz w:val="20"/>
          <w:szCs w:val="20"/>
          <w:color w:val="auto"/>
        </w:rPr>
      </w:pPr>
    </w:p>
    <w:p>
      <w:pPr>
        <w:ind w:firstLine="45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entitled “Security Ownership of Certain Beneficial Owners and Management,” “Information About the Nominees and Directors,” “Corporate Governance,” and “Board’s Oversight Role in Management” in our most recent Definitive Proxy Statement on </w:t>
      </w:r>
      <w:hyperlink r:id="rId13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herein by reference.</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320" w:top="448" w:right="6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INVESTMENT MANAGEMENT AND ADMINISTRATION AGREEMENT</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the section entitled “Business—Investment Management Agreement,” “Business—Investment Advisory Fees,” “Business— Organization of the Investment Adviser,” “Business—Administration Agreements” in Part I, Item 1 of our most recent Annual Report on </w:t>
      </w:r>
      <w:hyperlink r:id="rId9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in the notes to our consolidated financial statements under the caption “Note 3. Agreements and Related Party Transactions” in our most recent Annual Report on </w:t>
      </w:r>
      <w:hyperlink r:id="rId9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448"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16"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nine experienced portfolio managers.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portfolio managers receive no compensation from us. The compensation of these individuals is paid by our Investment Adviser and compensation includes a base salary and a bonus contingent upon past and future performance.</w:t>
      </w:r>
    </w:p>
    <w:p>
      <w:pPr>
        <w:spacing w:after="0" w:line="191" w:lineRule="exact"/>
        <w:rPr>
          <w:sz w:val="20"/>
          <w:szCs w:val="20"/>
          <w:color w:val="auto"/>
        </w:rPr>
      </w:pPr>
    </w:p>
    <w:p>
      <w:pPr>
        <w:ind w:right="40" w:firstLine="450"/>
        <w:spacing w:after="0" w:line="246"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94"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5" w:lineRule="exact"/>
        <w:rPr>
          <w:sz w:val="20"/>
          <w:szCs w:val="20"/>
          <w:color w:val="auto"/>
        </w:rPr>
      </w:pPr>
    </w:p>
    <w:p>
      <w:pPr>
        <w:ind w:right="220" w:firstLine="450"/>
        <w:spacing w:after="0" w:line="250"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5" w:lineRule="exact"/>
        <w:rPr>
          <w:sz w:val="20"/>
          <w:szCs w:val="20"/>
          <w:color w:val="auto"/>
        </w:rPr>
      </w:pPr>
    </w:p>
    <w:p>
      <w:pPr>
        <w:ind w:right="380" w:firstLine="450"/>
        <w:spacing w:after="0" w:line="332" w:lineRule="auto"/>
        <w:rPr>
          <w:sz w:val="20"/>
          <w:szCs w:val="20"/>
          <w:color w:val="auto"/>
        </w:rPr>
      </w:pPr>
      <w:r>
        <w:rPr>
          <w:rFonts w:ascii="Times New Roman" w:cs="Times New Roman" w:eastAsia="Times New Roman" w:hAnsi="Times New Roman"/>
          <w:sz w:val="16"/>
          <w:szCs w:val="16"/>
          <w:color w:val="auto"/>
        </w:rPr>
        <w:t>Michael Appelbaum joined PennantPark Investment Advisers in August 2011. Previously, Mr. Appelbaum was an Analyst in the Leveraged Finance Group at Bank of America Merrill Lynch from 2010 to 2011 and an Analyst in Aerospace and Defense Finance at CIT Group from 2007 to 2010.</w:t>
      </w:r>
    </w:p>
    <w:p>
      <w:pPr>
        <w:spacing w:after="0" w:line="123"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Terence Clerkin joined PennantPark Investment Advisers in September 2012. Previously, Mr. Clerkin was an Associate in the Mezzanine Group at Crescent Capital from 2010 to 2012. Before that, he was an Analyst at Moelis &amp; Company from 2008 to 2010 and an Analyst at Bear, Stearns &amp; Co. from 2007 to 2008.</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4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69" w:lineRule="exact"/>
        <w:rPr>
          <w:sz w:val="20"/>
          <w:szCs w:val="20"/>
          <w:color w:val="auto"/>
        </w:rPr>
      </w:pPr>
    </w:p>
    <w:p>
      <w:pPr>
        <w:ind w:right="240" w:firstLine="450"/>
        <w:spacing w:after="0" w:line="293" w:lineRule="auto"/>
        <w:rPr>
          <w:sz w:val="20"/>
          <w:szCs w:val="20"/>
          <w:color w:val="auto"/>
        </w:rPr>
      </w:pPr>
      <w:r>
        <w:rPr>
          <w:rFonts w:ascii="Times New Roman" w:cs="Times New Roman" w:eastAsia="Times New Roman" w:hAnsi="Times New Roman"/>
          <w:sz w:val="16"/>
          <w:szCs w:val="16"/>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54"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6"/>
          <w:szCs w:val="16"/>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managing our investments, as of March 31, 2024, our portfolio managers also managed investments on behalf of the following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6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Investment Corporation</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Business development company</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 U.S. middle market companies in</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form of first lien secured loans, second lien</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 debt, subordinated debt and equity</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Primarily floating rate loans, with an emphasis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senior secured loans, in middle-market</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leveraged companies.</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Senior Loan Fund, LLC</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invests in middle-market and other</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consistent with PennantPark</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Corporation’s strategy.</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Managed Funds or Accounts</w:t>
            </w:r>
            <w:r>
              <w:rPr>
                <w:rFonts w:ascii="Times New Roman" w:cs="Times New Roman" w:eastAsia="Times New Roman" w:hAnsi="Times New Roman"/>
                <w:sz w:val="26"/>
                <w:szCs w:val="26"/>
                <w:color w:val="auto"/>
                <w:vertAlign w:val="superscript"/>
              </w:rPr>
              <w:t>(1)</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Lending Funds</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credit opportunities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7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39</w:t>
            </w:r>
          </w:p>
        </w:tc>
        <w:tc>
          <w:tcPr>
            <w:tcW w:w="3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290830</wp:posOffset>
            </wp:positionV>
            <wp:extent cx="7854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60" w:right="580" w:hanging="455"/>
        <w:spacing w:after="0" w:line="332" w:lineRule="auto"/>
        <w:tabs>
          <w:tab w:leader="none" w:pos="4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identifies, based on gross assets as of March 31, 2024, (i) the number of other registered investment companies, other pooled investment vehicles and other accounts managed by the portfolio managers; and (ii) the total assets of such companies, vehicles and accounts.</w:t>
      </w:r>
    </w:p>
    <w:p>
      <w:pPr>
        <w:spacing w:after="0" w:line="126"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0" w:type="dxa"/>
            <w:vAlign w:val="bottom"/>
          </w:tcPr>
          <w:p>
            <w:pPr>
              <w:spacing w:after="0"/>
              <w:rPr>
                <w:sz w:val="1"/>
                <w:szCs w:val="1"/>
                <w:color w:val="auto"/>
              </w:rPr>
            </w:pPr>
          </w:p>
        </w:tc>
      </w:tr>
      <w:tr>
        <w:trPr>
          <w:trHeight w:val="145"/>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Account</w:t>
            </w:r>
          </w:p>
        </w:tc>
        <w:tc>
          <w:tcPr>
            <w:tcW w:w="448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0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176"/>
        </w:trPr>
        <w:tc>
          <w:tcPr>
            <w:tcW w:w="100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460" w:type="dxa"/>
            <w:vAlign w:val="bottom"/>
            <w:gridSpan w:val="2"/>
          </w:tcPr>
          <w:p>
            <w:pPr>
              <w:jc w:val="right"/>
              <w:ind w:right="860"/>
              <w:spacing w:after="0" w:line="156"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70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1"/>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4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50"/>
        <w:spacing w:after="0" w:line="2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Because 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we are subject to inherent conflicts of interest. See “Risk Factors—Risks Relating to our Business and Structure—There are significant potential conflicts of interest which could impact our investment returns” in our most recent Annual Report on </w:t>
      </w:r>
      <w:hyperlink r:id="rId96">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more information of potential conflicts of interests.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dollar range of our common stock beneficially owned by each of our senior investment professionals as of March 31,</w:t>
      </w:r>
    </w:p>
    <w:p>
      <w:pPr>
        <w:spacing w:after="0" w:line="44" w:lineRule="exact"/>
        <w:rPr>
          <w:sz w:val="20"/>
          <w:szCs w:val="20"/>
          <w:color w:val="auto"/>
        </w:rPr>
      </w:pPr>
    </w:p>
    <w:p>
      <w:pPr>
        <w:ind w:right="740"/>
        <w:spacing w:after="0" w:line="248" w:lineRule="auto"/>
        <w:rPr>
          <w:sz w:val="20"/>
          <w:szCs w:val="20"/>
          <w:color w:val="auto"/>
        </w:rPr>
      </w:pPr>
      <w:r>
        <w:rPr>
          <w:rFonts w:ascii="Times New Roman" w:cs="Times New Roman" w:eastAsia="Times New Roman" w:hAnsi="Times New Roman"/>
          <w:sz w:val="18"/>
          <w:szCs w:val="18"/>
          <w:color w:val="auto"/>
        </w:rPr>
        <w:t>2024.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Dollar Range of the</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PennantPark Floating Rate</w:t>
            </w:r>
          </w:p>
        </w:tc>
      </w:tr>
      <w:tr>
        <w:trPr>
          <w:trHeight w:val="182"/>
        </w:trPr>
        <w:tc>
          <w:tcPr>
            <w:tcW w:w="3600" w:type="dxa"/>
            <w:vAlign w:val="bottom"/>
          </w:tcPr>
          <w:p>
            <w:pPr>
              <w:spacing w:after="0"/>
              <w:rPr>
                <w:sz w:val="15"/>
                <w:szCs w:val="15"/>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 xml:space="preserve">Capital Ltd. </w:t>
            </w:r>
            <w:r>
              <w:rPr>
                <w:rFonts w:ascii="Times New Roman" w:cs="Times New Roman" w:eastAsia="Times New Roman" w:hAnsi="Times New Roman"/>
                <w:sz w:val="10"/>
                <w:szCs w:val="10"/>
                <w:b w:val="1"/>
                <w:bCs w:val="1"/>
                <w:color w:val="auto"/>
                <w:w w:val="99"/>
              </w:rPr>
              <w:t>(1)</w:t>
            </w:r>
          </w:p>
        </w:tc>
      </w:tr>
      <w:tr>
        <w:trPr>
          <w:trHeight w:val="211"/>
        </w:trPr>
        <w:tc>
          <w:tcPr>
            <w:tcW w:w="3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Arthur H. Penn</w:t>
            </w:r>
            <w:r>
              <w:rPr>
                <w:rFonts w:ascii="Times New Roman" w:cs="Times New Roman" w:eastAsia="Times New Roman" w:hAnsi="Times New Roman"/>
                <w:sz w:val="24"/>
                <w:szCs w:val="24"/>
                <w:color w:val="auto"/>
                <w:vertAlign w:val="superscript"/>
              </w:rPr>
              <w:t>(2)</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José A. Briones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Salvatore Giannetti III</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Michael Appelbaum</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Clerkin</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Dan Horn</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Raskopf</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James Stone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Winograd</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right="220" w:hanging="455"/>
        <w:spacing w:after="0" w:line="254"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 Beneficial ownership has been determined in accordance with Rule 16a-1(a)(2) promulgated under the Exchange Act.</w:t>
      </w:r>
    </w:p>
    <w:p>
      <w:pPr>
        <w:ind w:left="460" w:hanging="455"/>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448"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1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14"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1" w:lineRule="exact"/>
        <w:rPr>
          <w:sz w:val="20"/>
          <w:szCs w:val="20"/>
          <w:color w:val="auto"/>
        </w:rPr>
      </w:pPr>
    </w:p>
    <w:p>
      <w:pPr>
        <w:ind w:left="1000" w:right="180" w:hanging="547"/>
        <w:spacing w:after="0" w:line="26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21" w:lineRule="exact"/>
        <w:rPr>
          <w:rFonts w:ascii="Times New Roman" w:cs="Times New Roman" w:eastAsia="Times New Roman" w:hAnsi="Times New Roman"/>
          <w:sz w:val="18"/>
          <w:szCs w:val="18"/>
          <w:color w:val="auto"/>
        </w:rPr>
      </w:pPr>
    </w:p>
    <w:p>
      <w:pPr>
        <w:ind w:left="1000" w:right="600" w:hanging="547"/>
        <w:spacing w:after="0" w:line="25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1" w:lineRule="exact"/>
        <w:rPr>
          <w:rFonts w:ascii="Times New Roman" w:cs="Times New Roman" w:eastAsia="Times New Roman" w:hAnsi="Times New Roman"/>
          <w:sz w:val="18"/>
          <w:szCs w:val="18"/>
          <w:color w:val="auto"/>
        </w:rPr>
      </w:pPr>
    </w:p>
    <w:p>
      <w:pPr>
        <w:ind w:left="1000" w:right="240" w:hanging="547"/>
        <w:spacing w:after="0" w:line="25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rFonts w:ascii="Times New Roman" w:cs="Times New Roman" w:eastAsia="Times New Roman" w:hAnsi="Times New Roman"/>
          <w:sz w:val="18"/>
          <w:szCs w:val="18"/>
          <w:color w:val="auto"/>
        </w:rPr>
      </w:pPr>
    </w:p>
    <w:p>
      <w:pPr>
        <w:ind w:left="1000" w:right="340" w:hanging="547"/>
        <w:spacing w:after="0" w:line="26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9"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44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ectPr>
          <w:pgSz w:w="11900" w:h="16838" w:orient="portrait"/>
          <w:cols w:equalWidth="0" w:num="1">
            <w:col w:w="11220"/>
          </w:cols>
          <w:pgMar w:left="320" w:top="448" w:right="359" w:bottom="1440" w:gutter="0" w:footer="0" w:header="0"/>
        </w:sectPr>
      </w:pP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Level 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Inputs that are quoted prices (unadjusted) in active markets for identical assets or liabilities, accessible by us at the measurement date.</w:t>
      </w:r>
    </w:p>
    <w:p>
      <w:pPr>
        <w:spacing w:after="0" w:line="145" w:lineRule="exact"/>
        <w:rPr>
          <w:sz w:val="20"/>
          <w:szCs w:val="20"/>
          <w:color w:val="auto"/>
        </w:rPr>
      </w:pPr>
    </w:p>
    <w:p>
      <w:pPr>
        <w:sectPr>
          <w:pgSz w:w="11900" w:h="16838" w:orient="portrait"/>
          <w:cols w:equalWidth="0" w:num="2">
            <w:col w:w="1020" w:space="560"/>
            <w:col w:w="9640"/>
          </w:cols>
          <w:pgMar w:left="320" w:top="448"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2:</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8" w:lineRule="exact"/>
        <w:rPr>
          <w:sz w:val="20"/>
          <w:szCs w:val="20"/>
          <w:color w:val="auto"/>
        </w:rPr>
      </w:pPr>
    </w:p>
    <w:p>
      <w:pPr>
        <w:sectPr>
          <w:pgSz w:w="11900" w:h="16838" w:orient="portrait"/>
          <w:cols w:equalWidth="0" w:num="2">
            <w:col w:w="1020" w:space="560"/>
            <w:col w:w="9640"/>
          </w:cols>
          <w:pgMar w:left="320" w:top="448"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3:</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9" w:lineRule="exact"/>
        <w:rPr>
          <w:sz w:val="20"/>
          <w:szCs w:val="20"/>
          <w:color w:val="auto"/>
        </w:rPr>
      </w:pPr>
    </w:p>
    <w:p>
      <w:pPr>
        <w:sectPr>
          <w:pgSz w:w="11900" w:h="16838" w:orient="portrait"/>
          <w:cols w:equalWidth="0" w:num="2">
            <w:col w:w="1020" w:space="560"/>
            <w:col w:w="9640"/>
          </w:cols>
          <w:pgMar w:left="320" w:top="448" w:right="359" w:bottom="1440" w:gutter="0" w:footer="0" w:header="0"/>
          <w:type w:val="continuous"/>
        </w:sect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2031 Asset-Backed Debt, 2036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5" w:lineRule="exact"/>
        <w:rPr>
          <w:sz w:val="20"/>
          <w:szCs w:val="20"/>
          <w:color w:val="auto"/>
        </w:rPr>
      </w:pPr>
    </w:p>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11"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5540" w:right="3060" w:hanging="4982"/>
        <w:spacing w:after="0" w:line="436" w:lineRule="auto"/>
        <w:tabs>
          <w:tab w:leader="none" w:pos="9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 42</w:t>
      </w:r>
    </w:p>
    <w:p>
      <w:pPr>
        <w:sectPr>
          <w:pgSz w:w="11900" w:h="16838" w:orient="portrait"/>
          <w:cols w:equalWidth="0" w:num="1">
            <w:col w:w="11220"/>
          </w:cols>
          <w:pgMar w:left="320" w:top="448" w:right="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right="140" w:hanging="442"/>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7" w:lineRule="exact"/>
        <w:rPr>
          <w:rFonts w:ascii="Times New Roman" w:cs="Times New Roman" w:eastAsia="Times New Roman" w:hAnsi="Times New Roman"/>
          <w:sz w:val="18"/>
          <w:szCs w:val="18"/>
          <w:color w:val="auto"/>
        </w:rPr>
      </w:pPr>
    </w:p>
    <w:p>
      <w:pPr>
        <w:ind w:left="1000" w:right="560" w:hanging="442"/>
        <w:spacing w:after="0" w:line="26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22" w:lineRule="exact"/>
        <w:rPr>
          <w:sz w:val="20"/>
          <w:szCs w:val="20"/>
          <w:color w:val="auto"/>
        </w:rPr>
      </w:pPr>
    </w:p>
    <w:p>
      <w:pPr>
        <w:ind w:left="1000" w:hanging="442"/>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5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8" w:lineRule="exact"/>
        <w:rPr>
          <w:sz w:val="20"/>
          <w:szCs w:val="20"/>
          <w:color w:val="auto"/>
        </w:rPr>
      </w:pPr>
    </w:p>
    <w:p>
      <w:pPr>
        <w:ind w:right="20" w:firstLine="450"/>
        <w:spacing w:after="0" w:line="332" w:lineRule="auto"/>
        <w:rPr>
          <w:sz w:val="20"/>
          <w:szCs w:val="20"/>
          <w:color w:val="auto"/>
        </w:rPr>
      </w:pPr>
      <w:r>
        <w:rPr>
          <w:rFonts w:ascii="Times New Roman" w:cs="Times New Roman" w:eastAsia="Times New Roman" w:hAnsi="Times New Roman"/>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448"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16" w:lineRule="exact"/>
        <w:rPr>
          <w:sz w:val="20"/>
          <w:szCs w:val="20"/>
          <w:color w:val="auto"/>
        </w:rPr>
      </w:pPr>
    </w:p>
    <w:p>
      <w:pPr>
        <w:jc w:val="both"/>
        <w:ind w:right="80" w:firstLine="450"/>
        <w:spacing w:after="0" w:line="25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1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As of March 31, 2024, our authorized capital stock consisted of 100,000,000 shares of stock, par value $0.001 per share, all of which is classified as common stock. Our common stock is quoted on The New York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May 23, 2024 was $11.26 per share. As of March 31, 2024, we had 32 stockholders of record.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March 31, 2024:</w:t>
      </w: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Us or</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5"/>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80" w:type="dxa"/>
            <w:vAlign w:val="bottom"/>
            <w:gridSpan w:val="2"/>
            <w:vMerge w:val="continue"/>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Our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40" w:type="dxa"/>
            <w:vAlign w:val="bottom"/>
            <w:gridSpan w:val="3"/>
            <w:vMerge w:val="continue"/>
          </w:tcPr>
          <w:p>
            <w:pPr>
              <w:spacing w:after="0"/>
              <w:rPr>
                <w:sz w:val="13"/>
                <w:szCs w:val="13"/>
                <w:color w:val="auto"/>
              </w:rPr>
            </w:pPr>
          </w:p>
        </w:tc>
        <w:tc>
          <w:tcPr>
            <w:tcW w:w="14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80" w:type="dxa"/>
            <w:vAlign w:val="bottom"/>
            <w:gridSpan w:val="2"/>
          </w:tcPr>
          <w:p>
            <w:pPr>
              <w:jc w:val="center"/>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0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10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w w:val="95"/>
              </w:rPr>
              <w:t>100,000,000</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63,228,138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11"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448"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Nothing in our charter restricting or eliminating the liabilities of directors under Maryland law will apply to, or in any way limit, the duties or liabilities of such persons with respect to matters arising under the federal securities laws.</w:t>
      </w:r>
    </w:p>
    <w:p>
      <w:pPr>
        <w:spacing w:after="0" w:line="154"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right="420" w:firstLine="450"/>
        <w:spacing w:after="0" w:line="268"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9"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44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the Maryland General Corporation Law and our Charter and Bylaws</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2027, 2025 and 2026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13"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13"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1"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13" w:lineRule="exact"/>
        <w:rPr>
          <w:sz w:val="20"/>
          <w:szCs w:val="20"/>
          <w:color w:val="auto"/>
        </w:rPr>
      </w:pPr>
    </w:p>
    <w:p>
      <w:pPr>
        <w:ind w:right="300" w:firstLine="450"/>
        <w:spacing w:after="0" w:line="256"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448"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20" w:firstLine="5"/>
        <w:spacing w:after="0" w:line="244" w:lineRule="auto"/>
        <w:tabs>
          <w:tab w:leader="none" w:pos="2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9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13" w:lineRule="exact"/>
        <w:rPr>
          <w:sz w:val="20"/>
          <w:szCs w:val="20"/>
          <w:color w:val="auto"/>
        </w:rPr>
      </w:pPr>
    </w:p>
    <w:p>
      <w:pPr>
        <w:jc w:val="both"/>
        <w:ind w:right="200" w:firstLine="450"/>
        <w:spacing w:after="0" w:line="252"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13"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448"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Our charter and bylaws provide that the board of directors will have the exclusive power to adopt, alter or repeal any provision of our bylaws and to make new bylaws.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13"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13"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169" w:lineRule="exact"/>
        <w:rPr>
          <w:sz w:val="20"/>
          <w:szCs w:val="20"/>
          <w:color w:val="auto"/>
        </w:rPr>
      </w:pPr>
    </w:p>
    <w:p>
      <w:pPr>
        <w:ind w:firstLine="450"/>
        <w:spacing w:after="0" w:line="289" w:lineRule="auto"/>
        <w:rPr>
          <w:sz w:val="20"/>
          <w:szCs w:val="20"/>
          <w:color w:val="auto"/>
        </w:rPr>
      </w:pPr>
      <w:r>
        <w:rPr>
          <w:rFonts w:ascii="Times New Roman" w:cs="Times New Roman" w:eastAsia="Times New Roman" w:hAnsi="Times New Roman"/>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14"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80"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3" w:lineRule="exact"/>
        <w:rPr>
          <w:sz w:val="20"/>
          <w:szCs w:val="20"/>
          <w:color w:val="auto"/>
        </w:rPr>
      </w:pPr>
    </w:p>
    <w:p>
      <w:pPr>
        <w:ind w:firstLine="450"/>
        <w:spacing w:after="0" w:line="284" w:lineRule="auto"/>
        <w:rPr>
          <w:sz w:val="20"/>
          <w:szCs w:val="20"/>
          <w:color w:val="auto"/>
        </w:rPr>
      </w:pPr>
      <w:r>
        <w:rPr>
          <w:rFonts w:ascii="Times New Roman" w:cs="Times New Roman" w:eastAsia="Times New Roman" w:hAnsi="Times New Roman"/>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60" w:lineRule="exact"/>
        <w:rPr>
          <w:sz w:val="20"/>
          <w:szCs w:val="20"/>
          <w:color w:val="auto"/>
        </w:rPr>
      </w:pPr>
    </w:p>
    <w:p>
      <w:pPr>
        <w:ind w:right="140" w:firstLine="450"/>
        <w:spacing w:after="0" w:line="268" w:lineRule="auto"/>
        <w:rPr>
          <w:sz w:val="20"/>
          <w:szCs w:val="20"/>
          <w:color w:val="auto"/>
        </w:rPr>
      </w:pPr>
      <w:r>
        <w:rPr>
          <w:rFonts w:ascii="Times New Roman" w:cs="Times New Roman" w:eastAsia="Times New Roman" w:hAnsi="Times New Roman"/>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448"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3"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1" w:lineRule="exact"/>
        <w:rPr>
          <w:sz w:val="20"/>
          <w:szCs w:val="20"/>
          <w:color w:val="auto"/>
        </w:rPr>
      </w:pPr>
    </w:p>
    <w:p>
      <w:pPr>
        <w:ind w:left="1000" w:hanging="442"/>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121"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0"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7" w:lineRule="exact"/>
        <w:rPr>
          <w:sz w:val="20"/>
          <w:szCs w:val="20"/>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21" w:lineRule="exact"/>
        <w:rPr>
          <w:rFonts w:ascii="Times New Roman" w:cs="Times New Roman" w:eastAsia="Times New Roman" w:hAnsi="Times New Roman"/>
          <w:sz w:val="18"/>
          <w:szCs w:val="18"/>
          <w:color w:val="auto"/>
        </w:rPr>
      </w:pPr>
    </w:p>
    <w:p>
      <w:pPr>
        <w:ind w:left="1000" w:right="220" w:hanging="442"/>
        <w:spacing w:after="0" w:line="332"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3"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9"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13"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44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ind w:left="240" w:hanging="235"/>
        <w:spacing w:after="0"/>
        <w:tabs>
          <w:tab w:leader="none" w:pos="2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Internal Corporate Claim, as such term is defined in Section 1-101(q) of the Maryland General Corporation Law, or any successor provision thereof,</w:t>
      </w:r>
    </w:p>
    <w:p>
      <w:pPr>
        <w:spacing w:after="0" w:line="26" w:lineRule="exact"/>
        <w:rPr>
          <w:rFonts w:ascii="Times New Roman" w:cs="Times New Roman" w:eastAsia="Times New Roman" w:hAnsi="Times New Roman"/>
          <w:sz w:val="16"/>
          <w:szCs w:val="16"/>
          <w:color w:val="auto"/>
        </w:rPr>
      </w:pPr>
    </w:p>
    <w:p>
      <w:pPr>
        <w:ind w:firstLine="5"/>
        <w:spacing w:after="0" w:line="244" w:lineRule="auto"/>
        <w:tabs>
          <w:tab w:leader="none" w:pos="2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48"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16"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5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7" w:lineRule="exact"/>
        <w:rPr>
          <w:sz w:val="20"/>
          <w:szCs w:val="20"/>
          <w:color w:val="auto"/>
        </w:rPr>
      </w:pPr>
    </w:p>
    <w:p>
      <w:pPr>
        <w:ind w:right="460" w:firstLine="450"/>
        <w:spacing w:after="0" w:line="268"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77" w:lineRule="exact"/>
        <w:rPr>
          <w:sz w:val="20"/>
          <w:szCs w:val="20"/>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21" w:lineRule="exact"/>
        <w:rPr>
          <w:rFonts w:ascii="Times New Roman" w:cs="Times New Roman" w:eastAsia="Times New Roman" w:hAnsi="Times New Roman"/>
          <w:sz w:val="18"/>
          <w:szCs w:val="18"/>
          <w:color w:val="auto"/>
        </w:rPr>
      </w:pPr>
    </w:p>
    <w:p>
      <w:pPr>
        <w:ind w:left="1000" w:right="380" w:hanging="442"/>
        <w:spacing w:after="0" w:line="26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9"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4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16" w:lineRule="exact"/>
        <w:rPr>
          <w:sz w:val="20"/>
          <w:szCs w:val="20"/>
          <w:color w:val="auto"/>
        </w:rPr>
      </w:pPr>
    </w:p>
    <w:p>
      <w:pPr>
        <w:ind w:right="360" w:firstLine="450"/>
        <w:spacing w:after="0" w:line="26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22" w:lineRule="exact"/>
        <w:rPr>
          <w:sz w:val="20"/>
          <w:szCs w:val="20"/>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7" w:lineRule="exact"/>
        <w:rPr>
          <w:rFonts w:ascii="Times New Roman" w:cs="Times New Roman" w:eastAsia="Times New Roman" w:hAnsi="Times New Roman"/>
          <w:sz w:val="18"/>
          <w:szCs w:val="18"/>
          <w:color w:val="auto"/>
        </w:rPr>
      </w:pPr>
    </w:p>
    <w:p>
      <w:pPr>
        <w:jc w:val="both"/>
        <w:ind w:left="1000" w:hanging="442"/>
        <w:spacing w:after="0" w:line="25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14"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448"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448"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16"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applicable prospectus supplement would describe the following terms of subscription rights in respect of which this prospectus is being delivered:</w:t>
      </w:r>
    </w:p>
    <w:p>
      <w:pPr>
        <w:spacing w:after="0" w:line="145" w:lineRule="exact"/>
        <w:rPr>
          <w:sz w:val="20"/>
          <w:szCs w:val="20"/>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 discussion of the material U.S. federal income tax considerations applicable to the issuance or exercise of such subscription rights;</w:t>
      </w:r>
    </w:p>
    <w:p>
      <w:pPr>
        <w:spacing w:after="0" w:line="144" w:lineRule="exact"/>
        <w:rPr>
          <w:rFonts w:ascii="Times New Roman" w:cs="Times New Roman" w:eastAsia="Times New Roman" w:hAnsi="Times New Roman"/>
          <w:sz w:val="16"/>
          <w:szCs w:val="16"/>
          <w:color w:val="auto"/>
        </w:rPr>
      </w:pPr>
    </w:p>
    <w:p>
      <w:pPr>
        <w:ind w:left="1000" w:right="240" w:hanging="442"/>
        <w:spacing w:after="0" w:line="26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77"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5" w:lineRule="exact"/>
        <w:rPr>
          <w:sz w:val="20"/>
          <w:szCs w:val="20"/>
          <w:color w:val="auto"/>
        </w:rPr>
      </w:pPr>
    </w:p>
    <w:p>
      <w:pPr>
        <w:ind w:right="180" w:firstLine="450"/>
        <w:spacing w:after="0" w:line="249"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448"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16"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Equiniti Trust Company, LLC (f/k/a American Stock Transfer &amp; Trust Company, LLC), or Equiniti, as trustee, as supplemented by the First Supplemental Indenture, dated March 23, 2021, between the Company and Equiniti. The 2026 Notes are due on April 1, 2026 and may be redeemed in whole or in part at the Company’s option.</w:t>
      </w:r>
    </w:p>
    <w:p>
      <w:pPr>
        <w:spacing w:after="0" w:line="18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87" w:lineRule="exact"/>
        <w:rPr>
          <w:sz w:val="20"/>
          <w:szCs w:val="20"/>
          <w:color w:val="auto"/>
        </w:rPr>
      </w:pPr>
    </w:p>
    <w:p>
      <w:pPr>
        <w:ind w:right="100" w:firstLine="450"/>
        <w:spacing w:after="0" w:line="252"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3" w:lineRule="exact"/>
        <w:rPr>
          <w:sz w:val="20"/>
          <w:szCs w:val="20"/>
          <w:color w:val="auto"/>
        </w:rPr>
      </w:pPr>
    </w:p>
    <w:p>
      <w:pPr>
        <w:ind w:right="340" w:firstLine="450"/>
        <w:spacing w:after="0" w:line="289" w:lineRule="auto"/>
        <w:rPr>
          <w:sz w:val="20"/>
          <w:szCs w:val="20"/>
          <w:color w:val="auto"/>
        </w:rPr>
      </w:pPr>
      <w:r>
        <w:rPr>
          <w:rFonts w:ascii="Times New Roman" w:cs="Times New Roman" w:eastAsia="Times New Roman" w:hAnsi="Times New Roman"/>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 - Events of Default” For more information. Second, the trustee performs certain administrative duties for us, such as sending interest and principal payments to holders.</w:t>
      </w:r>
    </w:p>
    <w:p>
      <w:pPr>
        <w:spacing w:after="0" w:line="15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54"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with respect to a particular offering of debt securities, will describe the particular series of debt securities being offered by including:</w:t>
      </w:r>
    </w:p>
    <w:p>
      <w:pPr>
        <w:spacing w:after="0" w:line="77" w:lineRule="exact"/>
        <w:rPr>
          <w:sz w:val="20"/>
          <w:szCs w:val="20"/>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448"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21" w:lineRule="exact"/>
        <w:rPr>
          <w:rFonts w:ascii="Times New Roman" w:cs="Times New Roman" w:eastAsia="Times New Roman" w:hAnsi="Times New Roman"/>
          <w:sz w:val="18"/>
          <w:szCs w:val="18"/>
          <w:color w:val="auto"/>
        </w:rPr>
      </w:pPr>
    </w:p>
    <w:p>
      <w:pPr>
        <w:ind w:left="1000" w:right="40" w:hanging="442"/>
        <w:spacing w:after="0" w:line="26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21" w:lineRule="exact"/>
        <w:rPr>
          <w:rFonts w:ascii="Times New Roman" w:cs="Times New Roman" w:eastAsia="Times New Roman" w:hAnsi="Times New Roman"/>
          <w:sz w:val="18"/>
          <w:szCs w:val="18"/>
          <w:color w:val="auto"/>
        </w:rPr>
      </w:pPr>
    </w:p>
    <w:p>
      <w:pPr>
        <w:jc w:val="both"/>
        <w:ind w:left="1000" w:right="240" w:hanging="442"/>
        <w:spacing w:after="0" w:line="25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special federal income tax implications, including, if applicable, federal income tax considerations relating to original issue discount, or OID;</w:t>
      </w:r>
    </w:p>
    <w:p>
      <w:pPr>
        <w:spacing w:after="0" w:line="144" w:lineRule="exact"/>
        <w:rPr>
          <w:rFonts w:ascii="Times New Roman" w:cs="Times New Roman" w:eastAsia="Times New Roman" w:hAnsi="Times New Roman"/>
          <w:sz w:val="16"/>
          <w:szCs w:val="16"/>
          <w:color w:val="auto"/>
        </w:rPr>
      </w:pPr>
    </w:p>
    <w:p>
      <w:pPr>
        <w:ind w:left="1000" w:right="480" w:hanging="442"/>
        <w:spacing w:after="0" w:line="332"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1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0" w:lineRule="exact"/>
        <w:rPr>
          <w:sz w:val="20"/>
          <w:szCs w:val="20"/>
          <w:color w:val="auto"/>
        </w:rPr>
      </w:pPr>
    </w:p>
    <w:p>
      <w:pPr>
        <w:ind w:right="280" w:firstLine="450"/>
        <w:spacing w:after="0" w:line="268"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448"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indenture does not contain any provisions that give you protection in the event we issue a large amount of debt or we are acquired by another entity.</w:t>
      </w:r>
    </w:p>
    <w:p>
      <w:pPr>
        <w:spacing w:after="0" w:line="237"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0"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11" w:lineRule="exact"/>
        <w:rPr>
          <w:sz w:val="20"/>
          <w:szCs w:val="20"/>
          <w:color w:val="auto"/>
        </w:rPr>
      </w:pPr>
    </w:p>
    <w:p>
      <w:pPr>
        <w:ind w:right="120" w:firstLine="450"/>
        <w:spacing w:after="0" w:line="249"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11"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0"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448"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1" w:lineRule="exact"/>
        <w:rPr>
          <w:sz w:val="20"/>
          <w:szCs w:val="20"/>
          <w:color w:val="auto"/>
        </w:rPr>
      </w:pPr>
    </w:p>
    <w:p>
      <w:pPr>
        <w:jc w:val="both"/>
        <w:ind w:right="140" w:firstLine="450"/>
        <w:spacing w:after="0" w:line="252"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1" w:lineRule="exact"/>
        <w:rPr>
          <w:sz w:val="20"/>
          <w:szCs w:val="20"/>
          <w:color w:val="auto"/>
        </w:rPr>
      </w:pPr>
    </w:p>
    <w:p>
      <w:pPr>
        <w:ind w:right="180" w:firstLine="450"/>
        <w:spacing w:after="0" w:line="303" w:lineRule="auto"/>
        <w:rPr>
          <w:sz w:val="20"/>
          <w:szCs w:val="20"/>
          <w:color w:val="auto"/>
        </w:rPr>
      </w:pPr>
      <w:r>
        <w:rPr>
          <w:rFonts w:ascii="Times New Roman" w:cs="Times New Roman" w:eastAsia="Times New Roman" w:hAnsi="Times New Roman"/>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1"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3"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448"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ind w:right="320" w:firstLine="450"/>
        <w:spacing w:after="0" w:line="332" w:lineRule="auto"/>
        <w:rPr>
          <w:sz w:val="20"/>
          <w:szCs w:val="20"/>
          <w:color w:val="auto"/>
        </w:rPr>
      </w:pPr>
      <w:r>
        <w:rPr>
          <w:rFonts w:ascii="Times New Roman" w:cs="Times New Roman" w:eastAsia="Times New Roman" w:hAnsi="Times New Roman"/>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1"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77" w:lineRule="exact"/>
        <w:rPr>
          <w:sz w:val="20"/>
          <w:szCs w:val="20"/>
          <w:color w:val="auto"/>
        </w:rPr>
      </w:pPr>
    </w:p>
    <w:p>
      <w:pPr>
        <w:ind w:left="1000" w:hanging="44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21" w:lineRule="exact"/>
        <w:rPr>
          <w:rFonts w:ascii="Times New Roman" w:cs="Times New Roman" w:eastAsia="Times New Roman" w:hAnsi="Times New Roman"/>
          <w:sz w:val="18"/>
          <w:szCs w:val="18"/>
          <w:color w:val="auto"/>
        </w:rPr>
      </w:pPr>
    </w:p>
    <w:p>
      <w:pPr>
        <w:ind w:left="1000" w:right="340" w:hanging="442"/>
        <w:spacing w:after="0" w:line="26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7" w:lineRule="exact"/>
        <w:rPr>
          <w:rFonts w:ascii="Times New Roman" w:cs="Times New Roman" w:eastAsia="Times New Roman" w:hAnsi="Times New Roman"/>
          <w:sz w:val="18"/>
          <w:szCs w:val="18"/>
          <w:color w:val="auto"/>
        </w:rPr>
      </w:pPr>
    </w:p>
    <w:p>
      <w:pPr>
        <w:ind w:left="1000" w:right="200" w:hanging="442"/>
        <w:spacing w:after="0" w:line="26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1"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1"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448"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that holds the global security will be considered the holder of the debt securities represented by the global security.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22" w:lineRule="exact"/>
        <w:rPr>
          <w:sz w:val="20"/>
          <w:szCs w:val="20"/>
          <w:color w:val="auto"/>
        </w:rPr>
      </w:pPr>
    </w:p>
    <w:p>
      <w:pPr>
        <w:ind w:left="1000" w:right="260" w:hanging="442"/>
        <w:spacing w:after="0" w:line="26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7"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77"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7" w:lineRule="exact"/>
        <w:rPr>
          <w:rFonts w:ascii="Times New Roman" w:cs="Times New Roman" w:eastAsia="Times New Roman" w:hAnsi="Times New Roman"/>
          <w:sz w:val="18"/>
          <w:szCs w:val="18"/>
          <w:color w:val="auto"/>
        </w:rPr>
      </w:pPr>
    </w:p>
    <w:p>
      <w:pPr>
        <w:ind w:left="1000" w:right="220" w:hanging="442"/>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7" w:lineRule="exact"/>
        <w:rPr>
          <w:rFonts w:ascii="Times New Roman" w:cs="Times New Roman" w:eastAsia="Times New Roman" w:hAnsi="Times New Roman"/>
          <w:sz w:val="18"/>
          <w:szCs w:val="18"/>
          <w:color w:val="auto"/>
        </w:rPr>
      </w:pPr>
    </w:p>
    <w:p>
      <w:pPr>
        <w:ind w:left="1000" w:right="500" w:hanging="442"/>
        <w:spacing w:after="0" w:line="26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7" w:lineRule="exact"/>
        <w:rPr>
          <w:rFonts w:ascii="Times New Roman" w:cs="Times New Roman" w:eastAsia="Times New Roman" w:hAnsi="Times New Roman"/>
          <w:sz w:val="18"/>
          <w:szCs w:val="18"/>
          <w:color w:val="auto"/>
        </w:rPr>
      </w:pPr>
    </w:p>
    <w:p>
      <w:pPr>
        <w:ind w:left="1000" w:right="40" w:hanging="442"/>
        <w:spacing w:after="0" w:line="332"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30" w:lineRule="exact"/>
        <w:rPr>
          <w:rFonts w:ascii="Times New Roman" w:cs="Times New Roman" w:eastAsia="Times New Roman" w:hAnsi="Times New Roman"/>
          <w:sz w:val="16"/>
          <w:szCs w:val="16"/>
          <w:color w:val="auto"/>
        </w:rPr>
      </w:pPr>
    </w:p>
    <w:p>
      <w:pPr>
        <w:ind w:left="1000" w:right="100" w:hanging="442"/>
        <w:spacing w:after="0" w:line="25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22" w:lineRule="exact"/>
        <w:rPr>
          <w:sz w:val="20"/>
          <w:szCs w:val="20"/>
          <w:color w:val="auto"/>
        </w:rPr>
      </w:pPr>
    </w:p>
    <w:p>
      <w:pPr>
        <w:ind w:left="1000" w:hanging="442"/>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48"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right="360" w:hanging="442"/>
        <w:spacing w:after="0" w:line="26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1" w:lineRule="exact"/>
        <w:rPr>
          <w:sz w:val="20"/>
          <w:szCs w:val="20"/>
          <w:color w:val="auto"/>
        </w:rPr>
      </w:pPr>
    </w:p>
    <w:p>
      <w:pPr>
        <w:ind w:right="1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1"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4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Book-entry and other indirect holders should consult their banks or brokers for information on how they will receive payments on their debt securities.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You will have rights if an Event of Default occurs in respect of the debt securities of your series and is not cured, as described later in this subsection.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22" w:lineRule="exact"/>
        <w:rPr>
          <w:sz w:val="20"/>
          <w:szCs w:val="20"/>
          <w:color w:val="auto"/>
        </w:rPr>
      </w:pPr>
    </w:p>
    <w:p>
      <w:pPr>
        <w:ind w:left="1000" w:hanging="44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21" w:lineRule="exact"/>
        <w:rPr>
          <w:rFonts w:ascii="Times New Roman" w:cs="Times New Roman" w:eastAsia="Times New Roman" w:hAnsi="Times New Roman"/>
          <w:sz w:val="18"/>
          <w:szCs w:val="18"/>
          <w:color w:val="auto"/>
        </w:rPr>
      </w:pPr>
    </w:p>
    <w:p>
      <w:pPr>
        <w:ind w:left="1000" w:right="80" w:hanging="442"/>
        <w:spacing w:after="0" w:line="332" w:lineRule="auto"/>
        <w:tabs>
          <w:tab w:leader="none" w:pos="10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14" w:lineRule="exact"/>
        <w:rPr>
          <w:sz w:val="20"/>
          <w:szCs w:val="20"/>
          <w:color w:val="auto"/>
        </w:rPr>
      </w:pPr>
    </w:p>
    <w:p>
      <w:pPr>
        <w:ind w:right="320" w:firstLine="450"/>
        <w:spacing w:after="0" w:line="25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3" w:lineRule="exact"/>
        <w:rPr>
          <w:sz w:val="20"/>
          <w:szCs w:val="20"/>
          <w:color w:val="auto"/>
        </w:rPr>
      </w:pPr>
    </w:p>
    <w:p>
      <w:pPr>
        <w:ind w:right="120" w:firstLine="450"/>
        <w:spacing w:after="0" w:line="250"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5"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7" w:lineRule="exact"/>
        <w:rPr>
          <w:sz w:val="20"/>
          <w:szCs w:val="20"/>
          <w:color w:val="auto"/>
        </w:rPr>
      </w:pPr>
    </w:p>
    <w:p>
      <w:pPr>
        <w:ind w:left="1000" w:hanging="442"/>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21" w:lineRule="exact"/>
        <w:rPr>
          <w:rFonts w:ascii="Times New Roman" w:cs="Times New Roman" w:eastAsia="Times New Roman" w:hAnsi="Times New Roman"/>
          <w:sz w:val="18"/>
          <w:szCs w:val="18"/>
          <w:color w:val="auto"/>
        </w:rPr>
      </w:pPr>
    </w:p>
    <w:p>
      <w:pPr>
        <w:ind w:left="1000" w:right="20" w:hanging="442"/>
        <w:spacing w:after="0" w:line="332" w:lineRule="auto"/>
        <w:tabs>
          <w:tab w:leader="none" w:pos="10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448"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hanging="442"/>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12" w:lineRule="exact"/>
        <w:rPr>
          <w:sz w:val="20"/>
          <w:szCs w:val="20"/>
          <w:color w:val="auto"/>
        </w:rPr>
      </w:pPr>
    </w:p>
    <w:p>
      <w:pPr>
        <w:ind w:right="30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11"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77" w:lineRule="exact"/>
        <w:rPr>
          <w:sz w:val="20"/>
          <w:szCs w:val="20"/>
          <w:color w:val="auto"/>
        </w:rPr>
      </w:pPr>
    </w:p>
    <w:p>
      <w:pPr>
        <w:ind w:left="1000" w:right="300" w:hanging="442"/>
        <w:spacing w:after="0" w:line="268"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22" w:lineRule="exact"/>
        <w:rPr>
          <w:sz w:val="20"/>
          <w:szCs w:val="20"/>
          <w:color w:val="auto"/>
        </w:rPr>
      </w:pPr>
    </w:p>
    <w:p>
      <w:pPr>
        <w:ind w:left="1000" w:hanging="442"/>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448"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7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1"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22" w:lineRule="exact"/>
        <w:rPr>
          <w:sz w:val="20"/>
          <w:szCs w:val="20"/>
          <w:color w:val="auto"/>
        </w:rPr>
      </w:pPr>
    </w:p>
    <w:p>
      <w:pPr>
        <w:ind w:left="1000" w:hanging="442"/>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21"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14" w:lineRule="exact"/>
        <w:rPr>
          <w:sz w:val="20"/>
          <w:szCs w:val="20"/>
          <w:color w:val="auto"/>
        </w:rPr>
      </w:pPr>
    </w:p>
    <w:p>
      <w:pPr>
        <w:ind w:right="40" w:firstLine="450"/>
        <w:spacing w:after="0" w:line="303" w:lineRule="auto"/>
        <w:rPr>
          <w:sz w:val="20"/>
          <w:szCs w:val="20"/>
          <w:color w:val="auto"/>
        </w:rPr>
      </w:pPr>
      <w:r>
        <w:rPr>
          <w:rFonts w:ascii="Times New Roman" w:cs="Times New Roman" w:eastAsia="Times New Roman" w:hAnsi="Times New Roman"/>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22" w:lineRule="exact"/>
        <w:rPr>
          <w:sz w:val="20"/>
          <w:szCs w:val="20"/>
          <w:color w:val="auto"/>
        </w:rPr>
      </w:pPr>
    </w:p>
    <w:p>
      <w:pPr>
        <w:ind w:left="1000" w:hanging="442"/>
        <w:spacing w:after="0" w:line="26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448"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2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1"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1" w:lineRule="exact"/>
        <w:rPr>
          <w:sz w:val="20"/>
          <w:szCs w:val="20"/>
          <w:color w:val="auto"/>
        </w:rPr>
      </w:pPr>
    </w:p>
    <w:p>
      <w:pPr>
        <w:ind w:right="240" w:firstLine="450"/>
        <w:spacing w:after="0" w:line="250"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3" w:lineRule="exact"/>
        <w:rPr>
          <w:sz w:val="20"/>
          <w:szCs w:val="20"/>
          <w:color w:val="auto"/>
        </w:rPr>
      </w:pPr>
    </w:p>
    <w:p>
      <w:pPr>
        <w:ind w:left="1000" w:right="280" w:hanging="442"/>
        <w:spacing w:after="0" w:line="25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7" w:lineRule="exact"/>
        <w:rPr>
          <w:rFonts w:ascii="Times New Roman" w:cs="Times New Roman" w:eastAsia="Times New Roman" w:hAnsi="Times New Roman"/>
          <w:sz w:val="18"/>
          <w:szCs w:val="18"/>
          <w:color w:val="auto"/>
        </w:rPr>
      </w:pPr>
    </w:p>
    <w:p>
      <w:pPr>
        <w:ind w:left="1000" w:right="120" w:hanging="442"/>
        <w:spacing w:after="0" w:line="25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0" w:lineRule="exact"/>
        <w:rPr>
          <w:sz w:val="20"/>
          <w:szCs w:val="20"/>
          <w:color w:val="auto"/>
        </w:rPr>
      </w:pPr>
    </w:p>
    <w:p>
      <w:pPr>
        <w:ind w:right="400" w:firstLine="450"/>
        <w:spacing w:after="0" w:line="268"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9" w:lineRule="exact"/>
        <w:rPr>
          <w:sz w:val="20"/>
          <w:szCs w:val="20"/>
          <w:color w:val="auto"/>
        </w:rPr>
      </w:pPr>
    </w:p>
    <w:p>
      <w:pPr>
        <w:ind w:right="120" w:firstLine="450"/>
        <w:spacing w:after="0" w:line="303" w:lineRule="auto"/>
        <w:rPr>
          <w:sz w:val="20"/>
          <w:szCs w:val="20"/>
          <w:color w:val="auto"/>
        </w:rPr>
      </w:pPr>
      <w:r>
        <w:rPr>
          <w:rFonts w:ascii="Times New Roman" w:cs="Times New Roman" w:eastAsia="Times New Roman" w:hAnsi="Times New Roman"/>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1"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77" w:lineRule="exact"/>
        <w:rPr>
          <w:sz w:val="20"/>
          <w:szCs w:val="20"/>
          <w:color w:val="auto"/>
        </w:rPr>
      </w:pPr>
    </w:p>
    <w:p>
      <w:pPr>
        <w:ind w:left="1000" w:right="280" w:hanging="442"/>
        <w:spacing w:after="0" w:line="268"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4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000" w:right="140"/>
        <w:spacing w:after="0" w:line="268" w:lineRule="auto"/>
        <w:rPr>
          <w:sz w:val="20"/>
          <w:szCs w:val="20"/>
          <w:color w:val="auto"/>
        </w:rPr>
      </w:pPr>
      <w:r>
        <w:rPr>
          <w:rFonts w:ascii="Times New Roman" w:cs="Times New Roman" w:eastAsia="Times New Roman" w:hAnsi="Times New Roman"/>
          <w:sz w:val="18"/>
          <w:szCs w:val="18"/>
          <w:color w:val="auto"/>
        </w:rPr>
        <w:t>U.S. government agency notes or bonds that will generate enough cash to make interest, principal and any other payments on the debt securities on their various due dates;</w:t>
      </w:r>
    </w:p>
    <w:p>
      <w:pPr>
        <w:spacing w:after="0" w:line="77" w:lineRule="exact"/>
        <w:rPr>
          <w:sz w:val="20"/>
          <w:szCs w:val="20"/>
          <w:color w:val="auto"/>
        </w:rPr>
      </w:pPr>
    </w:p>
    <w:p>
      <w:pPr>
        <w:ind w:left="1000" w:right="120" w:hanging="442"/>
        <w:spacing w:after="0" w:line="249"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3"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9"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22" w:lineRule="exact"/>
        <w:rPr>
          <w:sz w:val="20"/>
          <w:szCs w:val="20"/>
          <w:color w:val="auto"/>
        </w:rPr>
      </w:pPr>
    </w:p>
    <w:p>
      <w:pPr>
        <w:ind w:left="1000" w:hanging="442"/>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14" w:lineRule="exact"/>
        <w:rPr>
          <w:sz w:val="20"/>
          <w:szCs w:val="20"/>
          <w:color w:val="auto"/>
        </w:rPr>
      </w:pPr>
    </w:p>
    <w:p>
      <w:pPr>
        <w:ind w:right="780" w:firstLine="450"/>
        <w:spacing w:after="0" w:line="268"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9" w:lineRule="exact"/>
        <w:rPr>
          <w:sz w:val="20"/>
          <w:szCs w:val="20"/>
          <w:color w:val="auto"/>
        </w:rPr>
      </w:pPr>
    </w:p>
    <w:p>
      <w:pPr>
        <w:ind w:firstLine="450"/>
        <w:spacing w:after="0" w:line="332" w:lineRule="auto"/>
        <w:rPr>
          <w:sz w:val="20"/>
          <w:szCs w:val="20"/>
          <w:color w:val="auto"/>
        </w:rPr>
      </w:pPr>
      <w:r>
        <w:rPr>
          <w:rFonts w:ascii="Times New Roman" w:cs="Times New Roman" w:eastAsia="Times New Roman" w:hAnsi="Times New Roman"/>
          <w:sz w:val="16"/>
          <w:szCs w:val="16"/>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23"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0" w:lineRule="exact"/>
        <w:rPr>
          <w:sz w:val="20"/>
          <w:szCs w:val="20"/>
          <w:color w:val="auto"/>
        </w:rPr>
      </w:pPr>
    </w:p>
    <w:p>
      <w:pPr>
        <w:ind w:right="280" w:firstLine="450"/>
        <w:spacing w:after="0" w:line="332" w:lineRule="auto"/>
        <w:rPr>
          <w:sz w:val="20"/>
          <w:szCs w:val="20"/>
          <w:color w:val="auto"/>
        </w:rPr>
      </w:pPr>
      <w:r>
        <w:rPr>
          <w:rFonts w:ascii="Times New Roman" w:cs="Times New Roman" w:eastAsia="Times New Roman" w:hAnsi="Times New Roman"/>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3" w:lineRule="exact"/>
        <w:rPr>
          <w:sz w:val="20"/>
          <w:szCs w:val="20"/>
          <w:color w:val="auto"/>
        </w:rPr>
      </w:pPr>
    </w:p>
    <w:p>
      <w:pPr>
        <w:ind w:right="20" w:firstLine="450"/>
        <w:spacing w:after="0" w:line="293" w:lineRule="auto"/>
        <w:rPr>
          <w:sz w:val="20"/>
          <w:szCs w:val="20"/>
          <w:color w:val="auto"/>
        </w:rPr>
      </w:pPr>
      <w:r>
        <w:rPr>
          <w:rFonts w:ascii="Times New Roman" w:cs="Times New Roman" w:eastAsia="Times New Roman" w:hAnsi="Times New Roman"/>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44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11"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11"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58"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8"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22" w:lineRule="exact"/>
        <w:rPr>
          <w:sz w:val="20"/>
          <w:szCs w:val="20"/>
          <w:color w:val="auto"/>
        </w:rPr>
      </w:pPr>
    </w:p>
    <w:p>
      <w:pPr>
        <w:ind w:left="1000" w:right="100" w:hanging="442"/>
        <w:spacing w:after="0" w:line="25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14" w:lineRule="exact"/>
        <w:rPr>
          <w:sz w:val="20"/>
          <w:szCs w:val="20"/>
          <w:color w:val="auto"/>
        </w:rPr>
      </w:pPr>
    </w:p>
    <w:p>
      <w:pPr>
        <w:ind w:right="300" w:firstLine="450"/>
        <w:spacing w:after="0" w:line="268"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Equiniti Trust Company, LLC (f/k/a American Stock Transfer &amp; Trust Company, LLC) is the trustee under the indenture and the 2026 Notes.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448"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60"/>
          </w:cols>
          <w:pgMar w:left="320" w:top="448" w:right="4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BROKERAGE ALLOCATIONS AND OTHER PRACTICES</w:t>
      </w:r>
    </w:p>
    <w:p>
      <w:pPr>
        <w:spacing w:after="0" w:line="216"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448" w:right="5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16" w:lineRule="exact"/>
        <w:rPr>
          <w:sz w:val="20"/>
          <w:szCs w:val="20"/>
          <w:color w:val="auto"/>
        </w:rPr>
      </w:pPr>
    </w:p>
    <w:p>
      <w:pPr>
        <w:ind w:right="60" w:firstLine="450"/>
        <w:spacing w:after="0" w:line="246"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22" w:lineRule="exact"/>
        <w:rPr>
          <w:sz w:val="20"/>
          <w:szCs w:val="20"/>
          <w:color w:val="auto"/>
        </w:rPr>
      </w:pPr>
    </w:p>
    <w:p>
      <w:pPr>
        <w:ind w:left="1000" w:hanging="44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21"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14"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3"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44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to be Treated as a RIC</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22" w:lineRule="exact"/>
        <w:rPr>
          <w:sz w:val="20"/>
          <w:szCs w:val="20"/>
          <w:color w:val="auto"/>
        </w:rPr>
      </w:pPr>
    </w:p>
    <w:p>
      <w:pPr>
        <w:ind w:left="1000" w:hanging="442"/>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56"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21" w:lineRule="exact"/>
        <w:rPr>
          <w:rFonts w:ascii="Times New Roman" w:cs="Times New Roman" w:eastAsia="Times New Roman" w:hAnsi="Times New Roman"/>
          <w:sz w:val="18"/>
          <w:szCs w:val="18"/>
          <w:color w:val="auto"/>
        </w:rPr>
      </w:pPr>
    </w:p>
    <w:p>
      <w:pPr>
        <w:jc w:val="both"/>
        <w:ind w:left="1460" w:right="260" w:hanging="455"/>
        <w:spacing w:after="0" w:line="256" w:lineRule="auto"/>
        <w:tabs>
          <w:tab w:leader="none" w:pos="14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7" w:lineRule="exact"/>
        <w:rPr>
          <w:rFonts w:ascii="Times New Roman" w:cs="Times New Roman" w:eastAsia="Times New Roman" w:hAnsi="Times New Roman"/>
          <w:sz w:val="18"/>
          <w:szCs w:val="18"/>
          <w:color w:val="auto"/>
        </w:rPr>
      </w:pPr>
    </w:p>
    <w:p>
      <w:pPr>
        <w:jc w:val="both"/>
        <w:ind w:left="1460" w:right="40" w:hanging="455"/>
        <w:spacing w:after="0" w:line="256" w:lineRule="auto"/>
        <w:tabs>
          <w:tab w:leader="none" w:pos="14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0"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8"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448"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11" w:lineRule="exact"/>
        <w:rPr>
          <w:sz w:val="20"/>
          <w:szCs w:val="20"/>
          <w:color w:val="auto"/>
        </w:rPr>
      </w:pPr>
    </w:p>
    <w:p>
      <w:pPr>
        <w:ind w:right="20" w:firstLine="450"/>
        <w:spacing w:after="0" w:line="289" w:lineRule="auto"/>
        <w:rPr>
          <w:sz w:val="20"/>
          <w:szCs w:val="20"/>
          <w:color w:val="auto"/>
        </w:rPr>
      </w:pPr>
      <w:r>
        <w:rPr>
          <w:rFonts w:ascii="Times New Roman" w:cs="Times New Roman" w:eastAsia="Times New Roman" w:hAnsi="Times New Roman"/>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5"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5"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5"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91"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44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20" w:firstLine="450"/>
        <w:spacing w:after="0" w:line="279" w:lineRule="auto"/>
        <w:rPr>
          <w:sz w:val="20"/>
          <w:szCs w:val="20"/>
          <w:color w:val="auto"/>
        </w:rPr>
      </w:pPr>
      <w:r>
        <w:rPr>
          <w:rFonts w:ascii="Times New Roman" w:cs="Times New Roman" w:eastAsia="Times New Roman" w:hAnsi="Times New Roman"/>
          <w:sz w:val="16"/>
          <w:szCs w:val="16"/>
          <w:color w:val="auto"/>
        </w:rPr>
        <w:t>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non-qualified dividend income,</w:t>
      </w:r>
    </w:p>
    <w:p>
      <w:pPr>
        <w:spacing w:after="0" w:line="1" w:lineRule="exact"/>
        <w:rPr>
          <w:sz w:val="20"/>
          <w:szCs w:val="20"/>
          <w:color w:val="auto"/>
        </w:rPr>
      </w:pPr>
    </w:p>
    <w:p>
      <w:pPr>
        <w:ind w:right="420" w:firstLine="5"/>
        <w:spacing w:after="0" w:line="245" w:lineRule="auto"/>
        <w:tabs>
          <w:tab w:leader="none" w:pos="2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9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9"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5"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the distributions we receive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44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100" w:firstLine="450"/>
        <w:spacing w:after="0" w:line="247" w:lineRule="auto"/>
        <w:rPr>
          <w:sz w:val="20"/>
          <w:szCs w:val="20"/>
          <w:color w:val="auto"/>
        </w:rPr>
      </w:pPr>
      <w:r>
        <w:rPr>
          <w:rFonts w:ascii="Times New Roman" w:cs="Times New Roman" w:eastAsia="Times New Roman" w:hAnsi="Times New Roman"/>
          <w:sz w:val="18"/>
          <w:szCs w:val="18"/>
          <w:color w:val="auto"/>
        </w:rPr>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88"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91"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indefinitely, and use them to offset future capital gains to the extent permitted by the Code. Further, our deduction of net business interest expense is generally limited to 30% of our “adjusted taxable income” plus “floor plan financing interest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448"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Qualify as a RIC</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11"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91"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To the extent distributions paid by us to non-corporate stockholders (including individuals) are attributable to dividends from U.S. corporations and certain qualified foreign corporations and are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44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Distributions out of our current and accumulated earnings and profits will not be eligible for the 20% pass through deduction under Section 199A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196" w:lineRule="exact"/>
        <w:rPr>
          <w:sz w:val="20"/>
          <w:szCs w:val="20"/>
          <w:color w:val="auto"/>
        </w:rPr>
      </w:pPr>
    </w:p>
    <w:p>
      <w:pPr>
        <w:ind w:right="260" w:firstLine="450"/>
        <w:spacing w:after="0" w:line="249" w:lineRule="auto"/>
        <w:rPr>
          <w:sz w:val="20"/>
          <w:szCs w:val="20"/>
          <w:color w:val="auto"/>
        </w:rPr>
      </w:pPr>
      <w:r>
        <w:rPr>
          <w:rFonts w:ascii="Times New Roman" w:cs="Times New Roman" w:eastAsia="Times New Roman" w:hAnsi="Times New Roman"/>
          <w:sz w:val="18"/>
          <w:szCs w:val="18"/>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85"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376"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5"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44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7"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65" w:lineRule="exact"/>
        <w:rPr>
          <w:sz w:val="20"/>
          <w:szCs w:val="20"/>
          <w:color w:val="auto"/>
        </w:rPr>
      </w:pPr>
    </w:p>
    <w:p>
      <w:pPr>
        <w:ind w:right="120" w:firstLine="450"/>
        <w:spacing w:after="0" w:line="252"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7"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448"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preferential rate). Distributions may also be subject to additional state, local and foreign taxes depending on a U.S. stockholder’s particular situation.</w:t>
      </w:r>
    </w:p>
    <w:p>
      <w:pPr>
        <w:spacing w:after="0" w:line="214" w:lineRule="exact"/>
        <w:rPr>
          <w:sz w:val="20"/>
          <w:szCs w:val="20"/>
          <w:color w:val="auto"/>
        </w:rPr>
      </w:pPr>
    </w:p>
    <w:p>
      <w:pPr>
        <w:jc w:val="both"/>
        <w:ind w:right="160" w:firstLine="450"/>
        <w:spacing w:after="0" w:line="25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0"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spacing w:after="0" w:line="1" w:lineRule="exact"/>
        <w:rPr>
          <w:sz w:val="20"/>
          <w:szCs w:val="20"/>
          <w:color w:val="auto"/>
        </w:rPr>
      </w:pPr>
    </w:p>
    <w:p>
      <w:pPr>
        <w:ind w:right="60" w:firstLine="5"/>
        <w:spacing w:after="0" w:line="245" w:lineRule="auto"/>
        <w:tabs>
          <w:tab w:leader="none" w:pos="2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11"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0"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44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80"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8"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5"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1"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80"/>
          </w:cols>
          <w:pgMar w:left="320" w:top="448"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14"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80"/>
          </w:cols>
          <w:pgMar w:left="320" w:top="448"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16" w:lineRule="exact"/>
        <w:rPr>
          <w:sz w:val="20"/>
          <w:szCs w:val="20"/>
          <w:color w:val="auto"/>
        </w:rPr>
      </w:pPr>
    </w:p>
    <w:p>
      <w:pPr>
        <w:ind w:right="140" w:firstLine="450"/>
        <w:spacing w:after="0" w:line="303" w:lineRule="auto"/>
        <w:rPr>
          <w:sz w:val="20"/>
          <w:szCs w:val="20"/>
          <w:color w:val="auto"/>
        </w:rPr>
      </w:pPr>
      <w:r>
        <w:rPr>
          <w:rFonts w:ascii="Times New Roman" w:cs="Times New Roman" w:eastAsia="Times New Roman" w:hAnsi="Times New Roman"/>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3" w:lineRule="exact"/>
        <w:rPr>
          <w:sz w:val="20"/>
          <w:szCs w:val="20"/>
          <w:color w:val="auto"/>
        </w:rPr>
      </w:pPr>
    </w:p>
    <w:p>
      <w:pPr>
        <w:ind w:left="1000" w:hanging="442"/>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1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0" w:lineRule="exact"/>
        <w:rPr>
          <w:sz w:val="20"/>
          <w:szCs w:val="20"/>
          <w:color w:val="auto"/>
        </w:rPr>
      </w:pPr>
    </w:p>
    <w:p>
      <w:pPr>
        <w:jc w:val="both"/>
        <w:ind w:right="240" w:firstLine="450"/>
        <w:spacing w:after="0" w:line="282" w:lineRule="auto"/>
        <w:rPr>
          <w:sz w:val="20"/>
          <w:szCs w:val="20"/>
          <w:color w:val="auto"/>
        </w:rPr>
      </w:pPr>
      <w:r>
        <w:rPr>
          <w:rFonts w:ascii="Times New Roman" w:cs="Times New Roman" w:eastAsia="Times New Roman" w:hAnsi="Times New Roman"/>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6" w:lineRule="exact"/>
        <w:rPr>
          <w:sz w:val="20"/>
          <w:szCs w:val="20"/>
          <w:color w:val="auto"/>
        </w:rPr>
      </w:pPr>
    </w:p>
    <w:p>
      <w:pPr>
        <w:jc w:val="both"/>
        <w:ind w:right="340" w:firstLine="450"/>
        <w:spacing w:after="0" w:line="25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0" w:lineRule="exact"/>
        <w:rPr>
          <w:sz w:val="20"/>
          <w:szCs w:val="20"/>
          <w:color w:val="auto"/>
        </w:rPr>
      </w:pPr>
    </w:p>
    <w:p>
      <w:pPr>
        <w:ind w:right="700" w:firstLine="450"/>
        <w:spacing w:after="0" w:line="268"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9" w:lineRule="exact"/>
        <w:rPr>
          <w:sz w:val="20"/>
          <w:szCs w:val="20"/>
          <w:color w:val="auto"/>
        </w:rPr>
      </w:pPr>
    </w:p>
    <w:p>
      <w:pPr>
        <w:ind w:right="140" w:firstLine="450"/>
        <w:spacing w:after="0" w:line="252"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3" w:lineRule="exact"/>
        <w:rPr>
          <w:sz w:val="20"/>
          <w:szCs w:val="20"/>
          <w:color w:val="auto"/>
        </w:rPr>
      </w:pPr>
    </w:p>
    <w:p>
      <w:pPr>
        <w:ind w:right="80" w:firstLine="450"/>
        <w:spacing w:after="0" w:line="289" w:lineRule="auto"/>
        <w:rPr>
          <w:sz w:val="20"/>
          <w:szCs w:val="20"/>
          <w:color w:val="auto"/>
        </w:rPr>
      </w:pPr>
      <w:r>
        <w:rPr>
          <w:rFonts w:ascii="Times New Roman" w:cs="Times New Roman" w:eastAsia="Times New Roman" w:hAnsi="Times New Roman"/>
          <w:sz w:val="16"/>
          <w:szCs w:val="16"/>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44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448"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SUB-ADMINISTRATOR, CUSTODIAN, TRANSFER AGENT AND TRUSTEE</w:t>
      </w:r>
    </w:p>
    <w:p>
      <w:pPr>
        <w:spacing w:after="0" w:line="216"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BNY Mellon Investment Servicing (US) Inc., a subsidiary of The Bank of New York Mellon, provides administrative and accounting services to us under a sub-administration and accounting services agreement and serves as custodian for PFLT Investment Holdings, LLC, a subsidiary of PennantPark Floating Rate Capital Ltd. The Bank of New York Mellon provides custodian services to us pursuant to a custodian services agreement. The principal business address of The Bank of New York Mellon is 240 Greenwich Street, New York, NY 10286. Equiniti Trust Company, LLC (f/k/a American Stock Transfer &amp; Trust Company, LLC) acts as our transfer agent, distribution paying agent and registrar. Equiniti also serves as trustee under our 2026 Notes. The principal business address of Equiniti is 48 Wall Street,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New York, NY 10005, telephone number: (800) 468-9716.</w:t>
      </w:r>
    </w:p>
    <w:p>
      <w:pPr>
        <w:spacing w:after="0" w:line="57"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In addition, Wilmington Trust, National Association, serves as custodian for PennantPark CLO VIII, LLC, a subsidiary of PennantPark Floating Rate Capital Ltd., in connection with certain financing matters. The principal business address of Wilmington Trust, National Association is 1100 North Market Street, Wilmington, Delaware 19890, telephone number: (302) 651-1000. In addition, U.S. Bank National Association serves as custodian for PennantPark Floating Rate Funding I, LLC, PennantPark Floating Rate Funding II, LLC, PennantPark CLO I, LLC and PennantPark CLO I, Ltd., each a subsidiary of PennantPark Floating Rate Capital Ltd., in connection with certain financing matters. The principal business address of U.S. Bank National Association is One Federal Street, Third Floor, Boston, Massachusetts 02110, telephone number: (617) 603-6461.</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ind w:right="540" w:firstLine="450"/>
        <w:spacing w:after="0" w:line="25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16"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of PennantPark Floating Rate Capital Ltd. and Subsidiaries (the Company) as of September 30, 2023 and 2022 and for each of the years in the three-year period ended September 30, 2023 and the effectiveness of internal control over financial reporting as of September 30, 2023 incorporated in this Prospectus by reference from the PennantPark Floating Rate Capital Ltd.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and Registration Statement in reliance upon such report and upon the authority of such firm as experts in accounting and auditing.</w:t>
      </w:r>
    </w:p>
    <w:p>
      <w:pPr>
        <w:spacing w:after="0" w:line="187"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 xml:space="preserve">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16"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PennantPark Senior Secured Loan Fund I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and Registration Statement in reliance upon such report and upon the authority of such firm as experts in accounting and auditing.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448"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6" w:lineRule="exact"/>
        <w:rPr>
          <w:sz w:val="20"/>
          <w:szCs w:val="20"/>
          <w:color w:val="auto"/>
        </w:rPr>
      </w:pPr>
    </w:p>
    <w:p>
      <w:pPr>
        <w:ind w:firstLine="450"/>
        <w:spacing w:after="0" w:line="303"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4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prospectus and any prospectus supplement incorporates by reference the documents set forth below that have previously been filed with the SEC:</w:t>
      </w:r>
    </w:p>
    <w:p>
      <w:pPr>
        <w:spacing w:after="0" w:line="145" w:lineRule="exact"/>
        <w:rPr>
          <w:sz w:val="20"/>
          <w:szCs w:val="20"/>
          <w:color w:val="auto"/>
        </w:rPr>
      </w:pPr>
    </w:p>
    <w:p>
      <w:pPr>
        <w:ind w:left="1000" w:hanging="44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2023, filed on December 8, 2023;</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13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13, 2023;</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81"/>
        </w:numPr>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auto"/>
          </w:rPr>
          <w:t xml:space="preserve">Our Quarterly Reports on Form 10-Q for the fiscal quarters ended December 31, 2023 and March 31, 2024, filed with the SEC on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4">
        <w:r>
          <w:rPr>
            <w:rFonts w:ascii="Times New Roman" w:cs="Times New Roman" w:eastAsia="Times New Roman" w:hAnsi="Times New Roman"/>
            <w:sz w:val="18"/>
            <w:szCs w:val="18"/>
            <w:u w:val="single" w:color="auto"/>
            <w:color w:val="0000EE"/>
          </w:rPr>
          <w:t>May 8, 2024</w:t>
        </w:r>
      </w:hyperlink>
      <w:hyperlink r:id="rId186">
        <w:r>
          <w:rPr>
            <w:rFonts w:ascii="Times New Roman" w:cs="Times New Roman" w:eastAsia="Times New Roman" w:hAnsi="Times New Roman"/>
            <w:sz w:val="18"/>
            <w:szCs w:val="18"/>
            <w:color w:val="000000"/>
          </w:rPr>
          <w:t>, respectively;</w:t>
        </w:r>
      </w:hyperlink>
    </w:p>
    <w:p>
      <w:pPr>
        <w:spacing w:after="0" w:line="77" w:lineRule="exact"/>
        <w:rPr>
          <w:rFonts w:ascii="Times New Roman" w:cs="Times New Roman" w:eastAsia="Times New Roman" w:hAnsi="Times New Roman"/>
          <w:sz w:val="18"/>
          <w:szCs w:val="18"/>
          <w:color w:val="0000EE"/>
        </w:rPr>
      </w:pPr>
    </w:p>
    <w:p>
      <w:pPr>
        <w:ind w:left="1000" w:right="180" w:hanging="442"/>
        <w:spacing w:after="0" w:line="268" w:lineRule="auto"/>
        <w:tabs>
          <w:tab w:leader="none" w:pos="1000" w:val="left"/>
        </w:tabs>
        <w:numPr>
          <w:ilvl w:val="0"/>
          <w:numId w:val="81"/>
        </w:numPr>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88">
        <w:r>
          <w:rPr>
            <w:rFonts w:ascii="Times New Roman" w:cs="Times New Roman" w:eastAsia="Times New Roman" w:hAnsi="Times New Roman"/>
            <w:sz w:val="18"/>
            <w:szCs w:val="18"/>
            <w:u w:val="single" w:color="auto"/>
            <w:color w:val="0000EE"/>
          </w:rPr>
          <w:t>May 8, 2024</w:t>
        </w:r>
      </w:hyperlink>
      <w:hyperlink r:id="rId187">
        <w:r>
          <w:rPr>
            <w:rFonts w:ascii="Times New Roman" w:cs="Times New Roman" w:eastAsia="Times New Roman" w:hAnsi="Times New Roman"/>
            <w:sz w:val="18"/>
            <w:szCs w:val="18"/>
            <w:color w:val="000000"/>
          </w:rPr>
          <w:t>; and</w:t>
        </w:r>
      </w:hyperlink>
    </w:p>
    <w:p>
      <w:pPr>
        <w:spacing w:after="0" w:line="77" w:lineRule="exact"/>
        <w:rPr>
          <w:rFonts w:ascii="Times New Roman" w:cs="Times New Roman" w:eastAsia="Times New Roman" w:hAnsi="Times New Roman"/>
          <w:sz w:val="18"/>
          <w:szCs w:val="18"/>
          <w:color w:val="0000EE"/>
        </w:rPr>
      </w:pPr>
    </w:p>
    <w:p>
      <w:pPr>
        <w:ind w:left="1000" w:right="60" w:hanging="442"/>
        <w:spacing w:after="0" w:line="25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18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9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83"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rFonts w:ascii="Times New Roman" w:cs="Times New Roman" w:eastAsia="Times New Roman" w:hAnsi="Times New Roman"/>
          <w:sz w:val="18"/>
          <w:szCs w:val="18"/>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44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by email to: publicinfo@sec.gov.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448"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13549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282575</wp:posOffset>
            </wp:positionV>
            <wp:extent cx="71354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8"/>
          <w:szCs w:val="28"/>
          <w:b w:val="1"/>
          <w:bCs w:val="1"/>
          <w:color w:val="auto"/>
        </w:rPr>
        <w:t xml:space="preserve">$          </w:t>
      </w:r>
    </w:p>
    <w:p>
      <w:pPr>
        <w:spacing w:after="0" w:line="2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8"/>
          <w:szCs w:val="28"/>
          <w:b w:val="1"/>
          <w:bCs w:val="1"/>
          <w:color w:val="auto"/>
        </w:rPr>
        <w:t>   %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1748790</wp:posOffset>
            </wp:positionV>
            <wp:extent cx="15043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247650</wp:posOffset>
            </wp:positionV>
            <wp:extent cx="15043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Joint Book-Running Managers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Morgan Stanley</w:t>
            </w:r>
          </w:p>
        </w:tc>
        <w:tc>
          <w:tcPr>
            <w:tcW w:w="2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Goldman Sachs &amp; Co. LLC</w:t>
            </w:r>
          </w:p>
        </w:tc>
        <w:tc>
          <w:tcPr>
            <w:tcW w:w="25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Keefe, Bruyette &amp; Woods</w:t>
            </w:r>
          </w:p>
        </w:tc>
        <w:tc>
          <w:tcPr>
            <w:tcW w:w="2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RBC Capital Markets</w:t>
            </w:r>
          </w:p>
        </w:tc>
        <w:tc>
          <w:tcPr>
            <w:tcW w:w="2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UBS Investment Bank</w:t>
            </w:r>
          </w:p>
        </w:tc>
      </w:tr>
      <w:tr>
        <w:trPr>
          <w:trHeight w:val="169"/>
        </w:trPr>
        <w:tc>
          <w:tcPr>
            <w:tcW w:w="166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5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b w:val="1"/>
                <w:bCs w:val="1"/>
                <w:i w:val="1"/>
                <w:iCs w:val="1"/>
                <w:color w:val="auto"/>
              </w:rPr>
              <w:t>           A Stifel Company</w:t>
            </w:r>
          </w:p>
        </w:tc>
        <w:tc>
          <w:tcPr>
            <w:tcW w:w="22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375920</wp:posOffset>
            </wp:positionV>
            <wp:extent cx="15043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Co-Managers</w:t>
      </w:r>
    </w:p>
    <w:p>
      <w:pPr>
        <w:spacing w:after="0" w:line="200" w:lineRule="exact"/>
        <w:rPr>
          <w:sz w:val="20"/>
          <w:szCs w:val="20"/>
          <w:color w:val="auto"/>
        </w:rPr>
      </w:pPr>
    </w:p>
    <w:p>
      <w:pPr>
        <w:spacing w:after="0" w:line="293" w:lineRule="exact"/>
        <w:rPr>
          <w:sz w:val="20"/>
          <w:szCs w:val="20"/>
          <w:color w:val="auto"/>
        </w:rPr>
      </w:pPr>
    </w:p>
    <w:p>
      <w:pPr>
        <w:spacing w:after="0"/>
        <w:tabs>
          <w:tab w:leader="none" w:pos="4840" w:val="left"/>
          <w:tab w:leader="none" w:pos="9220" w:val="left"/>
        </w:tabs>
        <w:rPr>
          <w:sz w:val="20"/>
          <w:szCs w:val="20"/>
          <w:color w:val="auto"/>
        </w:rPr>
      </w:pPr>
      <w:r>
        <w:rPr>
          <w:rFonts w:ascii="Times New Roman" w:cs="Times New Roman" w:eastAsia="Times New Roman" w:hAnsi="Times New Roman"/>
          <w:sz w:val="18"/>
          <w:szCs w:val="18"/>
          <w:b w:val="1"/>
          <w:bCs w:val="1"/>
          <w:color w:val="auto"/>
        </w:rPr>
        <w:t>         Oppenheimer &amp; Co.</w:t>
      </w:r>
      <w:r>
        <w:rPr>
          <w:sz w:val="20"/>
          <w:szCs w:val="20"/>
          <w:color w:val="auto"/>
        </w:rPr>
        <w:tab/>
      </w:r>
      <w:r>
        <w:rPr>
          <w:rFonts w:ascii="Times New Roman" w:cs="Times New Roman" w:eastAsia="Times New Roman" w:hAnsi="Times New Roman"/>
          <w:sz w:val="18"/>
          <w:szCs w:val="18"/>
          <w:b w:val="1"/>
          <w:bCs w:val="1"/>
          <w:color w:val="auto"/>
        </w:rPr>
        <w:t>Ladenburg Thalmann</w:t>
      </w:r>
      <w:r>
        <w:rPr>
          <w:sz w:val="20"/>
          <w:szCs w:val="20"/>
          <w:color w:val="auto"/>
        </w:rPr>
        <w:tab/>
      </w:r>
      <w:r>
        <w:rPr>
          <w:rFonts w:ascii="Times New Roman" w:cs="Times New Roman" w:eastAsia="Times New Roman" w:hAnsi="Times New Roman"/>
          <w:sz w:val="18"/>
          <w:szCs w:val="18"/>
          <w:b w:val="1"/>
          <w:bCs w:val="1"/>
          <w:color w:val="auto"/>
        </w:rPr>
        <w:t xml:space="preserve">Maxim Group LLC 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1243330</wp:posOffset>
            </wp:positionV>
            <wp:extent cx="15043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1354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483235</wp:posOffset>
            </wp:positionV>
            <wp:extent cx="713549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sectPr>
      <w:pgSz w:w="11900" w:h="16838" w:orient="portrait"/>
      <w:cols w:equalWidth="0" w:num="1">
        <w:col w:w="11240"/>
      </w:cols>
      <w:pgMar w:left="320" w:top="4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lowerRoman"/>
      <w:start w:val="3"/>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lowerRoman"/>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lowerRoman"/>
      <w:start w:val="4"/>
    </w:lvl>
  </w:abstractNum>
  <w:abstractNum w:abstractNumId="24">
    <w:nsid w:val="70C6A529"/>
    <w:multiLevelType w:val="hybridMultilevel"/>
    <w:lvl w:ilvl="0">
      <w:lvlJc w:val="left"/>
      <w:lvlText w:val="(%1)"/>
      <w:numFmt w:val="lowerLetter"/>
      <w:start w:val="1"/>
    </w:lvl>
    <w:lvl w:ilvl="1">
      <w:lvlJc w:val="left"/>
      <w:lvlText w:val="(%2)"/>
      <w:numFmt w:val="lowerRoman"/>
      <w:start w:val="1"/>
    </w:lvl>
  </w:abstractNum>
  <w:abstractNum w:abstractNumId="25">
    <w:nsid w:val="520EEDD1"/>
    <w:multiLevelType w:val="hybridMultilevel"/>
    <w:lvl w:ilvl="0">
      <w:lvlJc w:val="left"/>
      <w:lvlText w:val="(%1)"/>
      <w:numFmt w:val="lowerLetter"/>
      <w:start w:val="1"/>
    </w:lvl>
    <w:lvl w:ilvl="1">
      <w:lvlJc w:val="left"/>
      <w:lvlText w:val="(%2)"/>
      <w:numFmt w:val="lowerRoman"/>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7"/>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2"/>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3"/>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lvl w:ilvl="1">
      <w:lvlJc w:val="left"/>
      <w:lvlText w:val="%2)"/>
      <w:numFmt w:val="decimal"/>
      <w:start w:val="1"/>
    </w:lvl>
  </w:abstractNum>
  <w:abstractNum w:abstractNumId="77">
    <w:nsid w:val="3B0FD379"/>
    <w:multiLevelType w:val="hybridMultilevel"/>
    <w:lvl w:ilvl="0">
      <w:lvlJc w:val="left"/>
      <w:lvlText w:val="(%1)"/>
      <w:numFmt w:val="lowerLetter"/>
      <w:start w:val="7"/>
    </w:lvl>
  </w:abstractNum>
  <w:abstractNum w:abstractNumId="78">
    <w:nsid w:val="68EB2F63"/>
    <w:multiLevelType w:val="hybridMultilevel"/>
    <w:lvl w:ilvl="0">
      <w:lvlJc w:val="left"/>
      <w:lvlText w:val="(%1)"/>
      <w:numFmt w:val="decimal"/>
      <w:start w:val="2"/>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jpe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1" Type="http://schemas.openxmlformats.org/officeDocument/2006/relationships/image" Target="media/image81.png"/><Relationship Id="rId103"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68" Type="http://schemas.openxmlformats.org/officeDocument/2006/relationships/hyperlink" Target="http://www.sec.gov/ix?doc=/Archives/edgar/data/1504619/000119312526211880/pflt-20260331.htm" TargetMode="External"/><Relationship Id="rId69" Type="http://schemas.openxmlformats.org/officeDocument/2006/relationships/hyperlink" Target="http://www.sec.gov/ix?doc=/Archives/edgar/data/1504619/000119312526042778/pflt-20251231.htm" TargetMode="External"/><Relationship Id="rId70" Type="http://schemas.openxmlformats.org/officeDocument/2006/relationships/hyperlink" Target="http://www.sec.gov/ix?doc=/Archives/edgar/data/1504619/000119312525293672/pflt-20250930.htm" TargetMode="External"/><Relationship Id="rId71" Type="http://schemas.openxmlformats.org/officeDocument/2006/relationships/hyperlink" Target="http://www.sec.gov/ix?doc=/Archives/edgar/data/1504619/000119312525300797/d24379d8k.htm" TargetMode="External"/><Relationship Id="rId72" Type="http://schemas.openxmlformats.org/officeDocument/2006/relationships/hyperlink" Target="http://www.sec.gov/ix?doc=/Archives/edgar/data/1504619/000119312526039366/pflt-20240206.htm" TargetMode="External"/><Relationship Id="rId73" Type="http://schemas.openxmlformats.org/officeDocument/2006/relationships/hyperlink" Target="http://www.sec.gov/ix?doc=/Archives/edgar/data/1504619/000119312526082897/d24827d8k.htm" TargetMode="External"/><Relationship Id="rId74" Type="http://schemas.openxmlformats.org/officeDocument/2006/relationships/hyperlink" Target="http://www.sec.gov/ix?doc=/Archives/edgar/data/1504619/000119312526082620/d101300d8k.htm" TargetMode="External"/><Relationship Id="rId75" Type="http://schemas.openxmlformats.org/officeDocument/2006/relationships/hyperlink" Target="http://www.sec.gov/ix?doc=/Archives/edgar/data/1504619/000119312526091555/d254628d8k.htm" TargetMode="External"/><Relationship Id="rId76" Type="http://schemas.openxmlformats.org/officeDocument/2006/relationships/hyperlink" Target="http://www.sec.gov/Archives/edgar/data/1504619/000119312525322696/pflt-20251217.htm" TargetMode="External"/><Relationship Id="rId91" Type="http://schemas.openxmlformats.org/officeDocument/2006/relationships/hyperlink" Target="http://www.sec.gov/ix?doc=/Archives/edgar/data/1504619/000095017023068908/pflt-20230930.htm" TargetMode="External"/><Relationship Id="rId96" Type="http://schemas.openxmlformats.org/officeDocument/2006/relationships/hyperlink" Target="http://www.sec.gov/Archives/edgar/data/1504619/000095017023068908/pflt-20230930.htm" TargetMode="External"/><Relationship Id="rId97" Type="http://schemas.openxmlformats.org/officeDocument/2006/relationships/hyperlink" Target="http://www.sec.gov/Archives/edgar/data/1504619/000095017024055631/pflt-20240331.htm" TargetMode="External"/><Relationship Id="rId100" Type="http://schemas.openxmlformats.org/officeDocument/2006/relationships/hyperlink" Target="http://www.sec.gov/ix?doc=/Archives/edgar/data/1504619/000095017023068908/pflt-20230930.htm#item_1_business" TargetMode="External"/><Relationship Id="rId102" Type="http://schemas.openxmlformats.org/officeDocument/2006/relationships/hyperlink" Target="http://www.sec.gov/ix?doc=/Archives/edgar/data/1504619/000095017023068908/pflt-20230930.htm#item_5_market_for_registrants_common_equ" TargetMode="External"/><Relationship Id="rId104" Type="http://schemas.openxmlformats.org/officeDocument/2006/relationships/hyperlink" Target="http://www.sec.gov/ix?doc=/Archives/edgar/data/1504619/000095017024055631/pflt-20240331.htm" TargetMode="External"/><Relationship Id="rId135" Type="http://schemas.openxmlformats.org/officeDocument/2006/relationships/hyperlink" Target="http://www.sec.gov/Archives/edgar/data/1504619/000095017023070038/pflt-2024-def_14a.htm" TargetMode="External"/><Relationship Id="rId186" Type="http://schemas.openxmlformats.org/officeDocument/2006/relationships/hyperlink" Target="http://www.sec.gov/ix?doc=/Archives/edgar/data/1504619/000095017024012187/pflt-20231231.htm" TargetMode="External"/><Relationship Id="rId187" Type="http://schemas.openxmlformats.org/officeDocument/2006/relationships/hyperlink" Target="http://www.sec.gov/ix?doc=/Archives/edgar/data/1504619/000095017024045307/pflt-20240416.htm" TargetMode="External"/><Relationship Id="rId188" Type="http://schemas.openxmlformats.org/officeDocument/2006/relationships/hyperlink" Target="http://www.sec.gov/ix?doc=/Archives/edgar/data/1504619/000117184324002668/f8k_050824.htm" TargetMode="External"/><Relationship Id="rId189" Type="http://schemas.openxmlformats.org/officeDocument/2006/relationships/hyperlink" Target="http://www.sec.gov/Archives/edgar/data/1504619/000156459019043972/pflt-ex44_124.htm" TargetMode="External"/><Relationship Id="rId190"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2026-05-27T07:43:10Z</dcterms:created>
  <dcterms:modified xsi:type="dcterms:W3CDTF">2026-05-27T07:43:10Z</dcterms:modified>
</cp:coreProperties>
</file>