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June 26, 2018</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On June 26, 2018, PennantPark Floating Rate Capital Ltd. issued a press release announcing it is currently making adaptations to the way it communicates the tax characteristics of its monthly distributions to all constituents in response to a change in operational procedures of a third party. A copy of the press release is furnished as Exhibit 99.1 to this Form 8-K.</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22E(b)(2)(B)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00" w:hanging="547"/>
        <w:spacing w:after="0" w:line="250" w:lineRule="auto"/>
        <w:tabs>
          <w:tab w:leader="none" w:pos="32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of PennantPark Floating Rate Capital Ltd. dated June 26,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5100" w:type="dxa"/>
            <w:vAlign w:val="bottom"/>
            <w:gridSpan w:val="3"/>
          </w:tcPr>
          <w:p>
            <w:pPr>
              <w:ind w:left="200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460" w:type="dxa"/>
            <w:vAlign w:val="bottom"/>
          </w:tcPr>
          <w:p>
            <w:pPr>
              <w:spacing w:after="0"/>
              <w:rPr>
                <w:sz w:val="20"/>
                <w:szCs w:val="20"/>
                <w:color w:val="auto"/>
              </w:rPr>
            </w:pPr>
            <w:r>
              <w:rPr>
                <w:rFonts w:ascii="Arial" w:cs="Arial" w:eastAsia="Arial" w:hAnsi="Arial"/>
                <w:sz w:val="18"/>
                <w:szCs w:val="18"/>
                <w:color w:val="auto"/>
              </w:rPr>
              <w:t>Date: June 26, 2018</w:t>
            </w:r>
          </w:p>
        </w:tc>
        <w:tc>
          <w:tcPr>
            <w:tcW w:w="5100" w:type="dxa"/>
            <w:vAlign w:val="bottom"/>
            <w:gridSpan w:val="3"/>
          </w:tcPr>
          <w:p>
            <w:pPr>
              <w:ind w:left="2000"/>
              <w:spacing w:after="0"/>
              <w:rPr>
                <w:sz w:val="20"/>
                <w:szCs w:val="20"/>
                <w:color w:val="auto"/>
              </w:rPr>
            </w:pPr>
            <w:r>
              <w:rPr>
                <w:rFonts w:ascii="Arial" w:cs="Arial" w:eastAsia="Arial" w:hAnsi="Arial"/>
                <w:sz w:val="18"/>
                <w:szCs w:val="18"/>
                <w:color w:val="auto"/>
              </w:rPr>
              <w:t>By: /s/ Aviv Efrat</w:t>
            </w:r>
          </w:p>
        </w:tc>
      </w:tr>
      <w:tr>
        <w:trPr>
          <w:trHeight w:val="222"/>
        </w:trPr>
        <w:tc>
          <w:tcPr>
            <w:tcW w:w="34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340" w:right="260"/>
        <w:spacing w:after="0" w:line="256" w:lineRule="auto"/>
        <w:rPr>
          <w:sz w:val="20"/>
          <w:szCs w:val="20"/>
          <w:color w:val="auto"/>
        </w:rPr>
      </w:pPr>
      <w:r>
        <w:rPr>
          <w:rFonts w:ascii="Arial" w:cs="Arial" w:eastAsia="Arial" w:hAnsi="Arial"/>
          <w:sz w:val="22"/>
          <w:szCs w:val="22"/>
          <w:b w:val="1"/>
          <w:bCs w:val="1"/>
          <w:color w:val="auto"/>
        </w:rPr>
        <w:t>PennantPark Floating Rate Capital Ltd. Announces Change To The Operational Process For Non-U.S. Stockholders Through Which It Communicates the Tax Characteristics of its Monthly Distributions</w:t>
      </w:r>
    </w:p>
    <w:p>
      <w:pPr>
        <w:spacing w:after="0" w:line="168"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NEW YORK, June 26, 2018 (GLOBE NEWSWIRE) -- PennantPark Floating Rate Capital Ltd. (the "Company") (NASDAQ:PFLT) (TASE:PFLT) has announced that, due to a change in the operational procedures of a third party that processes the Company’s distributions, the Company is currently making adaptations to the way it communicates the tax characteristics of its monthly distributions to all constituents, in particular its growing non-U.S. stockholder base.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This change will not affect U.S. stockholders.</w:t>
      </w:r>
    </w:p>
    <w:p>
      <w:pPr>
        <w:spacing w:after="0" w:line="206" w:lineRule="exact"/>
        <w:rPr>
          <w:sz w:val="20"/>
          <w:szCs w:val="20"/>
          <w:color w:val="auto"/>
        </w:rPr>
      </w:pPr>
    </w:p>
    <w:p>
      <w:pPr>
        <w:jc w:val="both"/>
        <w:ind w:right="20"/>
        <w:spacing w:after="0" w:line="252" w:lineRule="auto"/>
        <w:rPr>
          <w:sz w:val="20"/>
          <w:szCs w:val="20"/>
          <w:color w:val="auto"/>
        </w:rPr>
      </w:pPr>
      <w:r>
        <w:rPr>
          <w:rFonts w:ascii="Arial" w:cs="Arial" w:eastAsia="Arial" w:hAnsi="Arial"/>
          <w:sz w:val="21"/>
          <w:szCs w:val="21"/>
          <w:color w:val="auto"/>
        </w:rPr>
        <w:t>The Company, which operates as a regulated investment company (“RIC”), generates qualified interest income and short-term capital gains that may be exempt from United States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2"/>
    </w:lvl>
  </w:abstractNum>
  <w:abstractNum w:abstractNumId="2">
    <w:nsid w:val="19495CFF"/>
    <w:multiLevelType w:val="hybridMultilevel"/>
    <w:lvl w:ilvl="0">
      <w:lvlJc w:val="left"/>
      <w:lvlText w:val="(%1)"/>
      <w:numFmt w:val="decimal"/>
      <w:start w:val="22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2020-05-05T12:05:24Z</dcterms:created>
  <dcterms:modified xsi:type="dcterms:W3CDTF">2020-05-05T12:05:24Z</dcterms:modified>
</cp:coreProperties>
</file>