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11427d8k.htm"/>
      <w:bookmarkStart w:id="1" w:name="ksd51142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PennantPark Floating Rate Capital Ltd.</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814-00891</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27-3794690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1691 Michigan Avenue</w:t>
            </w:r>
          </w:p>
          <w:p>
            <w:pPr>
              <w:pStyle w:val="TableContents"/>
              <w:bidi w:val="0"/>
              <w:spacing w:before="0" w:after="20"/>
              <w:jc w:val="center"/>
              <w:rPr>
                <w:rFonts w:ascii="Times New Roman" w:hAnsi="Times New Roman"/>
                <w:b/>
                <w:sz w:val="20"/>
              </w:rPr>
            </w:pPr>
            <w:r>
              <w:rPr>
                <w:rFonts w:ascii="Times New Roman" w:hAnsi="Times New Roman"/>
                <w:b/>
                <w:sz w:val="20"/>
              </w:rPr>
              <w:t>Miami Beach,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33139</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(786) 297-9500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2023, PennantPark Floating Rate Capital, Ltd. (the “Company”) entered into separate amended and restated equity distribution agreements (together, the “Equity Distribution Agreements”) with each of Citizens JMP Securities, LLC, Raymond James &amp; Associates, Inc. and Truist Securities, Inc., as the sales agents (each, a “Sales Agent,” and together, the “Sales Agents”), in connection with the sale of shares of the Company’s common stock, par value $0.001 per share (the “Common Stock”), with an aggregate offering price of up to $250 million (which amount includes all of the Common Stock previously sold pursuant to the equity distribution agreements dated March 31, 2023). The Equity Distribution Agreements provide that the Company may offer and sell shares of the Common Stock from time to time through a Sales Agent in amounts and at times to be determined by the Company (the “Offering”). Actual sales will depend on a variety of factors to be determined by the Company from time to time, including, market conditions and the trading price of the Common Stock. The Company expects to use the net proceeds from this offering to invest in new or existing portfolio companies or for other general corporate or strategic purposes, including repaying amounts outstanding under its existing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Any shares of Common Stock offered and sold in the Offering will be sold pursuant to a prospectus supplement dated August 11, 2023 (the “Prospectus Supplement”) to the Company’s registration statement on Form N-2 (File No. 333-268813) declared effective by the U.S. Securities and Exchange Commission on January 9, 2023 (such registration statement as of its effective date, including the exhibits thereto and the documents incorporated by reference therein, are hereinafter referred to as the “Registration Statement”) and the base prospectus, dated January 9, 2023 (the “Base Prospectus”), relating to the Offering that forms a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Common Stock, if any, under the Prospectus Supplement and the Base Prospectus may be made in negotiated transactions or transactions that are deemed to be “at the market,” as defined in Rule 415 under the Securities Act of 1933, as amended, including sales made directly on The New York Stock Exchange or any similar securities exchange or sales made to or through a market maker other than on a securities exchange, at prices related to the prevailing market prices or at negotiated prices. Under the terms of the Equity Distribution Agreements, each Sales Agent will receive a commission from the Company of up to 2.0% of the gross sales price of any shares of the Common Stock sold through such Sales Agent under the applicable Equity Distribution Agreement. The Equity Distribution Agreements contain customary representations, warranties and agreements of the Company, indemnification rights and other obligations of the parties and termination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Equity Distribution Agreements is not complete and is qualified in its entirety by reference to the full text of the Equity Distribution Agreements, copies of which are attached hereto as Exhibits 1.1, 1.2 and 1.3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2023, Venable LLP delivered its legality opinion with respect to the Common Stock to be sold pursuant to the Prospectus Supplement, a copy of which is attached hereto as Exhibit 5.1.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1427dex11.htm">
              <w:r>
                <w:rPr>
                  <w:rStyle w:val="InternetLink"/>
                </w:rPr>
                <w:t xml:space="preserve">Equity Distribution Agreement, dated as of August 11, 2023, by and among PennantPark Floating Rate Capital, Ltd., PennantPark Investment Advisers, LLC, PennantPark Investment Administration, LLC and Citizens JMP Securities, LLC, as the sales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1427dex12.htm">
              <w:r>
                <w:rPr>
                  <w:rStyle w:val="InternetLink"/>
                </w:rPr>
                <w:t xml:space="preserve">Equity Distribution Agreement, dated as of August 11, 2023, by and among PennantPark Floating Rate Capital, Ltd., PennantPark Investment Advisers, LLC, PennantPark Investment Administration, LLC and Raymond James &amp; Associates, Inc., as the sales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1427dex13.htm">
              <w:r>
                <w:rPr>
                  <w:rStyle w:val="InternetLink"/>
                </w:rPr>
                <w:t xml:space="preserve">Equity Distribution Agreement, dated as of August 11, 2023, by and among PennantPark Floating Rate Capital, Ltd., PennantPark Investment Advisers, LLC, PennantPark Investment Administration, LLC and Truist Securities, Inc., as the sales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1427dex51.htm">
              <w:r>
                <w:rPr>
                  <w:rStyle w:val="InternetLink"/>
                </w:rPr>
                <w:t xml:space="preserve">Opinion of Venable LLP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11427dex51.htm">
              <w:r>
                <w:rPr>
                  <w:rStyle w:val="InternetLink"/>
                </w:rPr>
                <w:t xml:space="preserve">Consent of Venable LLP (included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81" w:type="dxa"/>
        <w:jc w:val="left"/>
        <w:tblInd w:w="0" w:type="dxa"/>
        <w:tblLayout w:type="fixed"/>
        <w:tblCellMar>
          <w:top w:w="0" w:type="dxa"/>
          <w:left w:w="0" w:type="dxa"/>
          <w:bottom w:w="0" w:type="dxa"/>
          <w:right w:w="0" w:type="dxa"/>
        </w:tblCellMar>
      </w:tblPr>
      <w:tblGrid>
        <w:gridCol w:w="2315"/>
        <w:gridCol w:w="60"/>
        <w:gridCol w:w="23"/>
        <w:gridCol w:w="60"/>
        <w:gridCol w:w="543"/>
        <w:gridCol w:w="89"/>
        <w:gridCol w:w="5191"/>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11,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3" w:type="dxa"/>
            <w:gridSpan w:val="3"/>
            <w:tcBorders/>
            <w:vAlign w:val="center"/>
          </w:tcPr>
          <w:p>
            <w:pPr>
              <w:pStyle w:val="TableContents"/>
              <w:bidi w:val="0"/>
              <w:spacing w:before="0" w:after="283"/>
              <w:jc w:val="left"/>
              <w:rPr>
                <w:b/>
              </w:rPr>
            </w:pPr>
            <w:r>
              <w:rPr>
                <w:b/>
              </w:rPr>
              <w:t>PENNANTPARK FLOATING RATE CAPITAL LTD.</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03" w:type="dxa"/>
            <w:gridSpan w:val="2"/>
            <w:tcBorders/>
            <w:vAlign w:val="center"/>
          </w:tcPr>
          <w:p>
            <w:pPr>
              <w:pStyle w:val="TableContents"/>
              <w:bidi w:val="0"/>
              <w:spacing w:before="0" w:after="283"/>
              <w:jc w:val="left"/>
              <w:rPr>
                <w:sz w:val="4"/>
                <w:szCs w:val="4"/>
              </w:rPr>
            </w:pPr>
            <w:r>
              <w:rPr>
                <w:sz w:val="4"/>
                <w:szCs w:val="4"/>
              </w:rPr>
            </w:r>
          </w:p>
        </w:tc>
        <w:tc>
          <w:tcPr>
            <w:tcW w:w="528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By:</w:t>
            </w:r>
          </w:p>
        </w:tc>
        <w:tc>
          <w:tcPr>
            <w:tcW w:w="89" w:type="dxa"/>
            <w:tcBorders/>
            <w:vAlign w:val="center"/>
          </w:tcPr>
          <w:p>
            <w:pPr>
              <w:pStyle w:val="TableContents"/>
              <w:bidi w:val="0"/>
              <w:spacing w:before="0" w:after="283"/>
              <w:jc w:val="left"/>
              <w:rPr/>
            </w:pPr>
            <w:r>
              <w:rPr/>
              <w:t> </w:t>
            </w:r>
          </w:p>
        </w:tc>
        <w:tc>
          <w:tcPr>
            <w:tcW w:w="519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pPr>
            <w:r>
              <w:rPr/>
              <w:t> </w:t>
            </w:r>
          </w:p>
        </w:tc>
        <w:tc>
          <w:tcPr>
            <w:tcW w:w="5191" w:type="dxa"/>
            <w:tcBorders/>
            <w:vAlign w:val="center"/>
          </w:tcPr>
          <w:p>
            <w:pPr>
              <w:pStyle w:val="TableContents"/>
              <w:bidi w:val="0"/>
              <w:spacing w:before="0" w:after="283"/>
              <w:jc w:val="left"/>
              <w:rPr/>
            </w:pPr>
            <w:r>
              <w:rPr/>
              <w:t>Richard T. Allorto, Jr.</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pPr>
            <w:r>
              <w:rPr/>
              <w:t> </w:t>
            </w:r>
          </w:p>
        </w:tc>
        <w:tc>
          <w:tcPr>
            <w:tcW w:w="5191" w:type="dxa"/>
            <w:tcBorders/>
            <w:vAlign w:val="center"/>
          </w:tcPr>
          <w:p>
            <w:pPr>
              <w:pStyle w:val="TableContents"/>
              <w:bidi w:val="0"/>
              <w:spacing w:before="0" w:after="283"/>
              <w:jc w:val="left"/>
              <w:rPr>
                <w:i/>
              </w:rPr>
            </w:pPr>
            <w:r>
              <w:rPr>
                <w:i/>
              </w:rPr>
              <w:t>Chief Financial Officer &amp; Treasurer</w:t>
            </w:r>
          </w:p>
        </w:tc>
      </w:tr>
    </w:tbl>
    <w:p>
      <w:pPr>
        <w:pStyle w:val="TextBody"/>
        <w:bidi w:val="0"/>
        <w:spacing w:before="0" w:after="0"/>
        <w:jc w:val="right"/>
        <w:rPr>
          <w:rFonts w:ascii="Times New Roman" w:hAnsi="Times New Roman"/>
          <w:b/>
          <w:sz w:val="20"/>
        </w:rPr>
      </w:pPr>
      <w:bookmarkStart w:id="2" w:name="d511427dex11.htm"/>
      <w:bookmarkStart w:id="3" w:name="ksd511427dex11"/>
      <w:bookmarkEnd w:id="2"/>
      <w:bookmarkEnd w:id="3"/>
      <w:r>
        <w:rPr>
          <w:rFonts w:ascii="Times New Roman" w:hAnsi="Times New Roman"/>
          <w:b/>
          <w:sz w:val="20"/>
        </w:rPr>
        <w:t xml:space="preserve">Exhibit 1.1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PENNANTPARK FLOATING RATE CAPITAL LTD. </w:t>
      </w:r>
    </w:p>
    <w:p>
      <w:pPr>
        <w:pStyle w:val="TextBody"/>
        <w:bidi w:val="0"/>
        <w:spacing w:before="240" w:after="0"/>
        <w:jc w:val="center"/>
        <w:rPr>
          <w:rFonts w:ascii="Times New Roman" w:hAnsi="Times New Roman"/>
          <w:sz w:val="20"/>
        </w:rPr>
      </w:pPr>
      <w:r>
        <w:rPr>
          <w:rFonts w:ascii="Times New Roman" w:hAnsi="Times New Roman"/>
          <w:sz w:val="20"/>
        </w:rPr>
        <w:t xml:space="preserve">(a Maryland corporation) </w:t>
      </w:r>
    </w:p>
    <w:p>
      <w:pPr>
        <w:pStyle w:val="TextBody"/>
        <w:bidi w:val="0"/>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AMENDED AND RESTATED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EQUITY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11, 2023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PENNANTPARK FLOATING RATE CAPITAL LTD. </w:t>
      </w:r>
    </w:p>
    <w:p>
      <w:pPr>
        <w:pStyle w:val="TextBody"/>
        <w:bidi w:val="0"/>
        <w:spacing w:before="240" w:after="0"/>
        <w:jc w:val="center"/>
        <w:rPr>
          <w:rFonts w:ascii="Times New Roman" w:hAnsi="Times New Roman"/>
          <w:sz w:val="20"/>
        </w:rPr>
      </w:pPr>
      <w:r>
        <w:rPr>
          <w:rFonts w:ascii="Times New Roman" w:hAnsi="Times New Roman"/>
          <w:sz w:val="20"/>
        </w:rPr>
        <w:t xml:space="preserve">(a Maryland corporation) </w:t>
      </w:r>
    </w:p>
    <w:p>
      <w:pPr>
        <w:pStyle w:val="TextBody"/>
        <w:bidi w:val="0"/>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w:t>
      </w:r>
    </w:p>
    <w:p>
      <w:pPr>
        <w:pStyle w:val="TextBody"/>
        <w:bidi w:val="0"/>
        <w:spacing w:before="0" w:after="0"/>
        <w:jc w:val="center"/>
        <w:rPr>
          <w:rFonts w:ascii="Times New Roman" w:hAnsi="Times New Roman"/>
          <w:sz w:val="20"/>
        </w:rPr>
      </w:pPr>
      <w:r>
        <w:rPr>
          <w:rFonts w:ascii="Times New Roman" w:hAnsi="Times New Roman"/>
          <w:sz w:val="20"/>
        </w:rPr>
        <w:t xml:space="preserve">EQUITY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Citizens JMP Securities, LLC </w:t>
      </w:r>
    </w:p>
    <w:p>
      <w:pPr>
        <w:pStyle w:val="TextBody"/>
        <w:bidi w:val="0"/>
        <w:spacing w:before="0" w:after="0"/>
        <w:jc w:val="left"/>
        <w:rPr>
          <w:rFonts w:ascii="Times New Roman" w:hAnsi="Times New Roman"/>
          <w:sz w:val="20"/>
        </w:rPr>
      </w:pPr>
      <w:r>
        <w:rPr>
          <w:rFonts w:ascii="Times New Roman" w:hAnsi="Times New Roman"/>
          <w:sz w:val="20"/>
        </w:rPr>
        <w:t xml:space="preserve">600 Montgomery Street, Suite 1100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94111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Citizens JMP Securities, LLC (the Sales Agent) with respect to the sale by the Company of shares of common stock, par value $0.001 per share, of the Company (Common Stock), having an aggregate offering price of up to $250 million. The shares of Common Stock to be sold by the Sales Agent are herein called, collectively, the Securities. This Amended and Restated Equity Distribution Agreement (this Agreement) amends and restates in its entirety the Equity Distribution Agreement, dated as of March 31, 2023 (the Prior Agreement), by and among the Company, the Adviser, the Administrator and the Sales Agent. The Company, the Adviser and the Administrator have also entered into agreements (collectively the Sales Agreement) in substantially similar form to this Agreement, dated of even date herewith, with Raymond James &amp; Associates, Inc. and Truist Securities, Inc. (each, an Other Agent), which amend and restate the equity distribution agreements, dated March 31, 2023, between the Company, the Adviser, the Administrator and each Other Agent (collectively, the Prior Sales Agreement). The aggregate amount of Securities that may be sold collectively pursuant to this Agreement and the Sales Agreement together with any Securities sold pursuant to the Prior Agreement and the Prior Sales Agreement shall not exceed the lesser of $250 million and the dollar amount of Securities permitted to be sold under the Registration Statement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333-268813), relating to the registration of the Securities and certain of the Companys other securities under the Securities Act of 1933, as amended (the 1933 Act), which registration statement was most declared effective by the Commission on January 9, 2023. The Company has also filed with the Commission a prospectus supplement, dated the date hereof, as such prospectus supplement may be amended (the Prospectus), which contains a base prospectus, dated January 9, 2023,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that certain Second Amended and Restated Investment Advisory Agreement, dated as of February 2, 2016 (the Investment Management Agreement), with the Adviser. The Company has entered into that certain Amended and Restated Administration Agreement, dated as of July 1, 2022 (the Administration Agreement), with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Applicable Time means the time of each sale of the applicable Securities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Issuer Free Writing Prospectus</w:t>
      </w:r>
      <w:r>
        <w:rPr>
          <w:rFonts w:ascii="Times New Roman" w:hAnsi="Times New Roman"/>
          <w:sz w:val="20"/>
        </w:rPr>
        <w:t xml:space="preserve">.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Prospectus, when they were filed or when they will be filed with the Commission, as the case may be, conformed or will conform in all material respects to the requirements of the 1934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Subsidiaries of the Company; Portfolio Companies</w:t>
      </w:r>
      <w:r>
        <w:rPr>
          <w:rFonts w:ascii="Times New Roman" w:hAnsi="Times New Roman"/>
          <w:sz w:val="20"/>
        </w:rPr>
        <w:t>. The Companys only subsidiaries that were consolidated with the Company for financial reporting purposes under GAAP as of June 30, 2023 are those listed on</w:t>
      </w:r>
      <w:r>
        <w:rPr>
          <w:rFonts w:ascii="Times New Roman" w:hAnsi="Times New Roman"/>
          <w:sz w:val="20"/>
          <w:u w:val="single"/>
        </w:rPr>
        <w:t xml:space="preserve"> Schedule A</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Capitalization</w:t>
      </w:r>
      <w:r>
        <w:rPr>
          <w:rFonts w:ascii="Times New Roman" w:hAnsi="Times New Roman"/>
          <w:sz w:val="20"/>
        </w:rPr>
        <w:t xml:space="preserve">. The authorized shares of capital stock of the Company are as set forth in the Registration Statement and the Prospectus under the caption Description of Our Capital Stock. The total issued and outstanding shares of capital stock of the Company as of June 30, 2023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and Description of Securities</w:t>
      </w:r>
      <w:r>
        <w:rPr>
          <w:rFonts w:ascii="Times New Roman" w:hAnsi="Times New Roman"/>
          <w:sz w:val="20"/>
        </w:rPr>
        <w:t xml:space="preserve">.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Employees</w:t>
      </w:r>
      <w:r>
        <w:rPr>
          <w:rFonts w:ascii="Times New Roman" w:hAnsi="Times New Roman"/>
          <w:sz w:val="20"/>
        </w:rPr>
        <w:t xml:space="preserve">. Neither the Company nor any of the Subsidiaries has any employees.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2022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Foreign Corrupt Practices Act</w:t>
      </w:r>
      <w:r>
        <w:rPr>
          <w:rFonts w:ascii="Times New Roman" w:hAnsi="Times New Roman"/>
          <w:sz w:val="20"/>
        </w:rPr>
        <w:t xml:space="preserve">.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Anti-Money Laundering Laws</w:t>
      </w:r>
      <w:r>
        <w:rPr>
          <w:rFonts w:ascii="Times New Roman" w:hAnsi="Times New Roman"/>
          <w:sz w:val="20"/>
        </w:rPr>
        <w:t xml:space="preserve">.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OFAC</w:t>
      </w:r>
      <w:r>
        <w:rPr>
          <w:rFonts w:ascii="Times New Roman" w:hAnsi="Times New Roman"/>
          <w:sz w:val="20"/>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Lending Relationship</w:t>
      </w:r>
      <w:r>
        <w:rPr>
          <w:rFonts w:ascii="Times New Roman" w:hAnsi="Times New Roman"/>
          <w:sz w:val="20"/>
        </w:rPr>
        <w:t xml:space="preserve">.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or the Prospectus which have not been described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Management Agreement and Administration Agreement</w:t>
      </w:r>
      <w:r>
        <w:rPr>
          <w:rFonts w:ascii="Times New Roman" w:hAnsi="Times New Roman"/>
          <w:sz w:val="20"/>
        </w:rPr>
        <w:t xml:space="preserve">.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Interested Persons</w:t>
      </w:r>
      <w:r>
        <w:rPr>
          <w:rFonts w:ascii="Times New Roman" w:hAnsi="Times New Roman"/>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intends to direct the investment of the proceeds of the offering of the Securities in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 by the Adviser and the Administrator</w:t>
      </w:r>
      <w:r>
        <w:rPr>
          <w:rFonts w:ascii="Times New Roman" w:hAnsi="Times New Roman"/>
          <w:sz w:val="20"/>
        </w:rPr>
        <w:t xml:space="preserve">. The Adviser and the Administrator, jointly and severally, represent to the Sales Agent as of the date hereof, the Applicable Time, each Representation Date (as defined below) and any Date of Delivery (as defined below), and agrees with the Sales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each of the Adviser and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 and Administration Agreement</w:t>
      </w:r>
      <w:r>
        <w:rPr>
          <w:rFonts w:ascii="Times New Roman" w:hAnsi="Times New Roman"/>
          <w:sz w:val="20"/>
        </w:rPr>
        <w:t xml:space="preserve">.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 and Administrator</w:t>
      </w:r>
      <w:r>
        <w:rPr>
          <w:rFonts w:ascii="Times New Roman" w:hAnsi="Times New Roman"/>
          <w:sz w:val="20"/>
        </w:rPr>
        <w:t xml:space="preserve">.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Foreign Corrupt Practices Act</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Anti-Money Laundering Laws</w:t>
      </w:r>
      <w:r>
        <w:rPr>
          <w:rFonts w:ascii="Times New Roman" w:hAnsi="Times New Roman"/>
          <w:sz w:val="20"/>
        </w:rPr>
        <w:t xml:space="preserve">.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OFAC</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Each of the Adviser and the Administrator has the financial resources available to it necessary for the performance of its services and obligations as contemplated by the Registration Statement, the Prospectus and the Investment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Certificates</w:t>
      </w:r>
      <w:r>
        <w:rPr>
          <w:rFonts w:ascii="Times New Roman" w:hAnsi="Times New Roman"/>
          <w:sz w:val="20"/>
        </w:rPr>
        <w:t xml:space="preserve">. Any certificate signed by any officer of the Company, any of the Subsidiaries, the Adviser or the Administrator delivered to the Sales Agent or to counsel for the Sales Agent shall be deemed a representation and warranty by the Company, the Adviser or the Administrator, as applicable, to the Sales Agent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 </w:t>
      </w:r>
    </w:p>
    <w:p>
      <w:pPr>
        <w:pStyle w:val="TextBody"/>
        <w:bidi w:val="0"/>
        <w:spacing w:before="120" w:after="0"/>
        <w:jc w:val="left"/>
        <w:rPr>
          <w:rFonts w:ascii="Times New Roman" w:hAnsi="Times New Roman"/>
          <w:sz w:val="20"/>
        </w:rPr>
      </w:pPr>
      <w:r>
        <w:rPr>
          <w:rFonts w:ascii="Times New Roman" w:hAnsi="Times New Roman"/>
          <w:sz w:val="20"/>
        </w:rPr>
        <w:t xml:space="preserve">(i) 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hAnsi="Times New Roman"/>
          <w:sz w:val="20"/>
          <w:u w:val="single"/>
        </w:rPr>
        <w:t>Section 2(a)(ii)</w:t>
      </w:r>
      <w:r>
        <w:rPr>
          <w:rFonts w:ascii="Times New Roman" w:hAnsi="Times New Roman"/>
          <w:sz w:val="20"/>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Times New Roman" w:hAnsi="Times New Roman"/>
          <w:sz w:val="20"/>
          <w:u w:val="single"/>
        </w:rPr>
        <w:t>Section 9</w:t>
      </w:r>
      <w:r>
        <w:rPr>
          <w:rFonts w:ascii="Times New Roman" w:hAnsi="Times New Roman"/>
          <w:sz w:val="20"/>
        </w:rPr>
        <w:t xml:space="preserve">.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(iii) The Sales Agent hereby covenants and agrees not to make any sales of the Securities on behalf of the Company, pursuant to this </w:t>
      </w:r>
      <w:r>
        <w:rPr>
          <w:rFonts w:ascii="Times New Roman" w:hAnsi="Times New Roman"/>
          <w:sz w:val="20"/>
          <w:u w:val="single"/>
        </w:rPr>
        <w:t>Section 2(a)</w:t>
      </w:r>
      <w:r>
        <w:rPr>
          <w:rFonts w:ascii="Times New Roman" w:hAnsi="Times New Roman"/>
          <w:sz w:val="20"/>
        </w:rPr>
        <w:t xml:space="preserve">, other than (A) by means of At the Market Offerings and (B) such other sales of the Securities on behalf of the Company in its capacity as agent of the Company as shall be agreed by the Company and the Sales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hAnsi="Times New Roman"/>
          <w:sz w:val="20"/>
          <w:u w:val="single"/>
        </w:rPr>
        <w:t>Section 2(a)</w:t>
      </w:r>
      <w:r>
        <w:rPr>
          <w:rFonts w:ascii="Times New Roman" w:hAnsi="Times New Roman"/>
          <w:sz w:val="20"/>
        </w:rPr>
        <w:t xml:space="preserve">.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 </w:t>
      </w:r>
    </w:p>
    <w:p>
      <w:pPr>
        <w:pStyle w:val="TextBody"/>
        <w:bidi w:val="0"/>
        <w:spacing w:before="120" w:after="0"/>
        <w:jc w:val="left"/>
        <w:rPr>
          <w:rFonts w:ascii="Times New Roman" w:hAnsi="Times New Roman"/>
          <w:sz w:val="20"/>
        </w:rPr>
      </w:pPr>
      <w:r>
        <w:rPr>
          <w:rFonts w:ascii="Times New Roman" w:hAnsi="Times New Roman"/>
          <w:sz w:val="20"/>
        </w:rPr>
        <w:t xml:space="preserve">(v) The Sales Agent shall provide written confirmation to the Company as soon as practicable following the close of trading on the New York Stock Exchange each day on which the Securities are sold under this </w:t>
      </w:r>
      <w:r>
        <w:rPr>
          <w:rFonts w:ascii="Times New Roman" w:hAnsi="Times New Roman"/>
          <w:sz w:val="20"/>
          <w:u w:val="single"/>
        </w:rPr>
        <w:t>Section 2(a)</w:t>
      </w:r>
      <w:r>
        <w:rPr>
          <w:rFonts w:ascii="Times New Roman" w:hAnsi="Times New Roman"/>
          <w:sz w:val="20"/>
        </w:rPr>
        <w:t xml:space="preserve"> setting forth the aggregate amount of the Securities sold on such day, the aggregate Net Proceeds to the Company, and the aggregate compensation payable by the Company to the Sales Agent with respect to such sales. </w:t>
      </w:r>
    </w:p>
    <w:p>
      <w:pPr>
        <w:pStyle w:val="TextBody"/>
        <w:bidi w:val="0"/>
        <w:spacing w:before="120" w:after="0"/>
        <w:jc w:val="left"/>
        <w:rPr>
          <w:rFonts w:ascii="Times New Roman" w:hAnsi="Times New Roman"/>
          <w:sz w:val="20"/>
        </w:rPr>
      </w:pPr>
      <w:r>
        <w:rPr>
          <w:rFonts w:ascii="Times New Roman" w:hAnsi="Times New Roman"/>
          <w:sz w:val="20"/>
        </w:rPr>
        <w:t xml:space="preserve">(vi) Settlement for sales of the Securities pursuant to this </w:t>
      </w:r>
      <w:r>
        <w:rPr>
          <w:rFonts w:ascii="Times New Roman" w:hAnsi="Times New Roman"/>
          <w:sz w:val="20"/>
          <w:u w:val="single"/>
        </w:rPr>
        <w:t>Section 2(a)</w:t>
      </w:r>
      <w:r>
        <w:rPr>
          <w:rFonts w:ascii="Times New Roman" w:hAnsi="Times New Roman"/>
          <w:sz w:val="20"/>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hAnsi="Times New Roman"/>
          <w:sz w:val="20"/>
          <w:u w:val="single"/>
        </w:rPr>
        <w:t>Section 2(a)(vi)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hAnsi="Times New Roman"/>
          <w:sz w:val="20"/>
          <w:u w:val="single"/>
        </w:rPr>
        <w:t>Section 3</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wishes to sell the Securities other than as set forth in </w:t>
      </w:r>
      <w:r>
        <w:rPr>
          <w:rFonts w:ascii="Times New Roman" w:hAnsi="Times New Roman"/>
          <w:sz w:val="20"/>
          <w:u w:val="single"/>
        </w:rPr>
        <w:t>Section 2(a)</w:t>
      </w:r>
      <w:r>
        <w:rPr>
          <w:rFonts w:ascii="Times New Roman" w:hAnsi="Times New Roman"/>
          <w:sz w:val="20"/>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hAnsi="Times New Roman"/>
          <w:sz w:val="20"/>
          <w:u w:val="single"/>
        </w:rPr>
        <w:t>Section 5</w:t>
      </w:r>
      <w:r>
        <w:rPr>
          <w:rFonts w:ascii="Times New Roman" w:hAnsi="Times New Roman"/>
          <w:sz w:val="20"/>
        </w:rPr>
        <w:t xml:space="preserve"> hereof and any other information or documents required by the Sales Agent. </w:t>
      </w:r>
    </w:p>
    <w:p>
      <w:pPr>
        <w:pStyle w:val="TextBody"/>
        <w:bidi w:val="0"/>
        <w:spacing w:before="240" w:after="0"/>
        <w:jc w:val="left"/>
        <w:rPr>
          <w:rFonts w:ascii="Times New Roman" w:hAnsi="Times New Roman"/>
          <w:sz w:val="20"/>
        </w:rPr>
      </w:pPr>
      <w:r>
        <w:rPr>
          <w:rFonts w:ascii="Times New Roman" w:hAnsi="Times New Roman"/>
          <w:sz w:val="20"/>
        </w:rPr>
        <w:t xml:space="preserve">(g) 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the Sales Agent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w:t>
      </w:r>
      <w:r>
        <w:rPr>
          <w:rFonts w:ascii="Times New Roman" w:hAnsi="Times New Roman"/>
          <w:sz w:val="20"/>
          <w:u w:val="single"/>
        </w:rPr>
        <w:t>Section 3(c)</w:t>
      </w:r>
      <w:r>
        <w:rPr>
          <w:rFonts w:ascii="Times New Roman" w:hAnsi="Times New Roman"/>
          <w:sz w:val="20"/>
        </w:rPr>
        <w:t xml:space="preserve">,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w:t>
      </w:r>
      <w:r>
        <w:rPr>
          <w:rFonts w:ascii="Times New Roman" w:hAnsi="Times New Roman"/>
          <w:sz w:val="20"/>
        </w:rPr>
        <w:t xml:space="preserve">.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The Company will use its commercially 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Commission Filings</w:t>
      </w:r>
      <w:r>
        <w:rPr>
          <w:rFonts w:ascii="Times New Roman" w:hAnsi="Times New Roman"/>
          <w:sz w:val="20"/>
        </w:rPr>
        <w:t xml:space="preserve">.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Rule</w:t>
      </w:r>
      <w:r>
        <w:rPr>
          <w:rFonts w:ascii="Times New Roman" w:hAnsi="Times New Roman"/>
          <w:sz w:val="20"/>
        </w:rPr>
        <w:t> </w:t>
      </w:r>
      <w:r>
        <w:rPr>
          <w:rFonts w:ascii="Times New Roman" w:hAnsi="Times New Roman"/>
          <w:i/>
          <w:sz w:val="20"/>
        </w:rPr>
        <w:t>158</w:t>
      </w:r>
      <w:r>
        <w:rPr>
          <w:rFonts w:ascii="Times New Roman" w:hAnsi="Times New Roman"/>
          <w:sz w:val="20"/>
        </w:rPr>
        <w:t xml:space="preserve">.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commercially reasonable best efforts to maintain the listing of the Common Stock (including the Securities) on the New York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DTC. </w:t>
      </w:r>
      <w:r>
        <w:rPr>
          <w:rFonts w:ascii="Times New Roman" w:hAnsi="Times New Roman"/>
          <w:sz w:val="20"/>
        </w:rPr>
        <w:t xml:space="preserve">The Company will cooperate with the Sales Agent and use its commercially reasonable efforts to permit the offered Securities to be eligible for clearance and settlement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 OFAC</w:t>
      </w:r>
      <w:r>
        <w:rPr>
          <w:rFonts w:ascii="Times New Roman" w:hAnsi="Times New Roman"/>
          <w:sz w:val="20"/>
        </w:rPr>
        <w:t xml:space="preserve">. The Company will use the net proceeds received by it from the sale of the Securities in the manner specified 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Business Development Company Status</w:t>
      </w:r>
      <w:r>
        <w:rPr>
          <w:rFonts w:ascii="Times New Roman" w:hAnsi="Times New Roman"/>
          <w:sz w:val="20"/>
        </w:rPr>
        <w:t xml:space="preserve">.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Regulated Investment Company Status</w:t>
      </w:r>
      <w:r>
        <w:rPr>
          <w:rFonts w:ascii="Times New Roman" w:hAnsi="Times New Roman"/>
          <w:sz w:val="20"/>
        </w:rPr>
        <w:t xml:space="preserve">.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Accounting Controls</w:t>
      </w:r>
      <w:r>
        <w:rPr>
          <w:rFonts w:ascii="Times New Roman" w:hAnsi="Times New Roman"/>
          <w:sz w:val="20"/>
        </w:rPr>
        <w:t xml:space="preserve">.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Disclosure Controls</w:t>
      </w:r>
      <w:r>
        <w:rPr>
          <w:rFonts w:ascii="Times New Roman" w:hAnsi="Times New Roman"/>
          <w:sz w:val="20"/>
        </w:rPr>
        <w:t xml:space="preserve">.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Matters. </w:t>
      </w:r>
      <w:r>
        <w:rPr>
          <w:rFonts w:ascii="Times New Roman" w:hAnsi="Times New Roman"/>
          <w:sz w:val="20"/>
        </w:rPr>
        <w:t xml:space="preserve">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 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and the Prior Agreement, in an aggregate amount of $40,000 in connection with the initial launch of the at the market offering,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Sales Agents Obligations</w:t>
      </w:r>
      <w:r>
        <w:rPr>
          <w:rFonts w:ascii="Times New Roman" w:hAnsi="Times New Roman"/>
          <w:sz w:val="20"/>
        </w:rPr>
        <w:t xml:space="preserve">.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the Company, the Adviser and the Administrator</w:t>
      </w:r>
      <w:r>
        <w:rPr>
          <w:rFonts w:ascii="Times New Roman" w:hAnsi="Times New Roman"/>
          <w:sz w:val="20"/>
        </w:rPr>
        <w:t xml:space="preserve">. Within five business 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the Sales Agent</w:t>
      </w:r>
      <w:r>
        <w:rPr>
          <w:rFonts w:ascii="Times New Roman" w:hAnsi="Times New Roman"/>
          <w:sz w:val="20"/>
        </w:rPr>
        <w:t xml:space="preserve">. Within five business days after each Representation Date, the Sales Agent shall have received 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hAnsi="Times New Roman"/>
          <w:sz w:val="20"/>
          <w:u w:val="single"/>
        </w:rPr>
        <w:t>Section 1(a)</w:t>
      </w:r>
      <w:r>
        <w:rPr>
          <w:rFonts w:ascii="Times New Roman" w:hAnsi="Times New Roman"/>
          <w:sz w:val="20"/>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 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been no such Adviser/Administrator Material Adverse Effect with respect to the Adviser or the Administrator, as applicable, (B) the representations and warranties of the Adviser or the Administrator, as applicable, in </w:t>
      </w:r>
      <w:r>
        <w:rPr>
          <w:rFonts w:ascii="Times New Roman" w:hAnsi="Times New Roman"/>
          <w:sz w:val="20"/>
          <w:u w:val="single"/>
        </w:rPr>
        <w:t>Section 1(b)</w:t>
      </w:r>
      <w:r>
        <w:rPr>
          <w:rFonts w:ascii="Times New Roman" w:hAnsi="Times New Roman"/>
          <w:sz w:val="20"/>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Within five business days after each Representation Date, the 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Additional Documents</w:t>
      </w:r>
      <w:r>
        <w:rPr>
          <w:rFonts w:ascii="Times New Roman" w:hAnsi="Times New Roman"/>
          <w:sz w:val="20"/>
        </w:rPr>
        <w:t xml:space="preserve">. Within five business days after each Representation Date, counsel for the Sales Agent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Sales Agent by the Company, the Adviser and the Administrator</w:t>
      </w:r>
      <w:r>
        <w:rPr>
          <w:rFonts w:ascii="Times New Roman" w:hAnsi="Times New Roman"/>
          <w:sz w:val="20"/>
        </w:rPr>
        <w:t xml:space="preserve">. The Company, the Adviser and the 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hAnsi="Times New Roman"/>
          <w:sz w:val="20"/>
          <w:u w:val="single"/>
        </w:rPr>
        <w:t>Section 6(d)</w:t>
      </w:r>
      <w:r>
        <w:rPr>
          <w:rFonts w:ascii="Times New Roman" w:hAnsi="Times New Roman"/>
          <w:sz w:val="20"/>
        </w:rPr>
        <w:t xml:space="preserve"> below)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Officers, Adviser and Administrator</w:t>
      </w:r>
      <w:r>
        <w:rPr>
          <w:rFonts w:ascii="Times New Roman" w:hAnsi="Times New Roman"/>
          <w:sz w:val="20"/>
        </w:rPr>
        <w:t xml:space="preserve">. The Sales Agent 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hAnsi="Times New Roman"/>
          <w:sz w:val="20"/>
          <w:u w:val="single"/>
        </w:rPr>
        <w:t>Section 6(a)</w:t>
      </w:r>
      <w:r>
        <w:rPr>
          <w:rFonts w:ascii="Times New Roman" w:hAnsi="Times New Roman"/>
          <w:sz w:val="20"/>
        </w:rPr>
        <w:t xml:space="preserve"> above, counsel to the indemnified parties shall be selected by the Sales Agent,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case of parties indemnified pursuant to </w:t>
      </w:r>
      <w:r>
        <w:rPr>
          <w:rFonts w:ascii="Times New Roman" w:hAnsi="Times New Roman"/>
          <w:sz w:val="20"/>
          <w:u w:val="single"/>
        </w:rPr>
        <w:t>Section 6(b)</w:t>
      </w:r>
      <w:r>
        <w:rPr>
          <w:rFonts w:ascii="Times New Roman" w:hAnsi="Times New Roman"/>
          <w:sz w:val="20"/>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hAnsi="Times New Roman"/>
          <w:sz w:val="20"/>
          <w:u w:val="single"/>
        </w:rPr>
        <w:t>Section 6(a)(ii)</w:t>
      </w:r>
      <w:r>
        <w:rPr>
          <w:rFonts w:ascii="Times New Roman" w:hAnsi="Times New Roman"/>
          <w:sz w:val="20"/>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w:t>
      </w:r>
      <w:r>
        <w:rPr>
          <w:rFonts w:ascii="Times New Roman" w:hAnsi="Times New Roman"/>
          <w:sz w:val="20"/>
          <w:u w:val="single"/>
        </w:rPr>
        <w:t>Section 6</w:t>
      </w:r>
      <w:r>
        <w:rPr>
          <w:rFonts w:ascii="Times New Roman" w:hAnsi="Times New Roman"/>
          <w:sz w:val="20"/>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Adviser, the Administrator and the Sales Agent agree that it would not be just and equitable if contribution pursuant to this </w:t>
      </w:r>
      <w:r>
        <w:rPr>
          <w:rFonts w:ascii="Times New Roman" w:hAnsi="Times New Roman"/>
          <w:sz w:val="20"/>
          <w:u w:val="single"/>
        </w:rPr>
        <w:t>Section 7</w:t>
      </w:r>
      <w:r>
        <w:rPr>
          <w:rFonts w:ascii="Times New Roman" w:hAnsi="Times New Roman"/>
          <w:sz w:val="20"/>
        </w:rPr>
        <w:t xml:space="preserve"> were determined by pro rata allocation or by any other method of allocation which does not take account of the equitable considerations referred to above in this </w:t>
      </w:r>
      <w:r>
        <w:rPr>
          <w:rFonts w:ascii="Times New Roman" w:hAnsi="Times New Roman"/>
          <w:sz w:val="20"/>
          <w:u w:val="single"/>
        </w:rPr>
        <w:t>Section 7</w:t>
      </w:r>
      <w:r>
        <w:rPr>
          <w:rFonts w:ascii="Times New Roman" w:hAnsi="Times New Roman"/>
          <w:sz w:val="20"/>
        </w:rPr>
        <w:t xml:space="preserve">. The aggregate amount of losses, liabilities, claims, damages and expenses incurred by an indemnified party and referred to above in this </w:t>
      </w:r>
      <w:r>
        <w:rPr>
          <w:rFonts w:ascii="Times New Roman" w:hAnsi="Times New Roman"/>
          <w:sz w:val="20"/>
          <w:u w:val="single"/>
        </w:rPr>
        <w:t>Section 7</w:t>
      </w:r>
      <w:r>
        <w:rPr>
          <w:rFonts w:ascii="Times New Roman" w:hAnsi="Times New Roman"/>
          <w:sz w:val="20"/>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7</w:t>
      </w:r>
      <w:r>
        <w:rPr>
          <w:rFonts w:ascii="Times New Roman" w:hAnsi="Times New Roman"/>
          <w:sz w:val="20"/>
        </w:rPr>
        <w:t xml:space="preserve">, the Sales Agent shall not be required to contribute any amount in excess of the commissions received by the Sales Agent in connection with the Securities sold by it.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w:t>
      </w:r>
      <w:r>
        <w:rPr>
          <w:rFonts w:ascii="Times New Roman" w:hAnsi="Times New Roman"/>
          <w:sz w:val="20"/>
        </w:rPr>
        <w:t xml:space="preserve">,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 by the Company, the Adviser and the Administrator</w:t>
      </w:r>
      <w:r>
        <w:rPr>
          <w:rFonts w:ascii="Times New Roman" w:hAnsi="Times New Roman"/>
          <w:sz w:val="20"/>
        </w:rPr>
        <w:t xml:space="preserve">. The Company, the Adviser and the Administrator may terminate this Agreement, by giving one day advance notice to the Sales Agent, at any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Sales Agent</w:t>
      </w:r>
      <w:r>
        <w:rPr>
          <w:rFonts w:ascii="Times New Roman" w:hAnsi="Times New Roman"/>
          <w:sz w:val="20"/>
        </w:rPr>
        <w:t xml:space="preserve">. The Sales Agent may terminate this Agreement, by giving one day advance notice to the Company, at 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provided 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6, 7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w:t>
      </w:r>
      <w:r>
        <w:rPr>
          <w:rFonts w:ascii="Times New Roman" w:hAnsi="Times New Roman"/>
          <w:sz w:val="20"/>
          <w:u w:val="single"/>
        </w:rPr>
        <w:t xml:space="preserve"> 14</w:t>
      </w:r>
      <w:r>
        <w:rPr>
          <w:rFonts w:ascii="Times New Roman" w:hAnsi="Times New Roman"/>
          <w:sz w:val="20"/>
        </w:rPr>
        <w:t>,</w:t>
      </w:r>
      <w:r>
        <w:rPr>
          <w:rFonts w:ascii="Times New Roman" w:hAnsi="Times New Roman"/>
          <w:sz w:val="20"/>
          <w:u w:val="single"/>
        </w:rPr>
        <w:t xml:space="preserve"> 15</w:t>
      </w:r>
      <w:r>
        <w:rPr>
          <w:rFonts w:ascii="Times New Roman" w:hAnsi="Times New Roman"/>
          <w:sz w:val="20"/>
        </w:rPr>
        <w:t xml:space="preserve"> and </w:t>
      </w:r>
      <w:r>
        <w:rPr>
          <w:rFonts w:ascii="Times New Roman" w:hAnsi="Times New Roman"/>
          <w:sz w:val="20"/>
          <w:u w:val="single"/>
        </w:rPr>
        <w:t>16</w:t>
      </w:r>
      <w:r>
        <w:rPr>
          <w:rFonts w:ascii="Times New Roman" w:hAnsi="Times New Roman"/>
          <w:sz w:val="20"/>
        </w:rPr>
        <w:t xml:space="preserve">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 Joint Venture</w:t>
      </w:r>
      <w:r>
        <w:rPr>
          <w:rFonts w:ascii="Times New Roman" w:hAnsi="Times New Roman"/>
          <w:sz w:val="20"/>
        </w:rPr>
        <w:t xml:space="preserve">.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Sales Agent shall be directed to Citizens JMP Securities, LLC at 600 Montgomery Street, Suite 1100, San Francisco, California 94111, Facsimile: (415) 835-8920, Attention: Equity Securities,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1"/>
        <w:gridCol w:w="96"/>
        <w:gridCol w:w="3375"/>
      </w:tblGrid>
      <w:tr>
        <w:trPr/>
        <w:tc>
          <w:tcPr>
            <w:tcW w:w="611"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 RATE CAPITAL LTD.</w:t>
            </w:r>
          </w:p>
        </w:tc>
      </w:tr>
      <w:tr>
        <w:trPr>
          <w:trHeight w:val="240" w:hRule="atLeast"/>
        </w:trPr>
        <w:tc>
          <w:tcPr>
            <w:tcW w:w="611" w:type="dxa"/>
            <w:tcBorders/>
            <w:vAlign w:val="center"/>
          </w:tcPr>
          <w:p>
            <w:pPr>
              <w:pStyle w:val="TableContents"/>
              <w:bidi w:val="0"/>
              <w:spacing w:before="0" w:after="283"/>
              <w:jc w:val="left"/>
              <w:rPr>
                <w:sz w:val="4"/>
                <w:szCs w:val="4"/>
              </w:rPr>
            </w:pPr>
            <w:r>
              <w:rPr>
                <w:sz w:val="4"/>
                <w:szCs w:val="4"/>
              </w:rPr>
            </w:r>
          </w:p>
        </w:tc>
        <w:tc>
          <w:tcPr>
            <w:tcW w:w="3471"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By:</w:t>
            </w:r>
          </w:p>
        </w:tc>
        <w:tc>
          <w:tcPr>
            <w:tcW w:w="96"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611"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Name: Arthur H. Penn</w:t>
            </w:r>
          </w:p>
        </w:tc>
      </w:tr>
      <w:tr>
        <w:trPr/>
        <w:tc>
          <w:tcPr>
            <w:tcW w:w="611"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ADVISERS, LLC</w:t>
            </w:r>
          </w:p>
        </w:tc>
      </w:tr>
      <w:tr>
        <w:trPr>
          <w:trHeight w:val="240" w:hRule="atLeast"/>
        </w:trPr>
        <w:tc>
          <w:tcPr>
            <w:tcW w:w="611" w:type="dxa"/>
            <w:tcBorders/>
            <w:vAlign w:val="center"/>
          </w:tcPr>
          <w:p>
            <w:pPr>
              <w:pStyle w:val="TableContents"/>
              <w:bidi w:val="0"/>
              <w:spacing w:before="0" w:after="283"/>
              <w:jc w:val="left"/>
              <w:rPr>
                <w:sz w:val="4"/>
                <w:szCs w:val="4"/>
              </w:rPr>
            </w:pPr>
            <w:r>
              <w:rPr>
                <w:sz w:val="4"/>
                <w:szCs w:val="4"/>
              </w:rPr>
            </w:r>
          </w:p>
        </w:tc>
        <w:tc>
          <w:tcPr>
            <w:tcW w:w="3471"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By:</w:t>
            </w:r>
          </w:p>
        </w:tc>
        <w:tc>
          <w:tcPr>
            <w:tcW w:w="96"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vAlign w:val="bottom"/>
          </w:tcPr>
          <w:p>
            <w:pPr>
              <w:pStyle w:val="TableContents"/>
              <w:bidi w:val="0"/>
              <w:spacing w:before="0" w:after="283"/>
              <w:jc w:val="left"/>
              <w:rPr/>
            </w:pPr>
            <w:r>
              <w:rPr/>
              <w:t>/s/ Arthur H. Penn</w:t>
            </w:r>
          </w:p>
        </w:tc>
      </w:tr>
      <w:tr>
        <w:trPr/>
        <w:tc>
          <w:tcPr>
            <w:tcW w:w="611"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Arthur H. Penn</w:t>
            </w:r>
          </w:p>
          <w:p>
            <w:pPr>
              <w:pStyle w:val="TableContents"/>
              <w:bidi w:val="0"/>
              <w:spacing w:before="0" w:after="20"/>
              <w:jc w:val="left"/>
              <w:rPr>
                <w:rFonts w:ascii="Times New Roman" w:hAnsi="Times New Roman"/>
                <w:sz w:val="20"/>
              </w:rPr>
            </w:pPr>
            <w:r>
              <w:rPr>
                <w:rFonts w:ascii="Times New Roman" w:hAnsi="Times New Roman"/>
                <w:sz w:val="20"/>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ADMINISTRATION, LLC</w:t>
            </w:r>
          </w:p>
        </w:tc>
      </w:tr>
      <w:tr>
        <w:trPr>
          <w:trHeight w:val="240" w:hRule="atLeast"/>
        </w:trPr>
        <w:tc>
          <w:tcPr>
            <w:tcW w:w="611" w:type="dxa"/>
            <w:tcBorders/>
            <w:vAlign w:val="center"/>
          </w:tcPr>
          <w:p>
            <w:pPr>
              <w:pStyle w:val="TableContents"/>
              <w:bidi w:val="0"/>
              <w:spacing w:before="0" w:after="283"/>
              <w:jc w:val="left"/>
              <w:rPr>
                <w:sz w:val="4"/>
                <w:szCs w:val="4"/>
              </w:rPr>
            </w:pPr>
            <w:r>
              <w:rPr>
                <w:sz w:val="4"/>
                <w:szCs w:val="4"/>
              </w:rPr>
            </w:r>
          </w:p>
        </w:tc>
        <w:tc>
          <w:tcPr>
            <w:tcW w:w="3471"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By:</w:t>
            </w:r>
          </w:p>
        </w:tc>
        <w:tc>
          <w:tcPr>
            <w:tcW w:w="96"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vAlign w:val="bottom"/>
          </w:tcPr>
          <w:p>
            <w:pPr>
              <w:pStyle w:val="TableContents"/>
              <w:bidi w:val="0"/>
              <w:spacing w:before="0" w:after="283"/>
              <w:jc w:val="left"/>
              <w:rPr/>
            </w:pPr>
            <w:r>
              <w:rPr/>
              <w:t>/s/ Arthur H. Penn</w:t>
            </w:r>
          </w:p>
        </w:tc>
      </w:tr>
      <w:tr>
        <w:trPr/>
        <w:tc>
          <w:tcPr>
            <w:tcW w:w="611"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Arthur H. Penn</w:t>
            </w:r>
          </w:p>
          <w:p>
            <w:pPr>
              <w:pStyle w:val="TableContents"/>
              <w:bidi w:val="0"/>
              <w:spacing w:before="0" w:after="20"/>
              <w:jc w:val="left"/>
              <w:rPr>
                <w:rFonts w:ascii="Times New Roman" w:hAnsi="Times New Roman"/>
                <w:sz w:val="20"/>
              </w:rPr>
            </w:pPr>
            <w:r>
              <w:rPr>
                <w:rFonts w:ascii="Times New Roman" w:hAnsi="Times New Roman"/>
                <w:sz w:val="20"/>
              </w:rPr>
              <w:t>Title:    Managing Member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A&amp;R Sales Agreement  JMP]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37"/>
        <w:gridCol w:w="60"/>
        <w:gridCol w:w="3685"/>
      </w:tblGrid>
      <w:tr>
        <w:trPr/>
        <w:tc>
          <w:tcPr>
            <w:tcW w:w="3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CONFIRMED AND ACCEPTED,</w:t>
              <w:br/>
              <w:t>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CITIZENS JMP SECURITIES, LLC</w:t>
            </w:r>
          </w:p>
        </w:tc>
      </w:tr>
      <w:tr>
        <w:trPr>
          <w:trHeight w:val="240" w:hRule="atLeast"/>
        </w:trPr>
        <w:tc>
          <w:tcPr>
            <w:tcW w:w="337" w:type="dxa"/>
            <w:tcBorders/>
            <w:vAlign w:val="center"/>
          </w:tcPr>
          <w:p>
            <w:pPr>
              <w:pStyle w:val="TableContents"/>
              <w:bidi w:val="0"/>
              <w:spacing w:before="0" w:after="283"/>
              <w:jc w:val="left"/>
              <w:rPr>
                <w:sz w:val="4"/>
                <w:szCs w:val="4"/>
              </w:rPr>
            </w:pPr>
            <w:r>
              <w:rPr>
                <w:sz w:val="4"/>
                <w:szCs w:val="4"/>
              </w:rPr>
            </w:r>
          </w:p>
        </w:tc>
        <w:tc>
          <w:tcPr>
            <w:tcW w:w="3745" w:type="dxa"/>
            <w:gridSpan w:val="2"/>
            <w:tcBorders/>
            <w:vAlign w:val="center"/>
          </w:tcPr>
          <w:p>
            <w:pPr>
              <w:pStyle w:val="TableContents"/>
              <w:bidi w:val="0"/>
              <w:spacing w:before="0" w:after="283"/>
              <w:jc w:val="left"/>
              <w:rPr>
                <w:sz w:val="4"/>
                <w:szCs w:val="4"/>
              </w:rPr>
            </w:pPr>
            <w:r>
              <w:rPr>
                <w:sz w:val="4"/>
                <w:szCs w:val="4"/>
              </w:rPr>
            </w:r>
          </w:p>
        </w:tc>
      </w:tr>
      <w:tr>
        <w:trPr/>
        <w:tc>
          <w:tcPr>
            <w:tcW w:w="337"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5" w:type="dxa"/>
            <w:tcBorders>
              <w:bottom w:val="single" w:sz="2" w:space="0" w:color="000000"/>
            </w:tcBorders>
            <w:tcMar>
              <w:bottom w:w="28" w:type="dxa"/>
            </w:tcMar>
            <w:vAlign w:val="bottom"/>
          </w:tcPr>
          <w:p>
            <w:pPr>
              <w:pStyle w:val="TableContents"/>
              <w:bidi w:val="0"/>
              <w:spacing w:before="0" w:after="283"/>
              <w:jc w:val="left"/>
              <w:rPr/>
            </w:pPr>
            <w:r>
              <w:rPr/>
              <w:t>/s/ Jorge Solares-Parkhurst</w:t>
            </w:r>
          </w:p>
        </w:tc>
      </w:tr>
      <w:tr>
        <w:trPr/>
        <w:tc>
          <w:tcPr>
            <w:tcW w:w="33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5" w:type="dxa"/>
            <w:tcBorders/>
            <w:vAlign w:val="bottom"/>
          </w:tcPr>
          <w:p>
            <w:pPr>
              <w:pStyle w:val="TableContents"/>
              <w:bidi w:val="0"/>
              <w:spacing w:before="0" w:after="283"/>
              <w:jc w:val="left"/>
              <w:rPr/>
            </w:pPr>
            <w:r>
              <w:rPr/>
              <w:t>Name: Jorge Solares-Parkhurst</w:t>
            </w:r>
          </w:p>
        </w:tc>
      </w:tr>
      <w:tr>
        <w:trPr/>
        <w:tc>
          <w:tcPr>
            <w:tcW w:w="33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5"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A&amp;R Sales Agreement  JMP]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Ltd.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bidi w:val="0"/>
        <w:spacing w:before="0" w:after="0"/>
        <w:jc w:val="left"/>
        <w:rPr>
          <w:rFonts w:ascii="Times New Roman" w:hAnsi="Times New Roman"/>
          <w:sz w:val="20"/>
        </w:rPr>
      </w:pPr>
      <w:r>
        <w:rPr>
          <w:rFonts w:ascii="Times New Roman" w:hAnsi="Times New Roman"/>
          <w:sz w:val="20"/>
        </w:rPr>
        <w:t xml:space="preserve">PFLT Investment Holdings,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left"/>
        <w:rPr>
          <w:rFonts w:ascii="Times New Roman" w:hAnsi="Times New Roman"/>
          <w:b/>
          <w:sz w:val="20"/>
        </w:rPr>
      </w:pPr>
      <w:r>
        <w:rPr>
          <w:rFonts w:ascii="Times New Roman" w:hAnsi="Times New Roman"/>
          <w:b/>
          <w:sz w:val="20"/>
        </w:rPr>
        <w:t xml:space="preserve">Company Authorized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Arthur H. Penn </w:t>
      </w:r>
    </w:p>
    <w:p>
      <w:pPr>
        <w:pStyle w:val="TextBody"/>
        <w:bidi w:val="0"/>
        <w:spacing w:before="0" w:after="0"/>
        <w:jc w:val="left"/>
        <w:rPr>
          <w:rFonts w:ascii="Times New Roman" w:hAnsi="Times New Roman"/>
          <w:sz w:val="20"/>
        </w:rPr>
      </w:pPr>
      <w:r>
        <w:rPr>
          <w:rFonts w:ascii="Times New Roman" w:hAnsi="Times New Roman"/>
          <w:sz w:val="20"/>
        </w:rPr>
        <w:t xml:space="preserve">Richard Allorto </w:t>
      </w:r>
    </w:p>
    <w:p>
      <w:pPr>
        <w:pStyle w:val="TextBody"/>
        <w:bidi w:val="0"/>
        <w:spacing w:before="360" w:after="0"/>
        <w:jc w:val="left"/>
        <w:rPr>
          <w:rFonts w:ascii="Times New Roman" w:hAnsi="Times New Roman"/>
          <w:b/>
          <w:sz w:val="20"/>
        </w:rPr>
      </w:pPr>
      <w:r>
        <w:rPr>
          <w:rFonts w:ascii="Times New Roman" w:hAnsi="Times New Roman"/>
          <w:b/>
          <w:sz w:val="20"/>
        </w:rPr>
        <w:t xml:space="preserve">Sales Agent Authorized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Jeff Fordham </w:t>
      </w:r>
    </w:p>
    <w:p>
      <w:pPr>
        <w:pStyle w:val="TextBody"/>
        <w:bidi w:val="0"/>
        <w:spacing w:before="0" w:after="0"/>
        <w:jc w:val="left"/>
        <w:rPr>
          <w:rFonts w:ascii="Times New Roman" w:hAnsi="Times New Roman"/>
          <w:sz w:val="20"/>
        </w:rPr>
      </w:pPr>
      <w:r>
        <w:rPr>
          <w:rFonts w:ascii="Times New Roman" w:hAnsi="Times New Roman"/>
          <w:sz w:val="20"/>
        </w:rPr>
        <w:t xml:space="preserve">Jeanna Bryan </w:t>
      </w:r>
    </w:p>
    <w:p>
      <w:pPr>
        <w:pStyle w:val="TextBody"/>
        <w:bidi w:val="0"/>
        <w:spacing w:before="0" w:after="0"/>
        <w:jc w:val="right"/>
        <w:rPr>
          <w:rFonts w:ascii="Times New Roman" w:hAnsi="Times New Roman"/>
          <w:b/>
          <w:sz w:val="20"/>
        </w:rPr>
      </w:pPr>
      <w:bookmarkStart w:id="4" w:name="d511427dex12.htm"/>
      <w:bookmarkStart w:id="5" w:name="ksd511427dex12"/>
      <w:bookmarkEnd w:id="4"/>
      <w:bookmarkEnd w:id="5"/>
      <w:r>
        <w:rPr>
          <w:rFonts w:ascii="Times New Roman" w:hAnsi="Times New Roman"/>
          <w:b/>
          <w:sz w:val="20"/>
        </w:rPr>
        <w:t xml:space="preserve">Exhibit 1.2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PENNANTPARK FLOATING RATE CAPITAL LTD. </w:t>
      </w:r>
    </w:p>
    <w:p>
      <w:pPr>
        <w:pStyle w:val="TextBody"/>
        <w:bidi w:val="0"/>
        <w:spacing w:before="240" w:after="0"/>
        <w:jc w:val="center"/>
        <w:rPr>
          <w:rFonts w:ascii="Times New Roman" w:hAnsi="Times New Roman"/>
          <w:sz w:val="20"/>
        </w:rPr>
      </w:pPr>
      <w:r>
        <w:rPr>
          <w:rFonts w:ascii="Times New Roman" w:hAnsi="Times New Roman"/>
          <w:sz w:val="20"/>
        </w:rPr>
        <w:t xml:space="preserve">(a Maryland corporation) </w:t>
      </w:r>
    </w:p>
    <w:p>
      <w:pPr>
        <w:pStyle w:val="TextBody"/>
        <w:bidi w:val="0"/>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AMENDED AND RESTATED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EQUITY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11, 2023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PENNANTPARK FLOATING RATE CAPITAL LTD. </w:t>
      </w:r>
    </w:p>
    <w:p>
      <w:pPr>
        <w:pStyle w:val="TextBody"/>
        <w:bidi w:val="0"/>
        <w:spacing w:before="240" w:after="0"/>
        <w:jc w:val="center"/>
        <w:rPr>
          <w:rFonts w:ascii="Times New Roman" w:hAnsi="Times New Roman"/>
          <w:sz w:val="20"/>
        </w:rPr>
      </w:pPr>
      <w:r>
        <w:rPr>
          <w:rFonts w:ascii="Times New Roman" w:hAnsi="Times New Roman"/>
          <w:sz w:val="20"/>
        </w:rPr>
        <w:t xml:space="preserve">(a Maryland corporation) </w:t>
      </w:r>
    </w:p>
    <w:p>
      <w:pPr>
        <w:pStyle w:val="TextBody"/>
        <w:bidi w:val="0"/>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w:t>
      </w:r>
    </w:p>
    <w:p>
      <w:pPr>
        <w:pStyle w:val="TextBody"/>
        <w:bidi w:val="0"/>
        <w:spacing w:before="0" w:after="0"/>
        <w:jc w:val="center"/>
        <w:rPr>
          <w:rFonts w:ascii="Times New Roman" w:hAnsi="Times New Roman"/>
          <w:sz w:val="20"/>
        </w:rPr>
      </w:pPr>
      <w:r>
        <w:rPr>
          <w:rFonts w:ascii="Times New Roman" w:hAnsi="Times New Roman"/>
          <w:sz w:val="20"/>
        </w:rPr>
        <w:t xml:space="preserve">EQUITY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880 Carillon Parkway </w:t>
      </w:r>
    </w:p>
    <w:p>
      <w:pPr>
        <w:pStyle w:val="TextBody"/>
        <w:bidi w:val="0"/>
        <w:spacing w:before="0" w:after="0"/>
        <w:jc w:val="left"/>
        <w:rPr>
          <w:rFonts w:ascii="Times New Roman" w:hAnsi="Times New Roman"/>
          <w:sz w:val="20"/>
        </w:rPr>
      </w:pPr>
      <w:r>
        <w:rPr>
          <w:rFonts w:ascii="Times New Roman" w:hAnsi="Times New Roman"/>
          <w:sz w:val="20"/>
        </w:rPr>
        <w:t xml:space="preserve">St. Petersburg, Florida 33716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Raymond James &amp; Associates, Inc. (the Sales Agent) with respect to the sale by the Company of shares of common stock, par value $0.001 per share, of the Company (Common Stock), having an aggregate offering price of up to $250 million. The shares of Common Stock to be sold by the Sales Agent are herein called, collectively, the Securities. This Amended and Restated Equity Distribution Agreement (this Agreement) amends and restates in its entirety the Equity Distribution Agreement, dated as of March 31, 2023 (the Prior Agreement), by and among the Company, the Adviser, the Administrator and the Sales Agent. The Company, the Adviser and the Administrator have also entered into agreements (collectively the Sales Agreement) in substantially similar form to this Agreement, dated of even date herewith, with Citizens JMP Securities, LLC and Truist Securities, Inc. (each, an Other Agent), which amend and restate the equity distribution agreements, dated March 31, 2023, between the Company, the Adviser, the Administrator and each Other Agent (collectively, the Prior Sales Agreement). The aggregate amount of Securities that may be sold collectively pursuant to this Agreement and the Sales Agreement together with any Securities sold pursuant to the Prior Agreement and the Prior Sales Agreement shall not exceed the lesser of $250 million and the dollar amount of Securities permitted to be sold under the Registration Statement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333-268813), relating to the registration of the Securities and certain of the Companys other securities under the Securities Act of 1933, as amended (the 1933 Act), which registration statement was most declared effective by the Commission on January 9, 2023. The Company has also filed with the Commission a prospectus supplement, dated the date hereof, as such prospectus supplement may be amended (the Prospectus), which contains a base prospectus, dated January 9, 2023,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that certain Second Amended and Restated Investment Advisory Agreement, dated as of February 2, 2016 (the Investment Management Agreement), with the Adviser. The Company has entered into that certain Amended and Restated Administration Agreement, dated as of July 1, 2022 (the Administration Agreement), with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Applicable Time means the time of each sale of the applicable Securities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Issuer Free Writing Prospectus</w:t>
      </w:r>
      <w:r>
        <w:rPr>
          <w:rFonts w:ascii="Times New Roman" w:hAnsi="Times New Roman"/>
          <w:sz w:val="20"/>
        </w:rPr>
        <w:t xml:space="preserve">.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Prospectus, when they were filed or when they will be filed with the Commission, as the case may be, conformed or will conform in all material respects to the requirements of the 1934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Subsidiaries of the Company; Portfolio Companies</w:t>
      </w:r>
      <w:r>
        <w:rPr>
          <w:rFonts w:ascii="Times New Roman" w:hAnsi="Times New Roman"/>
          <w:sz w:val="20"/>
        </w:rPr>
        <w:t>. The Companys only subsidiaries that were consolidated with the Company for financial reporting purposes under GAAP as of June 30, 2023 are those listed on</w:t>
      </w:r>
      <w:r>
        <w:rPr>
          <w:rFonts w:ascii="Times New Roman" w:hAnsi="Times New Roman"/>
          <w:sz w:val="20"/>
          <w:u w:val="single"/>
        </w:rPr>
        <w:t xml:space="preserve"> Schedule A</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Capitalization</w:t>
      </w:r>
      <w:r>
        <w:rPr>
          <w:rFonts w:ascii="Times New Roman" w:hAnsi="Times New Roman"/>
          <w:sz w:val="20"/>
        </w:rPr>
        <w:t xml:space="preserve">. The authorized shares of capital stock of the Company are as set forth in the Registration Statement and the Prospectus under the caption Description of Our Capital Stock. The total issued and outstanding shares of capital stock of the Company as of June 30, 2023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and Description of Securities</w:t>
      </w:r>
      <w:r>
        <w:rPr>
          <w:rFonts w:ascii="Times New Roman" w:hAnsi="Times New Roman"/>
          <w:sz w:val="20"/>
        </w:rPr>
        <w:t xml:space="preserve">.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Employees</w:t>
      </w:r>
      <w:r>
        <w:rPr>
          <w:rFonts w:ascii="Times New Roman" w:hAnsi="Times New Roman"/>
          <w:sz w:val="20"/>
        </w:rPr>
        <w:t xml:space="preserve">. Neither the Company nor any of the Subsidiaries has any employees.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2022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Foreign Corrupt Practices Act</w:t>
      </w:r>
      <w:r>
        <w:rPr>
          <w:rFonts w:ascii="Times New Roman" w:hAnsi="Times New Roman"/>
          <w:sz w:val="20"/>
        </w:rPr>
        <w:t xml:space="preserve">.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Anti-Money Laundering Laws</w:t>
      </w:r>
      <w:r>
        <w:rPr>
          <w:rFonts w:ascii="Times New Roman" w:hAnsi="Times New Roman"/>
          <w:sz w:val="20"/>
        </w:rPr>
        <w:t xml:space="preserve">.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OFAC</w:t>
      </w:r>
      <w:r>
        <w:rPr>
          <w:rFonts w:ascii="Times New Roman" w:hAnsi="Times New Roman"/>
          <w:sz w:val="20"/>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Lending Relationship</w:t>
      </w:r>
      <w:r>
        <w:rPr>
          <w:rFonts w:ascii="Times New Roman" w:hAnsi="Times New Roman"/>
          <w:sz w:val="20"/>
        </w:rPr>
        <w:t xml:space="preserve">.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or the Prospectus which have not been described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Management Agreement and Administration Agreement</w:t>
      </w:r>
      <w:r>
        <w:rPr>
          <w:rFonts w:ascii="Times New Roman" w:hAnsi="Times New Roman"/>
          <w:sz w:val="20"/>
        </w:rPr>
        <w:t xml:space="preserve">.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Interested Persons</w:t>
      </w:r>
      <w:r>
        <w:rPr>
          <w:rFonts w:ascii="Times New Roman" w:hAnsi="Times New Roman"/>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intends to direct the investment of the proceeds of the offering of the Securities in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 by the Adviser and the Administrator</w:t>
      </w:r>
      <w:r>
        <w:rPr>
          <w:rFonts w:ascii="Times New Roman" w:hAnsi="Times New Roman"/>
          <w:sz w:val="20"/>
        </w:rPr>
        <w:t xml:space="preserve">. The Adviser and the Administrator, jointly and severally, represent to the Sales Agent as of the date hereof, the Applicable Time, each Representation Date (as defined below) and any Date of Delivery (as defined below), and agrees with the Sales Agent,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each of the Adviser and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 and Administration Agreement</w:t>
      </w:r>
      <w:r>
        <w:rPr>
          <w:rFonts w:ascii="Times New Roman" w:hAnsi="Times New Roman"/>
          <w:sz w:val="20"/>
        </w:rPr>
        <w:t xml:space="preserve">.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 and Administrator</w:t>
      </w:r>
      <w:r>
        <w:rPr>
          <w:rFonts w:ascii="Times New Roman" w:hAnsi="Times New Roman"/>
          <w:sz w:val="20"/>
        </w:rPr>
        <w:t xml:space="preserve">.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Foreign Corrupt Practices Act</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Anti-Money Laundering Laws</w:t>
      </w:r>
      <w:r>
        <w:rPr>
          <w:rFonts w:ascii="Times New Roman" w:hAnsi="Times New Roman"/>
          <w:sz w:val="20"/>
        </w:rPr>
        <w:t xml:space="preserve">.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OFAC</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Each of the Adviser and the Administrator has the financial resources available to it necessary for the performance of its services and obligations as contemplated by the Registration Statement, the Prospectus and the Investment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Certificates</w:t>
      </w:r>
      <w:r>
        <w:rPr>
          <w:rFonts w:ascii="Times New Roman" w:hAnsi="Times New Roman"/>
          <w:sz w:val="20"/>
        </w:rPr>
        <w:t xml:space="preserve">. Any certificate signed by any officer of the Company, any of the Subsidiaries, the Adviser or the Administrator delivered to the Sales Agent or to counsel for the Sales Agent shall be deemed a representation and warranty by the Company, the Adviser or the Administrator, as applicable, to the Sales Agent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 </w:t>
      </w:r>
    </w:p>
    <w:p>
      <w:pPr>
        <w:pStyle w:val="TextBody"/>
        <w:bidi w:val="0"/>
        <w:spacing w:before="120" w:after="0"/>
        <w:jc w:val="left"/>
        <w:rPr>
          <w:rFonts w:ascii="Times New Roman" w:hAnsi="Times New Roman"/>
          <w:sz w:val="20"/>
        </w:rPr>
      </w:pPr>
      <w:r>
        <w:rPr>
          <w:rFonts w:ascii="Times New Roman" w:hAnsi="Times New Roman"/>
          <w:sz w:val="20"/>
        </w:rPr>
        <w:t xml:space="preserve">(i) 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hAnsi="Times New Roman"/>
          <w:sz w:val="20"/>
          <w:u w:val="single"/>
        </w:rPr>
        <w:t>Section 2(a)(ii)</w:t>
      </w:r>
      <w:r>
        <w:rPr>
          <w:rFonts w:ascii="Times New Roman" w:hAnsi="Times New Roman"/>
          <w:sz w:val="20"/>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Times New Roman" w:hAnsi="Times New Roman"/>
          <w:sz w:val="20"/>
          <w:u w:val="single"/>
        </w:rPr>
        <w:t>Section 9</w:t>
      </w:r>
      <w:r>
        <w:rPr>
          <w:rFonts w:ascii="Times New Roman" w:hAnsi="Times New Roman"/>
          <w:sz w:val="20"/>
        </w:rPr>
        <w:t xml:space="preserve">.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(iii) The Sales Agent hereby covenants and agrees not to make any sales of the Securities on behalf of the Company, pursuant to this </w:t>
      </w:r>
      <w:r>
        <w:rPr>
          <w:rFonts w:ascii="Times New Roman" w:hAnsi="Times New Roman"/>
          <w:sz w:val="20"/>
          <w:u w:val="single"/>
        </w:rPr>
        <w:t>Section 2(a)</w:t>
      </w:r>
      <w:r>
        <w:rPr>
          <w:rFonts w:ascii="Times New Roman" w:hAnsi="Times New Roman"/>
          <w:sz w:val="20"/>
        </w:rPr>
        <w:t xml:space="preserve">, other than (A) by means of At the Market Offerings and (B) such other sales of the Securities on behalf of the Company in its capacity as agent of the Company as shall be agreed by the Company and the Sales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hAnsi="Times New Roman"/>
          <w:sz w:val="20"/>
          <w:u w:val="single"/>
        </w:rPr>
        <w:t>Section 2(a)</w:t>
      </w:r>
      <w:r>
        <w:rPr>
          <w:rFonts w:ascii="Times New Roman" w:hAnsi="Times New Roman"/>
          <w:sz w:val="20"/>
        </w:rPr>
        <w:t xml:space="preserve">.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 </w:t>
      </w:r>
    </w:p>
    <w:p>
      <w:pPr>
        <w:pStyle w:val="TextBody"/>
        <w:bidi w:val="0"/>
        <w:spacing w:before="120" w:after="0"/>
        <w:jc w:val="left"/>
        <w:rPr>
          <w:rFonts w:ascii="Times New Roman" w:hAnsi="Times New Roman"/>
          <w:sz w:val="20"/>
        </w:rPr>
      </w:pPr>
      <w:r>
        <w:rPr>
          <w:rFonts w:ascii="Times New Roman" w:hAnsi="Times New Roman"/>
          <w:sz w:val="20"/>
        </w:rPr>
        <w:t xml:space="preserve">(v) The Sales Agent shall provide written confirmation to the Company as soon as practicable following the close of trading on the New York Stock Exchange each day on which the Securities are sold under this </w:t>
      </w:r>
      <w:r>
        <w:rPr>
          <w:rFonts w:ascii="Times New Roman" w:hAnsi="Times New Roman"/>
          <w:sz w:val="20"/>
          <w:u w:val="single"/>
        </w:rPr>
        <w:t>Section 2(a)</w:t>
      </w:r>
      <w:r>
        <w:rPr>
          <w:rFonts w:ascii="Times New Roman" w:hAnsi="Times New Roman"/>
          <w:sz w:val="20"/>
        </w:rPr>
        <w:t xml:space="preserve"> setting forth the aggregate amount of the Securities sold on such day, the aggregate Net Proceeds to the Company, and the aggregate compensation payable by the Company to the Sales Agent with respect to such sales. </w:t>
      </w:r>
    </w:p>
    <w:p>
      <w:pPr>
        <w:pStyle w:val="TextBody"/>
        <w:bidi w:val="0"/>
        <w:spacing w:before="120" w:after="0"/>
        <w:jc w:val="left"/>
        <w:rPr>
          <w:rFonts w:ascii="Times New Roman" w:hAnsi="Times New Roman"/>
          <w:sz w:val="20"/>
        </w:rPr>
      </w:pPr>
      <w:r>
        <w:rPr>
          <w:rFonts w:ascii="Times New Roman" w:hAnsi="Times New Roman"/>
          <w:sz w:val="20"/>
        </w:rPr>
        <w:t xml:space="preserve">(vi) Settlement for sales of the Securities pursuant to this </w:t>
      </w:r>
      <w:r>
        <w:rPr>
          <w:rFonts w:ascii="Times New Roman" w:hAnsi="Times New Roman"/>
          <w:sz w:val="20"/>
          <w:u w:val="single"/>
        </w:rPr>
        <w:t>Section 2(a)</w:t>
      </w:r>
      <w:r>
        <w:rPr>
          <w:rFonts w:ascii="Times New Roman" w:hAnsi="Times New Roman"/>
          <w:sz w:val="20"/>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hAnsi="Times New Roman"/>
          <w:sz w:val="20"/>
          <w:u w:val="single"/>
        </w:rPr>
        <w:t>Section 2(a)(vi)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hAnsi="Times New Roman"/>
          <w:sz w:val="20"/>
          <w:u w:val="single"/>
        </w:rPr>
        <w:t>Section 3</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wishes to sell the Securities other than as set forth in </w:t>
      </w:r>
      <w:r>
        <w:rPr>
          <w:rFonts w:ascii="Times New Roman" w:hAnsi="Times New Roman"/>
          <w:sz w:val="20"/>
          <w:u w:val="single"/>
        </w:rPr>
        <w:t>Section 2(a)</w:t>
      </w:r>
      <w:r>
        <w:rPr>
          <w:rFonts w:ascii="Times New Roman" w:hAnsi="Times New Roman"/>
          <w:sz w:val="20"/>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hAnsi="Times New Roman"/>
          <w:sz w:val="20"/>
          <w:u w:val="single"/>
        </w:rPr>
        <w:t>Section 5</w:t>
      </w:r>
      <w:r>
        <w:rPr>
          <w:rFonts w:ascii="Times New Roman" w:hAnsi="Times New Roman"/>
          <w:sz w:val="20"/>
        </w:rPr>
        <w:t xml:space="preserve"> hereof and any other information or documents required by the Sales Agent. </w:t>
      </w:r>
    </w:p>
    <w:p>
      <w:pPr>
        <w:pStyle w:val="TextBody"/>
        <w:bidi w:val="0"/>
        <w:spacing w:before="240" w:after="0"/>
        <w:jc w:val="left"/>
        <w:rPr>
          <w:rFonts w:ascii="Times New Roman" w:hAnsi="Times New Roman"/>
          <w:sz w:val="20"/>
        </w:rPr>
      </w:pPr>
      <w:r>
        <w:rPr>
          <w:rFonts w:ascii="Times New Roman" w:hAnsi="Times New Roman"/>
          <w:sz w:val="20"/>
        </w:rPr>
        <w:t xml:space="preserve">(g) 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the Sales Agent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w:t>
      </w:r>
      <w:r>
        <w:rPr>
          <w:rFonts w:ascii="Times New Roman" w:hAnsi="Times New Roman"/>
          <w:sz w:val="20"/>
          <w:u w:val="single"/>
        </w:rPr>
        <w:t>Section 3(c)</w:t>
      </w:r>
      <w:r>
        <w:rPr>
          <w:rFonts w:ascii="Times New Roman" w:hAnsi="Times New Roman"/>
          <w:sz w:val="20"/>
        </w:rPr>
        <w:t xml:space="preserve">,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w:t>
      </w:r>
      <w:r>
        <w:rPr>
          <w:rFonts w:ascii="Times New Roman" w:hAnsi="Times New Roman"/>
          <w:sz w:val="20"/>
        </w:rPr>
        <w:t xml:space="preserve">.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The Company will use its commercially 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Commission Filings</w:t>
      </w:r>
      <w:r>
        <w:rPr>
          <w:rFonts w:ascii="Times New Roman" w:hAnsi="Times New Roman"/>
          <w:sz w:val="20"/>
        </w:rPr>
        <w:t xml:space="preserve">.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Rule</w:t>
      </w:r>
      <w:r>
        <w:rPr>
          <w:rFonts w:ascii="Times New Roman" w:hAnsi="Times New Roman"/>
          <w:sz w:val="20"/>
        </w:rPr>
        <w:t> </w:t>
      </w:r>
      <w:r>
        <w:rPr>
          <w:rFonts w:ascii="Times New Roman" w:hAnsi="Times New Roman"/>
          <w:i/>
          <w:sz w:val="20"/>
        </w:rPr>
        <w:t>158</w:t>
      </w:r>
      <w:r>
        <w:rPr>
          <w:rFonts w:ascii="Times New Roman" w:hAnsi="Times New Roman"/>
          <w:sz w:val="20"/>
        </w:rPr>
        <w:t xml:space="preserve">.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commercially reasonable best efforts to maintain the listing of the Common Stock (including the Securities) on the New York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DTC. </w:t>
      </w:r>
      <w:r>
        <w:rPr>
          <w:rFonts w:ascii="Times New Roman" w:hAnsi="Times New Roman"/>
          <w:sz w:val="20"/>
        </w:rPr>
        <w:t xml:space="preserve">The Company will cooperate with the Sales Agent and use its commercially reasonable efforts to permit the offered Securities to be eligible for clearance and settlement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 OFAC</w:t>
      </w:r>
      <w:r>
        <w:rPr>
          <w:rFonts w:ascii="Times New Roman" w:hAnsi="Times New Roman"/>
          <w:sz w:val="20"/>
        </w:rPr>
        <w:t xml:space="preserve">. The Company will use the net proceeds received by it from the sale of the Securities in the manner specified 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Business Development Company Status</w:t>
      </w:r>
      <w:r>
        <w:rPr>
          <w:rFonts w:ascii="Times New Roman" w:hAnsi="Times New Roman"/>
          <w:sz w:val="20"/>
        </w:rPr>
        <w:t xml:space="preserve">.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Regulated Investment Company Status</w:t>
      </w:r>
      <w:r>
        <w:rPr>
          <w:rFonts w:ascii="Times New Roman" w:hAnsi="Times New Roman"/>
          <w:sz w:val="20"/>
        </w:rPr>
        <w:t xml:space="preserve">.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Accounting Controls</w:t>
      </w:r>
      <w:r>
        <w:rPr>
          <w:rFonts w:ascii="Times New Roman" w:hAnsi="Times New Roman"/>
          <w:sz w:val="20"/>
        </w:rPr>
        <w:t xml:space="preserve">.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Disclosure Controls</w:t>
      </w:r>
      <w:r>
        <w:rPr>
          <w:rFonts w:ascii="Times New Roman" w:hAnsi="Times New Roman"/>
          <w:sz w:val="20"/>
        </w:rPr>
        <w:t xml:space="preserve">.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Matters. </w:t>
      </w:r>
      <w:r>
        <w:rPr>
          <w:rFonts w:ascii="Times New Roman" w:hAnsi="Times New Roman"/>
          <w:sz w:val="20"/>
        </w:rPr>
        <w:t xml:space="preserve">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 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and the Prior Agreement, in an aggregate amount of $40,000 in connection with the initial launch of the at the market offering,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Sales Agents Obligations</w:t>
      </w:r>
      <w:r>
        <w:rPr>
          <w:rFonts w:ascii="Times New Roman" w:hAnsi="Times New Roman"/>
          <w:sz w:val="20"/>
        </w:rPr>
        <w:t xml:space="preserve">.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the Company, the Adviser and the Administrator</w:t>
      </w:r>
      <w:r>
        <w:rPr>
          <w:rFonts w:ascii="Times New Roman" w:hAnsi="Times New Roman"/>
          <w:sz w:val="20"/>
        </w:rPr>
        <w:t xml:space="preserve">. Within five business 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the Sales Agent</w:t>
      </w:r>
      <w:r>
        <w:rPr>
          <w:rFonts w:ascii="Times New Roman" w:hAnsi="Times New Roman"/>
          <w:sz w:val="20"/>
        </w:rPr>
        <w:t xml:space="preserve">. Within five business days after each Representation Date, the Sales Agent shall have received 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hAnsi="Times New Roman"/>
          <w:sz w:val="20"/>
          <w:u w:val="single"/>
        </w:rPr>
        <w:t>Section 1(a)</w:t>
      </w:r>
      <w:r>
        <w:rPr>
          <w:rFonts w:ascii="Times New Roman" w:hAnsi="Times New Roman"/>
          <w:sz w:val="20"/>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hAnsi="Times New Roman"/>
          <w:sz w:val="20"/>
          <w:u w:val="single"/>
        </w:rPr>
        <w:t>Section 1(b)</w:t>
      </w:r>
      <w:r>
        <w:rPr>
          <w:rFonts w:ascii="Times New Roman" w:hAnsi="Times New Roman"/>
          <w:sz w:val="20"/>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Within five business days after each Representation Date, the 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Additional Documents</w:t>
      </w:r>
      <w:r>
        <w:rPr>
          <w:rFonts w:ascii="Times New Roman" w:hAnsi="Times New Roman"/>
          <w:sz w:val="20"/>
        </w:rPr>
        <w:t xml:space="preserve">. Within five business days after each Representation Date, counsel for the Sales Agent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Sales Agent by the Company, the Adviser and the Administrator</w:t>
      </w:r>
      <w:r>
        <w:rPr>
          <w:rFonts w:ascii="Times New Roman" w:hAnsi="Times New Roman"/>
          <w:sz w:val="20"/>
        </w:rPr>
        <w:t xml:space="preserve">. The Company, the Adviser and the 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hAnsi="Times New Roman"/>
          <w:sz w:val="20"/>
          <w:u w:val="single"/>
        </w:rPr>
        <w:t>Section 6(d)</w:t>
      </w:r>
      <w:r>
        <w:rPr>
          <w:rFonts w:ascii="Times New Roman" w:hAnsi="Times New Roman"/>
          <w:sz w:val="20"/>
        </w:rPr>
        <w:t xml:space="preserve"> below)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Officers, Adviser and Administrator</w:t>
      </w:r>
      <w:r>
        <w:rPr>
          <w:rFonts w:ascii="Times New Roman" w:hAnsi="Times New Roman"/>
          <w:sz w:val="20"/>
        </w:rPr>
        <w:t xml:space="preserve">. The Sales Agent 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hAnsi="Times New Roman"/>
          <w:sz w:val="20"/>
          <w:u w:val="single"/>
        </w:rPr>
        <w:t>Section 6(a)</w:t>
      </w:r>
      <w:r>
        <w:rPr>
          <w:rFonts w:ascii="Times New Roman" w:hAnsi="Times New Roman"/>
          <w:sz w:val="20"/>
        </w:rPr>
        <w:t xml:space="preserve"> above, counsel to the indemnified parties shall be selected by the Sales Agent,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case of parties indemnified pursuant to </w:t>
      </w:r>
      <w:r>
        <w:rPr>
          <w:rFonts w:ascii="Times New Roman" w:hAnsi="Times New Roman"/>
          <w:sz w:val="20"/>
          <w:u w:val="single"/>
        </w:rPr>
        <w:t>Section 6(b)</w:t>
      </w:r>
      <w:r>
        <w:rPr>
          <w:rFonts w:ascii="Times New Roman" w:hAnsi="Times New Roman"/>
          <w:sz w:val="20"/>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hAnsi="Times New Roman"/>
          <w:sz w:val="20"/>
          <w:u w:val="single"/>
        </w:rPr>
        <w:t>Section 6(a)(ii)</w:t>
      </w:r>
      <w:r>
        <w:rPr>
          <w:rFonts w:ascii="Times New Roman" w:hAnsi="Times New Roman"/>
          <w:sz w:val="20"/>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w:t>
      </w:r>
      <w:r>
        <w:rPr>
          <w:rFonts w:ascii="Times New Roman" w:hAnsi="Times New Roman"/>
          <w:sz w:val="20"/>
          <w:u w:val="single"/>
        </w:rPr>
        <w:t>Section 6</w:t>
      </w:r>
      <w:r>
        <w:rPr>
          <w:rFonts w:ascii="Times New Roman" w:hAnsi="Times New Roman"/>
          <w:sz w:val="20"/>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Adviser, the Administrator and the Sales Agent agree that it would not be just and equitable if contribution pursuant to this </w:t>
      </w:r>
      <w:r>
        <w:rPr>
          <w:rFonts w:ascii="Times New Roman" w:hAnsi="Times New Roman"/>
          <w:sz w:val="20"/>
          <w:u w:val="single"/>
        </w:rPr>
        <w:t>Section 7</w:t>
      </w:r>
      <w:r>
        <w:rPr>
          <w:rFonts w:ascii="Times New Roman" w:hAnsi="Times New Roman"/>
          <w:sz w:val="20"/>
        </w:rPr>
        <w:t xml:space="preserve"> were determined by pro rata allocation or by any other method of allocation which does not take account of the equitable considerations referred to above in this </w:t>
      </w:r>
      <w:r>
        <w:rPr>
          <w:rFonts w:ascii="Times New Roman" w:hAnsi="Times New Roman"/>
          <w:sz w:val="20"/>
          <w:u w:val="single"/>
        </w:rPr>
        <w:t>Section 7</w:t>
      </w:r>
      <w:r>
        <w:rPr>
          <w:rFonts w:ascii="Times New Roman" w:hAnsi="Times New Roman"/>
          <w:sz w:val="20"/>
        </w:rPr>
        <w:t xml:space="preserve">. The aggregate amount of losses, liabilities, claims, damages and expenses incurred by an indemnified party and referred to above in this </w:t>
      </w:r>
      <w:r>
        <w:rPr>
          <w:rFonts w:ascii="Times New Roman" w:hAnsi="Times New Roman"/>
          <w:sz w:val="20"/>
          <w:u w:val="single"/>
        </w:rPr>
        <w:t>Section 7</w:t>
      </w:r>
      <w:r>
        <w:rPr>
          <w:rFonts w:ascii="Times New Roman" w:hAnsi="Times New Roman"/>
          <w:sz w:val="20"/>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7</w:t>
      </w:r>
      <w:r>
        <w:rPr>
          <w:rFonts w:ascii="Times New Roman" w:hAnsi="Times New Roman"/>
          <w:sz w:val="20"/>
        </w:rPr>
        <w:t xml:space="preserve">, the Sales Agent shall not be required to contribute any amount in excess of the commissions received by the Sales Agent in connection with the Securities sold by it.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w:t>
      </w:r>
      <w:r>
        <w:rPr>
          <w:rFonts w:ascii="Times New Roman" w:hAnsi="Times New Roman"/>
          <w:sz w:val="20"/>
        </w:rPr>
        <w:t xml:space="preserve">,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 by the Company, the Adviser and the Administrator</w:t>
      </w:r>
      <w:r>
        <w:rPr>
          <w:rFonts w:ascii="Times New Roman" w:hAnsi="Times New Roman"/>
          <w:sz w:val="20"/>
        </w:rPr>
        <w:t xml:space="preserve">. The Company, the Adviser and the Administrator may terminate this Agreement, by giving one day advance notice to the Sales Agent, at any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Sales Agent</w:t>
      </w:r>
      <w:r>
        <w:rPr>
          <w:rFonts w:ascii="Times New Roman" w:hAnsi="Times New Roman"/>
          <w:sz w:val="20"/>
        </w:rPr>
        <w:t xml:space="preserve">. The Sales Agent may terminate this Agreement, by giving one day advance notice to the Company, at 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provided 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6, 7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w:t>
      </w:r>
      <w:r>
        <w:rPr>
          <w:rFonts w:ascii="Times New Roman" w:hAnsi="Times New Roman"/>
          <w:sz w:val="20"/>
          <w:u w:val="single"/>
        </w:rPr>
        <w:t xml:space="preserve"> 14</w:t>
      </w:r>
      <w:r>
        <w:rPr>
          <w:rFonts w:ascii="Times New Roman" w:hAnsi="Times New Roman"/>
          <w:sz w:val="20"/>
        </w:rPr>
        <w:t>,</w:t>
      </w:r>
      <w:r>
        <w:rPr>
          <w:rFonts w:ascii="Times New Roman" w:hAnsi="Times New Roman"/>
          <w:sz w:val="20"/>
          <w:u w:val="single"/>
        </w:rPr>
        <w:t xml:space="preserve"> 15</w:t>
      </w:r>
      <w:r>
        <w:rPr>
          <w:rFonts w:ascii="Times New Roman" w:hAnsi="Times New Roman"/>
          <w:sz w:val="20"/>
        </w:rPr>
        <w:t xml:space="preserve"> and </w:t>
      </w:r>
      <w:r>
        <w:rPr>
          <w:rFonts w:ascii="Times New Roman" w:hAnsi="Times New Roman"/>
          <w:sz w:val="20"/>
          <w:u w:val="single"/>
        </w:rPr>
        <w:t>16</w:t>
      </w:r>
      <w:r>
        <w:rPr>
          <w:rFonts w:ascii="Times New Roman" w:hAnsi="Times New Roman"/>
          <w:sz w:val="20"/>
        </w:rPr>
        <w:t xml:space="preserve">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 Joint Venture</w:t>
      </w:r>
      <w:r>
        <w:rPr>
          <w:rFonts w:ascii="Times New Roman" w:hAnsi="Times New Roman"/>
          <w:sz w:val="20"/>
        </w:rPr>
        <w:t xml:space="preserve">.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Sales Agent shall be directed to Raymond James &amp; Associates, Inc. at 880 Carillon Parkway, St. Petersburg, Florida 33716, GEIBLegal@raymondjames.com, Attention: Larry M. Herman, Managing Director/Financial Services Investment Banking and Thomas Donegan, General Counsel/Global Equities &amp; Investment Banking,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2"/>
        <w:gridCol w:w="101"/>
        <w:gridCol w:w="3339"/>
      </w:tblGrid>
      <w:tr>
        <w:trPr/>
        <w:tc>
          <w:tcPr>
            <w:tcW w:w="6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 RATE CAPITAL LTD.</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6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 xml:space="preserve">Name: Arthur H. Penn </w:t>
            </w:r>
          </w:p>
        </w:tc>
      </w:tr>
      <w:tr>
        <w:trPr/>
        <w:tc>
          <w:tcPr>
            <w:tcW w:w="6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ADVISERS, LLC</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vAlign w:val="bottom"/>
          </w:tcPr>
          <w:p>
            <w:pPr>
              <w:pStyle w:val="TableContents"/>
              <w:bidi w:val="0"/>
              <w:spacing w:before="0" w:after="283"/>
              <w:jc w:val="left"/>
              <w:rPr/>
            </w:pPr>
            <w:r>
              <w:rPr/>
              <w:t>/s/ Arthur H. Penn</w:t>
            </w:r>
          </w:p>
        </w:tc>
      </w:tr>
      <w:tr>
        <w:trPr/>
        <w:tc>
          <w:tcPr>
            <w:tcW w:w="6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 xml:space="preserve">Name: Arthur H. Penn </w:t>
            </w:r>
          </w:p>
        </w:tc>
      </w:tr>
      <w:tr>
        <w:trPr/>
        <w:tc>
          <w:tcPr>
            <w:tcW w:w="6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ADMINISTRATION, LLC</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vAlign w:val="bottom"/>
          </w:tcPr>
          <w:p>
            <w:pPr>
              <w:pStyle w:val="TableContents"/>
              <w:bidi w:val="0"/>
              <w:spacing w:before="0" w:after="283"/>
              <w:jc w:val="left"/>
              <w:rPr/>
            </w:pPr>
            <w:r>
              <w:rPr/>
              <w:t xml:space="preserve">/s/ Arthur H. Penn </w:t>
            </w:r>
          </w:p>
        </w:tc>
      </w:tr>
      <w:tr>
        <w:trPr/>
        <w:tc>
          <w:tcPr>
            <w:tcW w:w="6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 xml:space="preserve">Name: Arthur H. Penn </w:t>
            </w:r>
          </w:p>
        </w:tc>
      </w:tr>
      <w:tr>
        <w:trPr/>
        <w:tc>
          <w:tcPr>
            <w:tcW w:w="6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Title: Managing Member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A&amp;R Sales Agreement Raymond James]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2"/>
        <w:gridCol w:w="66"/>
        <w:gridCol w:w="3614"/>
      </w:tblGrid>
      <w:tr>
        <w:trPr/>
        <w:tc>
          <w:tcPr>
            <w:tcW w:w="402"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CONFIRMED AND ACCEPTED,</w:t>
              <w:br/>
              <w:t>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614"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Larry Herman</w:t>
            </w:r>
          </w:p>
        </w:tc>
      </w:tr>
      <w:tr>
        <w:trPr/>
        <w:tc>
          <w:tcPr>
            <w:tcW w:w="402"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Name: Larry Herman</w:t>
            </w:r>
          </w:p>
        </w:tc>
      </w:tr>
      <w:tr>
        <w:trPr/>
        <w:tc>
          <w:tcPr>
            <w:tcW w:w="402"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A&amp;R Sales Agreement Raymond James]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Ltd.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bidi w:val="0"/>
        <w:spacing w:before="0" w:after="0"/>
        <w:jc w:val="left"/>
        <w:rPr>
          <w:rFonts w:ascii="Times New Roman" w:hAnsi="Times New Roman"/>
          <w:sz w:val="20"/>
        </w:rPr>
      </w:pPr>
      <w:r>
        <w:rPr>
          <w:rFonts w:ascii="Times New Roman" w:hAnsi="Times New Roman"/>
          <w:sz w:val="20"/>
        </w:rPr>
        <w:t xml:space="preserve">PFLT Investment Holdings,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left"/>
        <w:rPr>
          <w:rFonts w:ascii="Times New Roman" w:hAnsi="Times New Roman"/>
          <w:b/>
          <w:sz w:val="20"/>
        </w:rPr>
      </w:pPr>
      <w:r>
        <w:rPr>
          <w:rFonts w:ascii="Times New Roman" w:hAnsi="Times New Roman"/>
          <w:b/>
          <w:sz w:val="20"/>
        </w:rPr>
        <w:t xml:space="preserve">Company Authorized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Arthur H. Penn </w:t>
      </w:r>
    </w:p>
    <w:p>
      <w:pPr>
        <w:pStyle w:val="TextBody"/>
        <w:bidi w:val="0"/>
        <w:spacing w:before="0" w:after="0"/>
        <w:jc w:val="left"/>
        <w:rPr>
          <w:rFonts w:ascii="Times New Roman" w:hAnsi="Times New Roman"/>
          <w:sz w:val="20"/>
        </w:rPr>
      </w:pPr>
      <w:r>
        <w:rPr>
          <w:rFonts w:ascii="Times New Roman" w:hAnsi="Times New Roman"/>
          <w:sz w:val="20"/>
        </w:rPr>
        <w:t xml:space="preserve">Richard Allorto </w:t>
      </w:r>
    </w:p>
    <w:p>
      <w:pPr>
        <w:pStyle w:val="TextBody"/>
        <w:bidi w:val="0"/>
        <w:spacing w:before="240" w:after="0"/>
        <w:jc w:val="left"/>
        <w:rPr>
          <w:rFonts w:ascii="Times New Roman" w:hAnsi="Times New Roman"/>
          <w:b/>
          <w:sz w:val="20"/>
        </w:rPr>
      </w:pPr>
      <w:r>
        <w:rPr>
          <w:rFonts w:ascii="Times New Roman" w:hAnsi="Times New Roman"/>
          <w:b/>
          <w:sz w:val="20"/>
        </w:rPr>
        <w:t xml:space="preserve">Sales Agent Authorized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Jeff Fordham </w:t>
      </w:r>
    </w:p>
    <w:p>
      <w:pPr>
        <w:pStyle w:val="TextBody"/>
        <w:bidi w:val="0"/>
        <w:spacing w:before="0" w:after="0"/>
        <w:jc w:val="left"/>
        <w:rPr>
          <w:rFonts w:ascii="Times New Roman" w:hAnsi="Times New Roman"/>
          <w:sz w:val="20"/>
        </w:rPr>
      </w:pPr>
      <w:r>
        <w:rPr>
          <w:rFonts w:ascii="Times New Roman" w:hAnsi="Times New Roman"/>
          <w:sz w:val="20"/>
        </w:rPr>
        <w:t xml:space="preserve">Jeanna Bryan </w:t>
      </w:r>
    </w:p>
    <w:p>
      <w:pPr>
        <w:pStyle w:val="TextBody"/>
        <w:bidi w:val="0"/>
        <w:spacing w:before="0" w:after="0"/>
        <w:jc w:val="right"/>
        <w:rPr>
          <w:rFonts w:ascii="Times New Roman" w:hAnsi="Times New Roman"/>
          <w:b/>
          <w:sz w:val="20"/>
        </w:rPr>
      </w:pPr>
      <w:bookmarkStart w:id="6" w:name="d511427dex13.htm"/>
      <w:bookmarkStart w:id="7" w:name="ksd511427dex13"/>
      <w:bookmarkEnd w:id="6"/>
      <w:bookmarkEnd w:id="7"/>
      <w:r>
        <w:rPr>
          <w:rFonts w:ascii="Times New Roman" w:hAnsi="Times New Roman"/>
          <w:b/>
          <w:sz w:val="20"/>
        </w:rPr>
        <w:t xml:space="preserve">Exhibit 1.3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PENNANTPARK FLOATING RATE CAPITAL LTD. </w:t>
      </w:r>
    </w:p>
    <w:p>
      <w:pPr>
        <w:pStyle w:val="TextBody"/>
        <w:bidi w:val="0"/>
        <w:spacing w:before="240" w:after="0"/>
        <w:jc w:val="center"/>
        <w:rPr>
          <w:rFonts w:ascii="Times New Roman" w:hAnsi="Times New Roman"/>
          <w:sz w:val="20"/>
        </w:rPr>
      </w:pPr>
      <w:r>
        <w:rPr>
          <w:rFonts w:ascii="Times New Roman" w:hAnsi="Times New Roman"/>
          <w:sz w:val="20"/>
        </w:rPr>
        <w:t xml:space="preserve">(a Maryland corporation) </w:t>
      </w:r>
    </w:p>
    <w:p>
      <w:pPr>
        <w:pStyle w:val="TextBody"/>
        <w:bidi w:val="0"/>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AMENDED AND RESTATED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EQUITY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11, 2023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PENNANTPARK FLOATING RATE CAPITAL LTD. </w:t>
      </w:r>
    </w:p>
    <w:p>
      <w:pPr>
        <w:pStyle w:val="TextBody"/>
        <w:bidi w:val="0"/>
        <w:spacing w:before="120" w:after="0"/>
        <w:jc w:val="center"/>
        <w:rPr>
          <w:rFonts w:ascii="Times New Roman" w:hAnsi="Times New Roman"/>
          <w:sz w:val="20"/>
        </w:rPr>
      </w:pPr>
      <w:r>
        <w:rPr>
          <w:rFonts w:ascii="Times New Roman" w:hAnsi="Times New Roman"/>
          <w:sz w:val="20"/>
        </w:rPr>
        <w:t xml:space="preserve">(a Maryland corporation) </w:t>
      </w:r>
    </w:p>
    <w:p>
      <w:pPr>
        <w:pStyle w:val="TextBody"/>
        <w:bidi w:val="0"/>
        <w:spacing w:before="120" w:after="0"/>
        <w:jc w:val="center"/>
        <w:rPr>
          <w:rFonts w:ascii="Times New Roman" w:hAnsi="Times New Roman"/>
          <w:sz w:val="20"/>
        </w:rPr>
      </w:pPr>
      <w:r>
        <w:rPr>
          <w:rFonts w:ascii="Times New Roman" w:hAnsi="Times New Roman"/>
          <w:sz w:val="20"/>
        </w:rPr>
        <w:t xml:space="preserve">Common Stock, Par Value $0.001 Per Share </w:t>
      </w:r>
    </w:p>
    <w:p>
      <w:pPr>
        <w:pStyle w:val="TextBody"/>
        <w:bidi w:val="0"/>
        <w:spacing w:before="120" w:after="0"/>
        <w:jc w:val="center"/>
        <w:rPr>
          <w:rFonts w:ascii="Times New Roman" w:hAnsi="Times New Roman"/>
          <w:sz w:val="20"/>
        </w:rPr>
      </w:pPr>
      <w:r>
        <w:rPr>
          <w:rFonts w:ascii="Times New Roman" w:hAnsi="Times New Roman"/>
          <w:sz w:val="20"/>
        </w:rPr>
        <w:t xml:space="preserve">AMENDED AND RESTATED </w:t>
      </w:r>
    </w:p>
    <w:p>
      <w:pPr>
        <w:pStyle w:val="TextBody"/>
        <w:bidi w:val="0"/>
        <w:spacing w:before="0" w:after="0"/>
        <w:jc w:val="center"/>
        <w:rPr>
          <w:rFonts w:ascii="Times New Roman" w:hAnsi="Times New Roman"/>
          <w:sz w:val="20"/>
        </w:rPr>
      </w:pPr>
      <w:r>
        <w:rPr>
          <w:rFonts w:ascii="Times New Roman" w:hAnsi="Times New Roman"/>
          <w:sz w:val="20"/>
        </w:rPr>
        <w:t xml:space="preserve">EQUITY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3333 Peachtree Road, NE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Truist Securities, Inc. (the Sales Agent) with respect to the sale by the Company of shares of common stock, par value $0.001 per share, of the Company (Common Stock), having an aggregate offering price of up to $250 million. The shares of Common Stock to be sold by the Sales Agent are herein called, collectively, the Securities. This Amended and Restated Equity Distribution Agreement (this Agreement) amends and restates in its entirety the Equity Distribution Agreement, dated as of March 31, 2023 (the Prior Agreement), by and among the Company, the Adviser, the Administrator and the Sales Agent. The Company, the Adviser and the Administrator have also entered into agreements (collectively the Sales Agreement) in substantially similar form to this Agreement, dated of even date herewith, with Citizens JMP Securities, LLC and Raymond James &amp; Associates, Inc. (each, an Other Agent), which amend and restate the equity distribution agreements, dated March 31, 2023, between the Company, the Adviser, the Administrator and each Other Agent (collectively, the Prior Sales Agreement). The aggregate amount of Securities that may be sold collectively pursuant to this Agreement and the Sales Agreement together with any Securities sold pursuant to the Prior Agreement and the Prior Sales Agreement shall not exceed the lesser of $250 million and the dollar amount of Securities permitted to be sold under the Registration Statement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333-268813), relating to the registration of the Securities and certain of the Companys other securities under the Securities Act of 1933, as amended (the 1933 Act), which registration statement was most declared effective by the Commission on January 9, 2023. The Company has also filed with the Commission a prospectus supplement, dated the date hereof, as such prospectus supplement may be amended (the Prospectus), which contains a base prospectus, dated January 9, 2023,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 </w:t>
      </w:r>
    </w:p>
    <w:p>
      <w:pPr>
        <w:pStyle w:val="TextBody"/>
        <w:bidi w:val="0"/>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that certain Second Amended and Restated Investment Advisory Agreement, dated as of February 2, 2016 (the Investment Management Agreement), with the Adviser. The Company has entered into that certain Amended and Restated Administration Agreement, dated as of July 1, 2022 (the Administration Agreement), with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Applicable Time means the time of each sale of the applicable Securities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Issuer Free Writing Prospectus</w:t>
      </w:r>
      <w:r>
        <w:rPr>
          <w:rFonts w:ascii="Times New Roman" w:hAnsi="Times New Roman"/>
          <w:sz w:val="20"/>
        </w:rPr>
        <w:t xml:space="preserve">.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Prospectus, when they were filed or when they will be filed with the Commission, as the case may be, conformed or will conform in all material respects to the requirements of the 1934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Subsidiaries of the Company; Portfolio Companies</w:t>
      </w:r>
      <w:r>
        <w:rPr>
          <w:rFonts w:ascii="Times New Roman" w:hAnsi="Times New Roman"/>
          <w:sz w:val="20"/>
        </w:rPr>
        <w:t>. The Companys only subsidiaries that were consolidated with the Company for financial reporting purposes under GAAP as of June 30, 2023 are those listed on</w:t>
      </w:r>
      <w:r>
        <w:rPr>
          <w:rFonts w:ascii="Times New Roman" w:hAnsi="Times New Roman"/>
          <w:sz w:val="20"/>
          <w:u w:val="single"/>
        </w:rPr>
        <w:t xml:space="preserve"> Schedule A</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Capitalization</w:t>
      </w:r>
      <w:r>
        <w:rPr>
          <w:rFonts w:ascii="Times New Roman" w:hAnsi="Times New Roman"/>
          <w:sz w:val="20"/>
        </w:rPr>
        <w:t xml:space="preserve">. The authorized shares of capital stock of the Company are as set forth in the Registration Statement and the Prospectus under the caption Description of Our Capital Stock. The total issued and outstanding shares of capital stock of the Company as of June 30, 2023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and Description of Securities</w:t>
      </w:r>
      <w:r>
        <w:rPr>
          <w:rFonts w:ascii="Times New Roman" w:hAnsi="Times New Roman"/>
          <w:sz w:val="20"/>
        </w:rPr>
        <w:t xml:space="preserve">.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Employees</w:t>
      </w:r>
      <w:r>
        <w:rPr>
          <w:rFonts w:ascii="Times New Roman" w:hAnsi="Times New Roman"/>
          <w:sz w:val="20"/>
        </w:rPr>
        <w:t xml:space="preserve">. Neither the Company nor any of the Subsidiaries has any employees.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2022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Foreign Corrupt Practices Act</w:t>
      </w:r>
      <w:r>
        <w:rPr>
          <w:rFonts w:ascii="Times New Roman" w:hAnsi="Times New Roman"/>
          <w:sz w:val="20"/>
        </w:rPr>
        <w:t xml:space="preserve">.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Anti-Money Laundering Laws</w:t>
      </w:r>
      <w:r>
        <w:rPr>
          <w:rFonts w:ascii="Times New Roman" w:hAnsi="Times New Roman"/>
          <w:sz w:val="20"/>
        </w:rPr>
        <w:t xml:space="preserve">.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OFAC</w:t>
      </w:r>
      <w:r>
        <w:rPr>
          <w:rFonts w:ascii="Times New Roman" w:hAnsi="Times New Roman"/>
          <w:sz w:val="20"/>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pStyle w:val="TextBody"/>
        <w:bidi w:val="0"/>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Lending Relationship</w:t>
      </w:r>
      <w:r>
        <w:rPr>
          <w:rFonts w:ascii="Times New Roman" w:hAnsi="Times New Roman"/>
          <w:sz w:val="20"/>
        </w:rPr>
        <w:t xml:space="preserve">.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 </w:t>
      </w:r>
    </w:p>
    <w:p>
      <w:pPr>
        <w:pStyle w:val="TextBody"/>
        <w:bidi w:val="0"/>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or the Prospectus which have not been described as required. </w:t>
      </w:r>
    </w:p>
    <w:p>
      <w:pPr>
        <w:pStyle w:val="TextBody"/>
        <w:bidi w:val="0"/>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Management Agreement and Administration Agreement</w:t>
      </w:r>
      <w:r>
        <w:rPr>
          <w:rFonts w:ascii="Times New Roman" w:hAnsi="Times New Roman"/>
          <w:sz w:val="20"/>
        </w:rPr>
        <w:t xml:space="preserve">.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Interested Persons</w:t>
      </w:r>
      <w:r>
        <w:rPr>
          <w:rFonts w:ascii="Times New Roman" w:hAnsi="Times New Roman"/>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 </w:t>
      </w:r>
    </w:p>
    <w:p>
      <w:pPr>
        <w:pStyle w:val="TextBody"/>
        <w:bidi w:val="0"/>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bidi w:val="0"/>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intends to direct the investment of the proceeds of the offering of the Securities in a manner as to comply with the requirements of Subchapter M of the Code. </w:t>
      </w:r>
    </w:p>
    <w:p>
      <w:pPr>
        <w:pStyle w:val="TextBody"/>
        <w:bidi w:val="0"/>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 by the Adviser and the Administrator</w:t>
      </w:r>
      <w:r>
        <w:rPr>
          <w:rFonts w:ascii="Times New Roman" w:hAnsi="Times New Roman"/>
          <w:sz w:val="20"/>
        </w:rPr>
        <w:t xml:space="preserve">. The Adviser and the Administrator, jointly and severally, represent to the Sales Agent as of the date hereof, the Applicable Time, each Representation Date (as defined below) and any Date of Delivery (as defined below), and agrees with the Sales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or the Prospectus, there has been no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each of the Adviser and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 and Administration Agreement</w:t>
      </w:r>
      <w:r>
        <w:rPr>
          <w:rFonts w:ascii="Times New Roman" w:hAnsi="Times New Roman"/>
          <w:sz w:val="20"/>
        </w:rPr>
        <w:t xml:space="preserve">.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 and Administrator</w:t>
      </w:r>
      <w:r>
        <w:rPr>
          <w:rFonts w:ascii="Times New Roman" w:hAnsi="Times New Roman"/>
          <w:sz w:val="20"/>
        </w:rPr>
        <w:t xml:space="preserve">.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Foreign Corrupt Practices Act</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Anti-Money Laundering Laws</w:t>
      </w:r>
      <w:r>
        <w:rPr>
          <w:rFonts w:ascii="Times New Roman" w:hAnsi="Times New Roman"/>
          <w:sz w:val="20"/>
        </w:rPr>
        <w:t xml:space="preserve">.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OFAC</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Each of the Adviser and the Administrator has the financial resources available to it necessary for the performance of its services and obligations as contemplated by the Registration Statement, the Prospectus and the Investment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Certificates</w:t>
      </w:r>
      <w:r>
        <w:rPr>
          <w:rFonts w:ascii="Times New Roman" w:hAnsi="Times New Roman"/>
          <w:sz w:val="20"/>
        </w:rPr>
        <w:t xml:space="preserve">. Any certificate signed by any officer of the Company, any of the Subsidiaries, the Adviser or the Administrator delivered to the Sales Agent or to counsel for the Sales Agent shall be deemed a representation and warranty by the Company, the Adviser or the Administrator, as applicable, to the Sales Agent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 </w:t>
      </w:r>
    </w:p>
    <w:p>
      <w:pPr>
        <w:pStyle w:val="TextBody"/>
        <w:bidi w:val="0"/>
        <w:spacing w:before="120" w:after="0"/>
        <w:jc w:val="left"/>
        <w:rPr>
          <w:rFonts w:ascii="Times New Roman" w:hAnsi="Times New Roman"/>
          <w:sz w:val="20"/>
        </w:rPr>
      </w:pPr>
      <w:r>
        <w:rPr>
          <w:rFonts w:ascii="Times New Roman" w:hAnsi="Times New Roman"/>
          <w:sz w:val="20"/>
        </w:rPr>
        <w:t xml:space="preserve">(i) 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hAnsi="Times New Roman"/>
          <w:sz w:val="20"/>
          <w:u w:val="single"/>
        </w:rPr>
        <w:t>Section 2(a)(ii)</w:t>
      </w:r>
      <w:r>
        <w:rPr>
          <w:rFonts w:ascii="Times New Roman" w:hAnsi="Times New Roman"/>
          <w:sz w:val="20"/>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Times New Roman" w:hAnsi="Times New Roman"/>
          <w:sz w:val="20"/>
          <w:u w:val="single"/>
        </w:rPr>
        <w:t>Section 9</w:t>
      </w:r>
      <w:r>
        <w:rPr>
          <w:rFonts w:ascii="Times New Roman" w:hAnsi="Times New Roman"/>
          <w:sz w:val="20"/>
        </w:rPr>
        <w:t xml:space="preserve">.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(iii) The Sales Agent hereby covenants and agrees not to make any sales of the Securities on behalf of the Company, pursuant to this </w:t>
      </w:r>
      <w:r>
        <w:rPr>
          <w:rFonts w:ascii="Times New Roman" w:hAnsi="Times New Roman"/>
          <w:sz w:val="20"/>
          <w:u w:val="single"/>
        </w:rPr>
        <w:t>Section 2(a)</w:t>
      </w:r>
      <w:r>
        <w:rPr>
          <w:rFonts w:ascii="Times New Roman" w:hAnsi="Times New Roman"/>
          <w:sz w:val="20"/>
        </w:rPr>
        <w:t xml:space="preserve">, other than (A) by means of At the Market Offerings and (B) such other sales of the Securities on behalf of the Company in its capacity as agent of the Company as shall be agreed by the Company and the Sales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hAnsi="Times New Roman"/>
          <w:sz w:val="20"/>
          <w:u w:val="single"/>
        </w:rPr>
        <w:t>Section 2(a)</w:t>
      </w:r>
      <w:r>
        <w:rPr>
          <w:rFonts w:ascii="Times New Roman" w:hAnsi="Times New Roman"/>
          <w:sz w:val="20"/>
        </w:rPr>
        <w:t xml:space="preserve">.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 </w:t>
      </w:r>
    </w:p>
    <w:p>
      <w:pPr>
        <w:pStyle w:val="TextBody"/>
        <w:bidi w:val="0"/>
        <w:spacing w:before="120" w:after="0"/>
        <w:jc w:val="left"/>
        <w:rPr>
          <w:rFonts w:ascii="Times New Roman" w:hAnsi="Times New Roman"/>
          <w:sz w:val="20"/>
        </w:rPr>
      </w:pPr>
      <w:r>
        <w:rPr>
          <w:rFonts w:ascii="Times New Roman" w:hAnsi="Times New Roman"/>
          <w:sz w:val="20"/>
        </w:rPr>
        <w:t xml:space="preserve">(v) The Sales Agent shall provide written confirmation to the Company as soon as practicable following the close of trading on the New York Stock Exchange each day on which the Securities are sold under this </w:t>
      </w:r>
      <w:r>
        <w:rPr>
          <w:rFonts w:ascii="Times New Roman" w:hAnsi="Times New Roman"/>
          <w:sz w:val="20"/>
          <w:u w:val="single"/>
        </w:rPr>
        <w:t>Section 2(a)</w:t>
      </w:r>
      <w:r>
        <w:rPr>
          <w:rFonts w:ascii="Times New Roman" w:hAnsi="Times New Roman"/>
          <w:sz w:val="20"/>
        </w:rPr>
        <w:t xml:space="preserve"> setting forth the aggregate amount of the Securities sold on such day, the aggregate Net Proceeds to the Company, and the aggregate compensation payable by the Company to the Sales Agent with respect to such sales. </w:t>
      </w:r>
    </w:p>
    <w:p>
      <w:pPr>
        <w:pStyle w:val="TextBody"/>
        <w:bidi w:val="0"/>
        <w:spacing w:before="120" w:after="0"/>
        <w:jc w:val="left"/>
        <w:rPr>
          <w:rFonts w:ascii="Times New Roman" w:hAnsi="Times New Roman"/>
          <w:sz w:val="20"/>
        </w:rPr>
      </w:pPr>
      <w:r>
        <w:rPr>
          <w:rFonts w:ascii="Times New Roman" w:hAnsi="Times New Roman"/>
          <w:sz w:val="20"/>
        </w:rPr>
        <w:t xml:space="preserve">(vi) Settlement for sales of the Securities pursuant to this </w:t>
      </w:r>
      <w:r>
        <w:rPr>
          <w:rFonts w:ascii="Times New Roman" w:hAnsi="Times New Roman"/>
          <w:sz w:val="20"/>
          <w:u w:val="single"/>
        </w:rPr>
        <w:t>Section 2(a)</w:t>
      </w:r>
      <w:r>
        <w:rPr>
          <w:rFonts w:ascii="Times New Roman" w:hAnsi="Times New Roman"/>
          <w:sz w:val="20"/>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hAnsi="Times New Roman"/>
          <w:sz w:val="20"/>
          <w:u w:val="single"/>
        </w:rPr>
        <w:t>Section 2(a)(vi)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hAnsi="Times New Roman"/>
          <w:sz w:val="20"/>
          <w:u w:val="single"/>
        </w:rPr>
        <w:t>Section 3</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wishes to sell the Securities other than as set forth in </w:t>
      </w:r>
      <w:r>
        <w:rPr>
          <w:rFonts w:ascii="Times New Roman" w:hAnsi="Times New Roman"/>
          <w:sz w:val="20"/>
          <w:u w:val="single"/>
        </w:rPr>
        <w:t>Section 2(a)</w:t>
      </w:r>
      <w:r>
        <w:rPr>
          <w:rFonts w:ascii="Times New Roman" w:hAnsi="Times New Roman"/>
          <w:sz w:val="20"/>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hAnsi="Times New Roman"/>
          <w:sz w:val="20"/>
          <w:u w:val="single"/>
        </w:rPr>
        <w:t>Section 5</w:t>
      </w:r>
      <w:r>
        <w:rPr>
          <w:rFonts w:ascii="Times New Roman" w:hAnsi="Times New Roman"/>
          <w:sz w:val="20"/>
        </w:rPr>
        <w:t xml:space="preserve"> hereof and any other information or documents required by the Sales Agent. </w:t>
      </w:r>
    </w:p>
    <w:p>
      <w:pPr>
        <w:pStyle w:val="TextBody"/>
        <w:bidi w:val="0"/>
        <w:spacing w:before="240" w:after="0"/>
        <w:jc w:val="left"/>
        <w:rPr>
          <w:rFonts w:ascii="Times New Roman" w:hAnsi="Times New Roman"/>
          <w:sz w:val="20"/>
        </w:rPr>
      </w:pPr>
      <w:r>
        <w:rPr>
          <w:rFonts w:ascii="Times New Roman" w:hAnsi="Times New Roman"/>
          <w:sz w:val="20"/>
        </w:rPr>
        <w:t xml:space="preserve">(g) 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the Sales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w:t>
      </w:r>
      <w:r>
        <w:rPr>
          <w:rFonts w:ascii="Times New Roman" w:hAnsi="Times New Roman"/>
          <w:sz w:val="20"/>
          <w:u w:val="single"/>
        </w:rPr>
        <w:t>Section 3(c)</w:t>
      </w:r>
      <w:r>
        <w:rPr>
          <w:rFonts w:ascii="Times New Roman" w:hAnsi="Times New Roman"/>
          <w:sz w:val="20"/>
        </w:rPr>
        <w:t xml:space="preserve">,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w:t>
      </w:r>
      <w:r>
        <w:rPr>
          <w:rFonts w:ascii="Times New Roman" w:hAnsi="Times New Roman"/>
          <w:sz w:val="20"/>
        </w:rPr>
        <w:t xml:space="preserve">.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The Company will use its commercially 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Commission Filings</w:t>
      </w:r>
      <w:r>
        <w:rPr>
          <w:rFonts w:ascii="Times New Roman" w:hAnsi="Times New Roman"/>
          <w:sz w:val="20"/>
        </w:rPr>
        <w:t xml:space="preserve">.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Rule</w:t>
      </w:r>
      <w:r>
        <w:rPr>
          <w:rFonts w:ascii="Times New Roman" w:hAnsi="Times New Roman"/>
          <w:sz w:val="20"/>
        </w:rPr>
        <w:t> </w:t>
      </w:r>
      <w:r>
        <w:rPr>
          <w:rFonts w:ascii="Times New Roman" w:hAnsi="Times New Roman"/>
          <w:i/>
          <w:sz w:val="20"/>
        </w:rPr>
        <w:t>158</w:t>
      </w:r>
      <w:r>
        <w:rPr>
          <w:rFonts w:ascii="Times New Roman" w:hAnsi="Times New Roman"/>
          <w:sz w:val="20"/>
        </w:rPr>
        <w:t xml:space="preserve">.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commercially reasonable best efforts to maintain the listing of the Common Stock (including the Securities) on the New York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DTC. </w:t>
      </w:r>
      <w:r>
        <w:rPr>
          <w:rFonts w:ascii="Times New Roman" w:hAnsi="Times New Roman"/>
          <w:sz w:val="20"/>
        </w:rPr>
        <w:t xml:space="preserve">The Company will cooperate with the Sales Agent and use its commercially reasonable efforts to permit the offered Securities to be eligible for clearance and settlement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 OFAC</w:t>
      </w:r>
      <w:r>
        <w:rPr>
          <w:rFonts w:ascii="Times New Roman" w:hAnsi="Times New Roman"/>
          <w:sz w:val="20"/>
        </w:rPr>
        <w:t xml:space="preserve">. The Company will use the net proceeds received by it from the sale of the Securities in the manner specified 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Business Development Company Status</w:t>
      </w:r>
      <w:r>
        <w:rPr>
          <w:rFonts w:ascii="Times New Roman" w:hAnsi="Times New Roman"/>
          <w:sz w:val="20"/>
        </w:rPr>
        <w:t xml:space="preserve">.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Regulated Investment Company Status</w:t>
      </w:r>
      <w:r>
        <w:rPr>
          <w:rFonts w:ascii="Times New Roman" w:hAnsi="Times New Roman"/>
          <w:sz w:val="20"/>
        </w:rPr>
        <w:t xml:space="preserve">.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Accounting Controls</w:t>
      </w:r>
      <w:r>
        <w:rPr>
          <w:rFonts w:ascii="Times New Roman" w:hAnsi="Times New Roman"/>
          <w:sz w:val="20"/>
        </w:rPr>
        <w:t xml:space="preserve">.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Disclosure Controls</w:t>
      </w:r>
      <w:r>
        <w:rPr>
          <w:rFonts w:ascii="Times New Roman" w:hAnsi="Times New Roman"/>
          <w:sz w:val="20"/>
        </w:rPr>
        <w:t xml:space="preserve">.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Matters. </w:t>
      </w:r>
      <w:r>
        <w:rPr>
          <w:rFonts w:ascii="Times New Roman" w:hAnsi="Times New Roman"/>
          <w:sz w:val="20"/>
        </w:rPr>
        <w:t xml:space="preserve">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 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and the Prior Agreement, in an aggregate amount of $40,000 in connection with the initial launch of the at the market offering,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Sales Agents Obligations</w:t>
      </w:r>
      <w:r>
        <w:rPr>
          <w:rFonts w:ascii="Times New Roman" w:hAnsi="Times New Roman"/>
          <w:sz w:val="20"/>
        </w:rPr>
        <w:t xml:space="preserve">.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the Company, the Adviser and the Administrator</w:t>
      </w:r>
      <w:r>
        <w:rPr>
          <w:rFonts w:ascii="Times New Roman" w:hAnsi="Times New Roman"/>
          <w:sz w:val="20"/>
        </w:rPr>
        <w:t xml:space="preserve">. Within five business 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the Sales Agent</w:t>
      </w:r>
      <w:r>
        <w:rPr>
          <w:rFonts w:ascii="Times New Roman" w:hAnsi="Times New Roman"/>
          <w:sz w:val="20"/>
        </w:rPr>
        <w:t xml:space="preserve">. Within five business days after each Representation Date, the Sales Agent shall have received 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hAnsi="Times New Roman"/>
          <w:sz w:val="20"/>
          <w:u w:val="single"/>
        </w:rPr>
        <w:t>Section 1(a)</w:t>
      </w:r>
      <w:r>
        <w:rPr>
          <w:rFonts w:ascii="Times New Roman" w:hAnsi="Times New Roman"/>
          <w:sz w:val="20"/>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 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been no such Adviser/Administrator Material Adverse Effect with respect to the Adviser or the Administrator, as applicable, (B) the representations and warranties of the Adviser or the Administrator, as applicable, in </w:t>
      </w:r>
      <w:r>
        <w:rPr>
          <w:rFonts w:ascii="Times New Roman" w:hAnsi="Times New Roman"/>
          <w:sz w:val="20"/>
          <w:u w:val="single"/>
        </w:rPr>
        <w:t>Section 1(b)</w:t>
      </w:r>
      <w:r>
        <w:rPr>
          <w:rFonts w:ascii="Times New Roman" w:hAnsi="Times New Roman"/>
          <w:sz w:val="20"/>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Within five business days after each Representation Date, the 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Additional Documents</w:t>
      </w:r>
      <w:r>
        <w:rPr>
          <w:rFonts w:ascii="Times New Roman" w:hAnsi="Times New Roman"/>
          <w:sz w:val="20"/>
        </w:rPr>
        <w:t xml:space="preserve">. Within five business days after each Representation Date, counsel for the Sales Agent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Sales Agent by the Company, the Adviser and the Administrator</w:t>
      </w:r>
      <w:r>
        <w:rPr>
          <w:rFonts w:ascii="Times New Roman" w:hAnsi="Times New Roman"/>
          <w:sz w:val="20"/>
        </w:rPr>
        <w:t xml:space="preserve">. The Company, the Adviser and the 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hAnsi="Times New Roman"/>
          <w:sz w:val="20"/>
          <w:u w:val="single"/>
        </w:rPr>
        <w:t>Section 6(d)</w:t>
      </w:r>
      <w:r>
        <w:rPr>
          <w:rFonts w:ascii="Times New Roman" w:hAnsi="Times New Roman"/>
          <w:sz w:val="20"/>
        </w:rPr>
        <w:t xml:space="preserve"> below)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Officers, Adviser and Administrator</w:t>
      </w:r>
      <w:r>
        <w:rPr>
          <w:rFonts w:ascii="Times New Roman" w:hAnsi="Times New Roman"/>
          <w:sz w:val="20"/>
        </w:rPr>
        <w:t xml:space="preserve">. The Sales Agent 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hAnsi="Times New Roman"/>
          <w:sz w:val="20"/>
          <w:u w:val="single"/>
        </w:rPr>
        <w:t>Section 6(a)</w:t>
      </w:r>
      <w:r>
        <w:rPr>
          <w:rFonts w:ascii="Times New Roman" w:hAnsi="Times New Roman"/>
          <w:sz w:val="20"/>
        </w:rPr>
        <w:t xml:space="preserve"> above, counsel to the indemnified parties shall be selected by the Sales Agent,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case of parties indemnified pursuant to </w:t>
      </w:r>
      <w:r>
        <w:rPr>
          <w:rFonts w:ascii="Times New Roman" w:hAnsi="Times New Roman"/>
          <w:sz w:val="20"/>
          <w:u w:val="single"/>
        </w:rPr>
        <w:t>Section 6(b)</w:t>
      </w:r>
      <w:r>
        <w:rPr>
          <w:rFonts w:ascii="Times New Roman" w:hAnsi="Times New Roman"/>
          <w:sz w:val="20"/>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hAnsi="Times New Roman"/>
          <w:sz w:val="20"/>
          <w:u w:val="single"/>
        </w:rPr>
        <w:t>Section 6(a)(ii)</w:t>
      </w:r>
      <w:r>
        <w:rPr>
          <w:rFonts w:ascii="Times New Roman" w:hAnsi="Times New Roman"/>
          <w:sz w:val="20"/>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w:t>
      </w:r>
      <w:r>
        <w:rPr>
          <w:rFonts w:ascii="Times New Roman" w:hAnsi="Times New Roman"/>
          <w:sz w:val="20"/>
          <w:u w:val="single"/>
        </w:rPr>
        <w:t>Section 6</w:t>
      </w:r>
      <w:r>
        <w:rPr>
          <w:rFonts w:ascii="Times New Roman" w:hAnsi="Times New Roman"/>
          <w:sz w:val="20"/>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 </w:t>
      </w:r>
    </w:p>
    <w:p>
      <w:pPr>
        <w:pStyle w:val="TextBody"/>
        <w:bidi w:val="0"/>
        <w:spacing w:before="240" w:after="0"/>
        <w:jc w:val="left"/>
        <w:rPr>
          <w:rFonts w:ascii="Times New Roman" w:hAnsi="Times New Roman"/>
          <w:sz w:val="20"/>
        </w:rPr>
      </w:pPr>
      <w:r>
        <w:rPr>
          <w:rFonts w:ascii="Times New Roman" w:hAnsi="Times New Roman"/>
          <w:sz w:val="20"/>
        </w:rPr>
        <w:t xml:space="preserve">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Adviser, the Administrator and the Sales Agent agree that it would not be just and equitable if contribution pursuant to this </w:t>
      </w:r>
      <w:r>
        <w:rPr>
          <w:rFonts w:ascii="Times New Roman" w:hAnsi="Times New Roman"/>
          <w:sz w:val="20"/>
          <w:u w:val="single"/>
        </w:rPr>
        <w:t>Section 7</w:t>
      </w:r>
      <w:r>
        <w:rPr>
          <w:rFonts w:ascii="Times New Roman" w:hAnsi="Times New Roman"/>
          <w:sz w:val="20"/>
        </w:rPr>
        <w:t xml:space="preserve"> were determined by pro rata allocation or by any other method of allocation which does not take account of the equitable considerations referred to above in this </w:t>
      </w:r>
      <w:r>
        <w:rPr>
          <w:rFonts w:ascii="Times New Roman" w:hAnsi="Times New Roman"/>
          <w:sz w:val="20"/>
          <w:u w:val="single"/>
        </w:rPr>
        <w:t>Section 7</w:t>
      </w:r>
      <w:r>
        <w:rPr>
          <w:rFonts w:ascii="Times New Roman" w:hAnsi="Times New Roman"/>
          <w:sz w:val="20"/>
        </w:rPr>
        <w:t xml:space="preserve">. The aggregate amount of losses, liabilities, claims, damages and expenses incurred by an indemnified party and referred to above in this </w:t>
      </w:r>
      <w:r>
        <w:rPr>
          <w:rFonts w:ascii="Times New Roman" w:hAnsi="Times New Roman"/>
          <w:sz w:val="20"/>
          <w:u w:val="single"/>
        </w:rPr>
        <w:t>Section 7</w:t>
      </w:r>
      <w:r>
        <w:rPr>
          <w:rFonts w:ascii="Times New Roman" w:hAnsi="Times New Roman"/>
          <w:sz w:val="20"/>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7</w:t>
      </w:r>
      <w:r>
        <w:rPr>
          <w:rFonts w:ascii="Times New Roman" w:hAnsi="Times New Roman"/>
          <w:sz w:val="20"/>
        </w:rPr>
        <w:t xml:space="preserve">, the Sales Agent shall not be required to contribute any amount in excess of the commissions received by the Sales Agent in connection with the Securities sold by it. </w:t>
      </w:r>
    </w:p>
    <w:p>
      <w:pPr>
        <w:pStyle w:val="TextBody"/>
        <w:bidi w:val="0"/>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w:t>
      </w:r>
      <w:r>
        <w:rPr>
          <w:rFonts w:ascii="Times New Roman" w:hAnsi="Times New Roman"/>
          <w:sz w:val="20"/>
        </w:rPr>
        <w:t xml:space="preserve">,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 by the Company, the Adviser and the Administrator</w:t>
      </w:r>
      <w:r>
        <w:rPr>
          <w:rFonts w:ascii="Times New Roman" w:hAnsi="Times New Roman"/>
          <w:sz w:val="20"/>
        </w:rPr>
        <w:t xml:space="preserve">. The Company, the Adviser and the Administrator may terminate this Agreement, by giving one day advance notice to the Sales Agent, at any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Sales Agent</w:t>
      </w:r>
      <w:r>
        <w:rPr>
          <w:rFonts w:ascii="Times New Roman" w:hAnsi="Times New Roman"/>
          <w:sz w:val="20"/>
        </w:rPr>
        <w:t xml:space="preserve">. The Sales Agent may terminate this Agreement, by giving one day advance notice to the Company, at 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provided 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6, 7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w:t>
      </w:r>
      <w:r>
        <w:rPr>
          <w:rFonts w:ascii="Times New Roman" w:hAnsi="Times New Roman"/>
          <w:sz w:val="20"/>
          <w:u w:val="single"/>
        </w:rPr>
        <w:t xml:space="preserve"> 14</w:t>
      </w:r>
      <w:r>
        <w:rPr>
          <w:rFonts w:ascii="Times New Roman" w:hAnsi="Times New Roman"/>
          <w:sz w:val="20"/>
        </w:rPr>
        <w:t>,</w:t>
      </w:r>
      <w:r>
        <w:rPr>
          <w:rFonts w:ascii="Times New Roman" w:hAnsi="Times New Roman"/>
          <w:sz w:val="20"/>
          <w:u w:val="single"/>
        </w:rPr>
        <w:t xml:space="preserve"> 15</w:t>
      </w:r>
      <w:r>
        <w:rPr>
          <w:rFonts w:ascii="Times New Roman" w:hAnsi="Times New Roman"/>
          <w:sz w:val="20"/>
        </w:rPr>
        <w:t xml:space="preserve"> and </w:t>
      </w:r>
      <w:r>
        <w:rPr>
          <w:rFonts w:ascii="Times New Roman" w:hAnsi="Times New Roman"/>
          <w:sz w:val="20"/>
          <w:u w:val="single"/>
        </w:rPr>
        <w:t>16</w:t>
      </w:r>
      <w:r>
        <w:rPr>
          <w:rFonts w:ascii="Times New Roman" w:hAnsi="Times New Roman"/>
          <w:sz w:val="20"/>
        </w:rPr>
        <w:t xml:space="preserve"> shall survive such termination and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 Joint Venture</w:t>
      </w:r>
      <w:r>
        <w:rPr>
          <w:rFonts w:ascii="Times New Roman" w:hAnsi="Times New Roman"/>
          <w:sz w:val="20"/>
        </w:rPr>
        <w:t xml:space="preserve">.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Sales Agent shall be directed to Truist Securities, Inc., 3333 Peachtree Road NE, Atlanta, Georgia 30326, Attention: Global Head of Syndicate,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 RATE CAPITAL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Arthur H.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INVESTMENT ADVISERS, LLC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Arthur H. Penn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Managing Member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ADMINISTRATION,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Arthur H. Penn</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Managing Member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A&amp;R Sales Agreement  Truist]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4"/>
        <w:gridCol w:w="60"/>
        <w:gridCol w:w="3668"/>
      </w:tblGrid>
      <w:tr>
        <w:trPr/>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CONFIRMED AND ACCEPTED,</w:t>
            </w:r>
          </w:p>
          <w:p>
            <w:pPr>
              <w:pStyle w:val="TableContents"/>
              <w:bidi w:val="0"/>
              <w:spacing w:before="0" w:after="20"/>
              <w:jc w:val="left"/>
              <w:rPr/>
            </w:pPr>
            <w:r>
              <w:rPr/>
              <w:t>        </w:t>
            </w:r>
            <w:r>
              <w:rPr>
                <w:rFonts w:ascii="Times New Roman" w:hAnsi="Times New Roman"/>
                <w:sz w:val="20"/>
              </w:rPr>
              <w:t>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TRUIST SECURITIES, INC.</w:t>
            </w:r>
          </w:p>
        </w:tc>
      </w:tr>
      <w:tr>
        <w:trPr>
          <w:trHeight w:val="240" w:hRule="atLeast"/>
        </w:trPr>
        <w:tc>
          <w:tcPr>
            <w:tcW w:w="354" w:type="dxa"/>
            <w:tcBorders/>
            <w:vAlign w:val="center"/>
          </w:tcPr>
          <w:p>
            <w:pPr>
              <w:pStyle w:val="TableContents"/>
              <w:bidi w:val="0"/>
              <w:spacing w:before="0" w:after="283"/>
              <w:jc w:val="left"/>
              <w:rPr>
                <w:sz w:val="4"/>
                <w:szCs w:val="4"/>
              </w:rPr>
            </w:pPr>
            <w:r>
              <w:rPr>
                <w:sz w:val="4"/>
                <w:szCs w:val="4"/>
              </w:rPr>
            </w:r>
          </w:p>
        </w:tc>
        <w:tc>
          <w:tcPr>
            <w:tcW w:w="3728" w:type="dxa"/>
            <w:gridSpan w:val="2"/>
            <w:tcBorders/>
            <w:vAlign w:val="center"/>
          </w:tcPr>
          <w:p>
            <w:pPr>
              <w:pStyle w:val="TableContents"/>
              <w:bidi w:val="0"/>
              <w:spacing w:before="0" w:after="283"/>
              <w:jc w:val="left"/>
              <w:rPr>
                <w:sz w:val="4"/>
                <w:szCs w:val="4"/>
              </w:rPr>
            </w:pPr>
            <w:r>
              <w:rPr>
                <w:sz w:val="4"/>
                <w:szCs w:val="4"/>
              </w:rPr>
            </w:r>
          </w:p>
        </w:tc>
      </w:tr>
      <w:tr>
        <w:trPr/>
        <w:tc>
          <w:tcPr>
            <w:tcW w:w="35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8" w:type="dxa"/>
            <w:tcBorders>
              <w:bottom w:val="single" w:sz="2" w:space="0" w:color="000000"/>
            </w:tcBorders>
            <w:tcMar>
              <w:bottom w:w="28" w:type="dxa"/>
            </w:tcMar>
            <w:vAlign w:val="bottom"/>
          </w:tcPr>
          <w:p>
            <w:pPr>
              <w:pStyle w:val="TableContents"/>
              <w:bidi w:val="0"/>
              <w:spacing w:before="0" w:after="283"/>
              <w:jc w:val="left"/>
              <w:rPr/>
            </w:pPr>
            <w:r>
              <w:rPr/>
              <w:t>/s/ Geoffrey Fennel</w:t>
            </w:r>
          </w:p>
        </w:tc>
      </w:tr>
      <w:tr>
        <w:trPr/>
        <w:tc>
          <w:tcPr>
            <w:tcW w:w="35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283"/>
              <w:jc w:val="left"/>
              <w:rPr/>
            </w:pPr>
            <w:r>
              <w:rPr/>
              <w:t>Name: Geoffrey Fennel</w:t>
            </w:r>
          </w:p>
        </w:tc>
      </w:tr>
      <w:tr>
        <w:trPr/>
        <w:tc>
          <w:tcPr>
            <w:tcW w:w="35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8"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A&amp;R Sales Agreement  Truist]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LLC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Ltd. </w:t>
      </w:r>
    </w:p>
    <w:p>
      <w:pPr>
        <w:pStyle w:val="TextBody"/>
        <w:bidi w:val="0"/>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bidi w:val="0"/>
        <w:spacing w:before="0" w:after="0"/>
        <w:jc w:val="left"/>
        <w:rPr>
          <w:rFonts w:ascii="Times New Roman" w:hAnsi="Times New Roman"/>
          <w:sz w:val="20"/>
        </w:rPr>
      </w:pPr>
      <w:r>
        <w:rPr>
          <w:rFonts w:ascii="Times New Roman" w:hAnsi="Times New Roman"/>
          <w:sz w:val="20"/>
        </w:rPr>
        <w:t xml:space="preserve">PFLT Investment Holdings,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left"/>
        <w:rPr>
          <w:rFonts w:ascii="Times New Roman" w:hAnsi="Times New Roman"/>
          <w:b/>
          <w:sz w:val="20"/>
        </w:rPr>
      </w:pPr>
      <w:r>
        <w:rPr>
          <w:rFonts w:ascii="Times New Roman" w:hAnsi="Times New Roman"/>
          <w:b/>
          <w:sz w:val="20"/>
        </w:rPr>
        <w:t xml:space="preserve">Company Authorized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Arthur H. Penn </w:t>
      </w:r>
    </w:p>
    <w:p>
      <w:pPr>
        <w:pStyle w:val="TextBody"/>
        <w:bidi w:val="0"/>
        <w:spacing w:before="0" w:after="0"/>
        <w:jc w:val="left"/>
        <w:rPr>
          <w:rFonts w:ascii="Times New Roman" w:hAnsi="Times New Roman"/>
          <w:sz w:val="20"/>
        </w:rPr>
      </w:pPr>
      <w:r>
        <w:rPr>
          <w:rFonts w:ascii="Times New Roman" w:hAnsi="Times New Roman"/>
          <w:sz w:val="20"/>
        </w:rPr>
        <w:t xml:space="preserve">Richard Allorto </w:t>
      </w:r>
    </w:p>
    <w:p>
      <w:pPr>
        <w:pStyle w:val="TextBody"/>
        <w:bidi w:val="0"/>
        <w:spacing w:before="360" w:after="0"/>
        <w:jc w:val="left"/>
        <w:rPr>
          <w:rFonts w:ascii="Times New Roman" w:hAnsi="Times New Roman"/>
          <w:b/>
          <w:sz w:val="20"/>
        </w:rPr>
      </w:pPr>
      <w:r>
        <w:rPr>
          <w:rFonts w:ascii="Times New Roman" w:hAnsi="Times New Roman"/>
          <w:b/>
          <w:sz w:val="20"/>
        </w:rPr>
        <w:t xml:space="preserve">Sales Agent Authorized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Jeff Fordham </w:t>
      </w:r>
    </w:p>
    <w:p>
      <w:pPr>
        <w:pStyle w:val="TextBody"/>
        <w:bidi w:val="0"/>
        <w:spacing w:before="0" w:after="0"/>
        <w:jc w:val="left"/>
        <w:rPr>
          <w:rFonts w:ascii="Times New Roman" w:hAnsi="Times New Roman"/>
          <w:sz w:val="20"/>
        </w:rPr>
      </w:pPr>
      <w:r>
        <w:rPr>
          <w:rFonts w:ascii="Times New Roman" w:hAnsi="Times New Roman"/>
          <w:sz w:val="20"/>
        </w:rPr>
        <w:t xml:space="preserve">Jeanna Bryan </w:t>
      </w:r>
    </w:p>
    <w:p>
      <w:pPr>
        <w:pStyle w:val="TextBody"/>
        <w:bidi w:val="0"/>
        <w:spacing w:before="0" w:after="0"/>
        <w:jc w:val="right"/>
        <w:rPr>
          <w:rFonts w:ascii="Times New Roman" w:hAnsi="Times New Roman"/>
          <w:b/>
          <w:sz w:val="20"/>
        </w:rPr>
      </w:pPr>
      <w:bookmarkStart w:id="8" w:name="d511427dex51.htm"/>
      <w:bookmarkStart w:id="9" w:name="ksd511427dex51"/>
      <w:bookmarkEnd w:id="8"/>
      <w:bookmarkEnd w:id="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0"/>
        <w:gridCol w:w="120"/>
        <w:gridCol w:w="5455"/>
      </w:tblGrid>
      <w:tr>
        <w:trPr/>
        <w:tc>
          <w:tcPr>
            <w:tcW w:w="46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55" w:type="dxa"/>
            <w:tcBorders/>
            <w:vAlign w:val="center"/>
          </w:tcPr>
          <w:p>
            <w:pPr>
              <w:pStyle w:val="TableContents"/>
              <w:bidi w:val="0"/>
              <w:spacing w:before="0" w:after="283"/>
              <w:jc w:val="left"/>
              <w:rPr>
                <w:sz w:val="4"/>
                <w:szCs w:val="4"/>
              </w:rPr>
            </w:pPr>
            <w:r>
              <w:rPr>
                <w:sz w:val="4"/>
                <w:szCs w:val="4"/>
              </w:rPr>
            </w:r>
          </w:p>
        </w:tc>
      </w:tr>
      <w:tr>
        <w:trPr/>
        <w:tc>
          <w:tcPr>
            <w:tcW w:w="4630" w:type="dxa"/>
            <w:tcBorders/>
          </w:tcPr>
          <w:p>
            <w:pPr>
              <w:pStyle w:val="TableContents"/>
              <w:bidi w:val="0"/>
              <w:spacing w:before="0" w:after="283"/>
              <w:jc w:val="left"/>
              <w:rPr/>
            </w:pPr>
            <w:r>
              <w:rPr/>
              <w:drawing>
                <wp:inline distT="0" distB="0" distL="0" distR="0">
                  <wp:extent cx="21907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619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455" w:type="dxa"/>
            <w:tcBorders/>
          </w:tcPr>
          <w:p>
            <w:pPr>
              <w:pStyle w:val="TableContents"/>
              <w:bidi w:val="0"/>
              <w:spacing w:before="0" w:after="283"/>
              <w:jc w:val="left"/>
              <w:rPr/>
            </w:pPr>
            <w:r>
              <w:rPr/>
              <w:drawing>
                <wp:inline distT="0" distB="0" distL="0" distR="0">
                  <wp:extent cx="33051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05175" cy="3810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August 11, 2023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w:t>
      </w:r>
    </w:p>
    <w:p>
      <w:pPr>
        <w:pStyle w:val="TextBody"/>
        <w:bidi w:val="0"/>
        <w:spacing w:before="0" w:after="0"/>
        <w:jc w:val="left"/>
        <w:rPr>
          <w:rFonts w:ascii="Times New Roman" w:hAnsi="Times New Roman"/>
          <w:sz w:val="20"/>
        </w:rPr>
      </w:pPr>
      <w:r>
        <w:rPr>
          <w:rFonts w:ascii="Times New Roman" w:hAnsi="Times New Roman"/>
          <w:sz w:val="20"/>
        </w:rPr>
        <w:t xml:space="preserve">Miami, Florida 33139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N-2: </w:t>
            </w:r>
          </w:p>
        </w:tc>
      </w:tr>
    </w:tbl>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1933 Act File No. 333-268813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shares (the Shares) of common stock, $0.001 par value per share, of the Company having an additional offering price of $150,000,000 to be issued in its existing at-the-market public offering (the Offering), covered by the Registration Statement, and all amendments thereto (the Registration Statement), filed by the Company with the United States Securities and Exchange Commission (the Commission) under the Securities Act of 1933, as amended (the 1933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and the related form of prospectus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2. The Prospectus Supplement, August 11, 2023, in the form to be filed by the Company with the Commission pursuant to Rule 424(b)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3. The charter of the Company, certified by the State Department of Assessments and Taxation of Maryland (the SDAT); </w:t>
      </w:r>
    </w:p>
    <w:p>
      <w:pPr>
        <w:pStyle w:val="TextBody"/>
        <w:bidi w:val="0"/>
        <w:spacing w:before="120" w:after="0"/>
        <w:jc w:val="left"/>
        <w:rPr>
          <w:rFonts w:ascii="Times New Roman" w:hAnsi="Times New Roman"/>
          <w:sz w:val="20"/>
        </w:rPr>
      </w:pPr>
      <w:r>
        <w:rPr>
          <w:rFonts w:ascii="Times New Roman" w:hAnsi="Times New Roman"/>
          <w:sz w:val="20"/>
        </w:rPr>
        <w:t xml:space="preserve">4. The Bylaws of the Company, certified as of the date hereof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9075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0" cy="561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August 11, 2023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Resolutions (the Resolutions) adopted by the Board of Directors of the Company, relating to, among other things, the authorization of (a) the registration, sale and issuance of the Shares, (b) the execution, delivery and performance by the Company of the Distribution Agreements (as defined below) and (c) the delegation to designated officers of the Company of the power to determine the number and price of the Shares and certain other matters in connection with the Offering, subject to the Resolutions, certified as of the date hereof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7. The Amended and Restated Equity Distribution Agreement, dated as of August 11, 2023 (the JMP Distribution Agreement), by and among the Company, PennantPark Investment Advisers, LLC, a Delaware limited liability company (the Adviser), PennantPark Investment Administration, LLC, a Delaware limited liability company (the Administrator), and Citizens JMP Securities, LLC; </w:t>
      </w:r>
    </w:p>
    <w:p>
      <w:pPr>
        <w:pStyle w:val="TextBody"/>
        <w:bidi w:val="0"/>
        <w:spacing w:before="120" w:after="0"/>
        <w:jc w:val="left"/>
        <w:rPr>
          <w:rFonts w:ascii="Times New Roman" w:hAnsi="Times New Roman"/>
          <w:sz w:val="20"/>
        </w:rPr>
      </w:pPr>
      <w:r>
        <w:rPr>
          <w:rFonts w:ascii="Times New Roman" w:hAnsi="Times New Roman"/>
          <w:sz w:val="20"/>
        </w:rPr>
        <w:t xml:space="preserve">8. The Amended and Restated Equity Distribution Agreement, dated as of August 11, 2023 (the Raymond James Distribution Agreement), by and among the Company, the Adviser, the Administrator and Raymond James &amp; Associates, Inc.; </w:t>
      </w:r>
    </w:p>
    <w:p>
      <w:pPr>
        <w:pStyle w:val="TextBody"/>
        <w:bidi w:val="0"/>
        <w:spacing w:before="120" w:after="0"/>
        <w:jc w:val="left"/>
        <w:rPr>
          <w:rFonts w:ascii="Times New Roman" w:hAnsi="Times New Roman"/>
          <w:sz w:val="20"/>
        </w:rPr>
      </w:pPr>
      <w:r>
        <w:rPr>
          <w:rFonts w:ascii="Times New Roman" w:hAnsi="Times New Roman"/>
          <w:sz w:val="20"/>
        </w:rPr>
        <w:t xml:space="preserve">9. The Amended and Restated Equity Distribution Agreement, dated as of August 11, 2023 (the Truist Distribution Agreement and, together with the JMP Distribution Agreement and the Raymond James Distribution Agreement, the Distribution Agreements), by and among the Company, the Adviser, the Administrator and Truist Securities, Inc.; </w:t>
      </w:r>
    </w:p>
    <w:p>
      <w:pPr>
        <w:pStyle w:val="TextBody"/>
        <w:bidi w:val="0"/>
        <w:spacing w:before="120" w:after="0"/>
        <w:jc w:val="left"/>
        <w:rPr>
          <w:rFonts w:ascii="Times New Roman" w:hAnsi="Times New Roman"/>
          <w:sz w:val="20"/>
        </w:rPr>
      </w:pPr>
      <w:r>
        <w:rPr>
          <w:rFonts w:ascii="Times New Roman" w:hAnsi="Times New Roman"/>
          <w:sz w:val="20"/>
        </w:rPr>
        <w:t xml:space="preserve">10. A certificate executed by an officer of the Company, dated as of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11.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any other person, is legally competent to do so. </w:t>
      </w:r>
    </w:p>
    <w:p>
      <w:pPr>
        <w:pStyle w:val="TextBody"/>
        <w:bidi w:val="0"/>
        <w:spacing w:before="12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12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90750"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90750" cy="561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August 11, 2023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bidi w:val="0"/>
        <w:spacing w:before="120" w:after="0"/>
        <w:jc w:val="left"/>
        <w:rPr>
          <w:rFonts w:ascii="Times New Roman" w:hAnsi="Times New Roman"/>
          <w:sz w:val="20"/>
        </w:rPr>
      </w:pPr>
      <w:r>
        <w:rPr>
          <w:rFonts w:ascii="Times New Roman" w:hAnsi="Times New Roman"/>
          <w:sz w:val="20"/>
        </w:rPr>
        <w:t xml:space="preserve">5. Upon the issuance of any of the Shares, the total number of shares of Common Stock issued and outstanding will not exceed the total number of shares of Common Stock that the Company is then authorized to issue under the Charter.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of the Shares has been duly authorized and, when issued and delivered by the Company pursuant to the Distribution Agreements, the Prospectus Supplement, the Resolutions and the Registration Statement against payment of the consideration set forth therein,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9075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90750" cy="561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August 11, 2023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Venable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131</Pages>
  <Words>64971</Words>
  <Characters>335460</Characters>
  <CharactersWithSpaces>399355</CharactersWithSpaces>
  <Paragraphs>1135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