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February 5, 2013</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175895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9"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190500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2880" w:type="dxa"/>
            <w:vAlign w:val="bottom"/>
          </w:tcPr>
          <w:p>
            <w:pPr>
              <w:jc w:val="center"/>
              <w:ind w:right="1266"/>
              <w:spacing w:after="0"/>
              <w:rPr>
                <w:sz w:val="20"/>
                <w:szCs w:val="20"/>
                <w:color w:val="auto"/>
              </w:rPr>
            </w:pPr>
            <w:r>
              <w:rPr>
                <w:rFonts w:ascii="Arial" w:cs="Arial" w:eastAsia="Arial" w:hAnsi="Arial"/>
                <w:sz w:val="18"/>
                <w:szCs w:val="18"/>
                <w:b w:val="1"/>
                <w:bCs w:val="1"/>
                <w:color w:val="auto"/>
                <w:w w:val="93"/>
              </w:rPr>
              <w:t>Maryland</w:t>
            </w:r>
          </w:p>
        </w:tc>
        <w:tc>
          <w:tcPr>
            <w:tcW w:w="3500" w:type="dxa"/>
            <w:vAlign w:val="bottom"/>
          </w:tcPr>
          <w:p>
            <w:pPr>
              <w:ind w:left="1340"/>
              <w:spacing w:after="0"/>
              <w:rPr>
                <w:sz w:val="20"/>
                <w:szCs w:val="20"/>
                <w:color w:val="auto"/>
              </w:rPr>
            </w:pPr>
            <w:r>
              <w:rPr>
                <w:rFonts w:ascii="Arial" w:cs="Arial" w:eastAsia="Arial" w:hAnsi="Arial"/>
                <w:sz w:val="18"/>
                <w:szCs w:val="18"/>
                <w:b w:val="1"/>
                <w:bCs w:val="1"/>
                <w:color w:val="auto"/>
              </w:rPr>
              <w:t>814-00891</w:t>
            </w:r>
          </w:p>
        </w:tc>
        <w:tc>
          <w:tcPr>
            <w:tcW w:w="2460" w:type="dxa"/>
            <w:vAlign w:val="bottom"/>
          </w:tcPr>
          <w:p>
            <w:pPr>
              <w:jc w:val="center"/>
              <w:ind w:left="1306"/>
              <w:spacing w:after="0"/>
              <w:rPr>
                <w:sz w:val="20"/>
                <w:szCs w:val="20"/>
                <w:color w:val="auto"/>
              </w:rPr>
            </w:pPr>
            <w:r>
              <w:rPr>
                <w:rFonts w:ascii="Arial" w:cs="Arial" w:eastAsia="Arial" w:hAnsi="Arial"/>
                <w:sz w:val="18"/>
                <w:szCs w:val="18"/>
                <w:b w:val="1"/>
                <w:bCs w:val="1"/>
                <w:color w:val="auto"/>
                <w:w w:val="87"/>
              </w:rPr>
              <w:t>27-3794690</w:t>
            </w:r>
          </w:p>
        </w:tc>
      </w:tr>
      <w:tr>
        <w:trPr>
          <w:trHeight w:val="148"/>
        </w:trPr>
        <w:tc>
          <w:tcPr>
            <w:tcW w:w="2880" w:type="dxa"/>
            <w:vAlign w:val="bottom"/>
          </w:tcPr>
          <w:p>
            <w:pPr>
              <w:jc w:val="center"/>
              <w:ind w:right="1266"/>
              <w:spacing w:after="0"/>
              <w:rPr>
                <w:sz w:val="20"/>
                <w:szCs w:val="20"/>
                <w:color w:val="auto"/>
              </w:rPr>
            </w:pPr>
            <w:r>
              <w:rPr>
                <w:rFonts w:ascii="Arial" w:cs="Arial" w:eastAsia="Arial" w:hAnsi="Arial"/>
                <w:sz w:val="13"/>
                <w:szCs w:val="13"/>
                <w:b w:val="1"/>
                <w:bCs w:val="1"/>
                <w:color w:val="auto"/>
                <w:w w:val="94"/>
              </w:rPr>
              <w:t>(State or other jurisdiction</w:t>
            </w:r>
          </w:p>
        </w:tc>
        <w:tc>
          <w:tcPr>
            <w:tcW w:w="3500" w:type="dxa"/>
            <w:vAlign w:val="bottom"/>
          </w:tcPr>
          <w:p>
            <w:pPr>
              <w:ind w:left="1340"/>
              <w:spacing w:after="0"/>
              <w:rPr>
                <w:sz w:val="20"/>
                <w:szCs w:val="20"/>
                <w:color w:val="auto"/>
              </w:rPr>
            </w:pPr>
            <w:r>
              <w:rPr>
                <w:rFonts w:ascii="Arial" w:cs="Arial" w:eastAsia="Arial" w:hAnsi="Arial"/>
                <w:sz w:val="13"/>
                <w:szCs w:val="13"/>
                <w:b w:val="1"/>
                <w:bCs w:val="1"/>
                <w:color w:val="auto"/>
              </w:rPr>
              <w:t>(Commission</w:t>
            </w:r>
          </w:p>
        </w:tc>
        <w:tc>
          <w:tcPr>
            <w:tcW w:w="2460" w:type="dxa"/>
            <w:vAlign w:val="bottom"/>
          </w:tcPr>
          <w:p>
            <w:pPr>
              <w:jc w:val="center"/>
              <w:ind w:left="1306"/>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2880" w:type="dxa"/>
            <w:vAlign w:val="bottom"/>
          </w:tcPr>
          <w:p>
            <w:pPr>
              <w:jc w:val="center"/>
              <w:ind w:right="1266"/>
              <w:spacing w:after="0"/>
              <w:rPr>
                <w:sz w:val="20"/>
                <w:szCs w:val="20"/>
                <w:color w:val="auto"/>
              </w:rPr>
            </w:pPr>
            <w:r>
              <w:rPr>
                <w:rFonts w:ascii="Arial" w:cs="Arial" w:eastAsia="Arial" w:hAnsi="Arial"/>
                <w:sz w:val="13"/>
                <w:szCs w:val="13"/>
                <w:b w:val="1"/>
                <w:bCs w:val="1"/>
                <w:color w:val="auto"/>
                <w:w w:val="94"/>
              </w:rPr>
              <w:t>of incorporation)</w:t>
            </w:r>
          </w:p>
        </w:tc>
        <w:tc>
          <w:tcPr>
            <w:tcW w:w="3500" w:type="dxa"/>
            <w:vAlign w:val="bottom"/>
          </w:tcPr>
          <w:p>
            <w:pPr>
              <w:ind w:left="1340"/>
              <w:spacing w:after="0"/>
              <w:rPr>
                <w:sz w:val="20"/>
                <w:szCs w:val="20"/>
                <w:color w:val="auto"/>
              </w:rPr>
            </w:pPr>
            <w:r>
              <w:rPr>
                <w:rFonts w:ascii="Arial" w:cs="Arial" w:eastAsia="Arial" w:hAnsi="Arial"/>
                <w:sz w:val="13"/>
                <w:szCs w:val="13"/>
                <w:b w:val="1"/>
                <w:bCs w:val="1"/>
                <w:color w:val="auto"/>
              </w:rPr>
              <w:t>File Number)</w:t>
            </w:r>
          </w:p>
        </w:tc>
        <w:tc>
          <w:tcPr>
            <w:tcW w:w="2460" w:type="dxa"/>
            <w:vAlign w:val="bottom"/>
          </w:tcPr>
          <w:p>
            <w:pPr>
              <w:jc w:val="center"/>
              <w:ind w:left="1326"/>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189" w:lineRule="exact"/>
        <w:rPr>
          <w:sz w:val="24"/>
          <w:szCs w:val="24"/>
          <w:color w:val="auto"/>
        </w:rPr>
      </w:pPr>
    </w:p>
    <w:p>
      <w:pPr>
        <w:sectPr>
          <w:pgSz w:w="11900" w:h="16838" w:orient="portrait"/>
          <w:cols w:equalWidth="0" w:num="1">
            <w:col w:w="10740"/>
          </w:cols>
          <w:pgMar w:left="320" w:top="314" w:right="839" w:bottom="1440" w:gutter="0" w:footer="0" w:header="0"/>
        </w:sectPr>
      </w:pPr>
    </w:p>
    <w:p>
      <w:pPr>
        <w:jc w:val="center"/>
        <w:ind w:right="1880"/>
        <w:spacing w:after="0"/>
        <w:rPr>
          <w:sz w:val="20"/>
          <w:szCs w:val="20"/>
          <w:color w:val="auto"/>
        </w:rPr>
      </w:pPr>
      <w:r>
        <w:rPr>
          <w:rFonts w:ascii="Arial" w:cs="Arial" w:eastAsia="Arial" w:hAnsi="Arial"/>
          <w:sz w:val="15"/>
          <w:szCs w:val="15"/>
          <w:b w:val="1"/>
          <w:bCs w:val="1"/>
          <w:color w:val="auto"/>
        </w:rPr>
        <w:t>590 Madison Avenue, 15th Floor,</w:t>
      </w:r>
    </w:p>
    <w:p>
      <w:pPr>
        <w:spacing w:after="0" w:line="5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56" w:lineRule="exact"/>
        <w:rPr>
          <w:sz w:val="24"/>
          <w:szCs w:val="24"/>
          <w:color w:val="auto"/>
        </w:rPr>
      </w:pPr>
    </w:p>
    <w:p>
      <w:pPr>
        <w:sectPr>
          <w:pgSz w:w="11900" w:h="16838" w:orient="portrait"/>
          <w:cols w:equalWidth="0" w:num="2">
            <w:col w:w="7580" w:space="720"/>
            <w:col w:w="2440"/>
          </w:cols>
          <w:pgMar w:left="320" w:top="314" w:right="839" w:bottom="1440" w:gutter="0" w:footer="0" w:header="0"/>
          <w:type w:val="continuous"/>
        </w:sectPr>
      </w:pPr>
    </w:p>
    <w:p>
      <w:pPr>
        <w:ind w:left="17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480" w:space="720"/>
            <w:col w:w="2540"/>
          </w:cols>
          <w:pgMar w:left="320" w:top="314" w:right="839" w:bottom="1440" w:gutter="0" w:footer="0" w:header="0"/>
          <w:type w:val="continuous"/>
        </w:sectPr>
      </w:pPr>
    </w:p>
    <w:p>
      <w:pPr>
        <w:jc w:val="center"/>
        <w:ind w:right="-4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180975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firstLine="44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314" w:right="83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February 5, 2013, PennantPark Floating Rate Capital Ltd. (the “Company”) held its annual meeting of stockholders (the “Annual Meeting”) and submitted two matters to the vote of stockholders. The proposals are described in detail in the Company’s definitive proxy statement filed with the Securities and Exchange Commission on December 7, 2012. As of December 12, 2012, the record date, 6,850,667 shares of common stock were eligible to vote. A summary of the matters voted upon by the stockholders is set forth below.</w:t>
      </w:r>
    </w:p>
    <w:p>
      <w:pPr>
        <w:spacing w:after="0" w:line="13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four directors of the Company, two Class I directors each of whom will serve until the 2015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or until his successor is duly elected and qualifies or until his earlier resignation, removal from office, death or incapacity, and two Class II directors each of whom will serve until the 2016 Annual Meeting, or until his successor is duly elected and qualifies or until his earlier resignation, removal from office, death or incapacity.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four directors were re-elected pursuant to the voting results as of February 5, 2013 are set forth below:</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Broker</w:t>
            </w:r>
          </w:p>
        </w:tc>
      </w:tr>
      <w:tr>
        <w:trPr>
          <w:trHeight w:val="161"/>
        </w:trPr>
        <w:tc>
          <w:tcPr>
            <w:tcW w:w="61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30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For</w:t>
            </w:r>
          </w:p>
        </w:tc>
        <w:tc>
          <w:tcPr>
            <w:tcW w:w="11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Withheld</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Non Vote</w:t>
            </w: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Class I</w:t>
            </w:r>
          </w:p>
        </w:tc>
        <w:tc>
          <w:tcPr>
            <w:tcW w:w="7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Marshall Brozost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1,540,646</w:t>
            </w:r>
          </w:p>
        </w:tc>
        <w:tc>
          <w:tcPr>
            <w:tcW w:w="5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139,102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4,434,837</w:t>
            </w:r>
          </w:p>
        </w:tc>
      </w:tr>
      <w:tr>
        <w:trPr>
          <w:trHeight w:val="216"/>
        </w:trPr>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Voted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91.72%</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Samuel L. Katz</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1,660,584</w:t>
            </w:r>
          </w:p>
        </w:tc>
        <w:tc>
          <w:tcPr>
            <w:tcW w:w="5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19,144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4,434,837</w:t>
            </w:r>
          </w:p>
        </w:tc>
      </w:tr>
      <w:tr>
        <w:trPr>
          <w:trHeight w:val="216"/>
        </w:trPr>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of Shares Voted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100" w:type="dxa"/>
            <w:vAlign w:val="bottom"/>
          </w:tcPr>
          <w:p>
            <w:pPr>
              <w:spacing w:after="0"/>
              <w:rPr>
                <w:sz w:val="20"/>
                <w:szCs w:val="20"/>
                <w:color w:val="auto"/>
              </w:rPr>
            </w:pPr>
            <w:r>
              <w:rPr>
                <w:rFonts w:ascii="Arial" w:cs="Arial" w:eastAsia="Arial" w:hAnsi="Arial"/>
                <w:sz w:val="18"/>
                <w:szCs w:val="18"/>
                <w:i w:val="1"/>
                <w:iCs w:val="1"/>
                <w:color w:val="auto"/>
              </w:rPr>
              <w:t>Class II</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Adam K. Bernstein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1,540,626</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139,102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4,434,837</w:t>
            </w:r>
          </w:p>
        </w:tc>
      </w:tr>
      <w:tr>
        <w:trPr>
          <w:trHeight w:val="216"/>
        </w:trPr>
        <w:tc>
          <w:tcPr>
            <w:tcW w:w="6100" w:type="dxa"/>
            <w:vAlign w:val="bottom"/>
          </w:tcPr>
          <w:p>
            <w:pPr>
              <w:ind w:left="420"/>
              <w:spacing w:after="0"/>
              <w:rPr>
                <w:sz w:val="20"/>
                <w:szCs w:val="20"/>
                <w:color w:val="auto"/>
              </w:rPr>
            </w:pPr>
            <w:r>
              <w:rPr>
                <w:rFonts w:ascii="Arial" w:cs="Arial" w:eastAsia="Arial" w:hAnsi="Arial"/>
                <w:sz w:val="18"/>
                <w:szCs w:val="18"/>
                <w:color w:val="auto"/>
              </w:rPr>
              <w:t>% of Shares Voted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91.72%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8.28%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Jeffrey Flug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1,656,584</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23.144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4,434,837</w:t>
            </w:r>
          </w:p>
        </w:tc>
      </w:tr>
      <w:tr>
        <w:trPr>
          <w:trHeight w:val="222"/>
        </w:trPr>
        <w:tc>
          <w:tcPr>
            <w:tcW w:w="6100" w:type="dxa"/>
            <w:vAlign w:val="bottom"/>
          </w:tcPr>
          <w:p>
            <w:pPr>
              <w:ind w:left="420"/>
              <w:spacing w:after="0"/>
              <w:rPr>
                <w:sz w:val="20"/>
                <w:szCs w:val="20"/>
                <w:color w:val="auto"/>
              </w:rPr>
            </w:pPr>
            <w:r>
              <w:rPr>
                <w:rFonts w:ascii="Arial" w:cs="Arial" w:eastAsia="Arial" w:hAnsi="Arial"/>
                <w:sz w:val="18"/>
                <w:szCs w:val="18"/>
                <w:color w:val="auto"/>
              </w:rPr>
              <w:t>% of Shares Voted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98.62%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14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KPMG LLP to serve as the Company’s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September 30,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as of February 5, 2013 are set forth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For</w:t>
            </w:r>
          </w:p>
        </w:tc>
        <w:tc>
          <w:tcPr>
            <w:tcW w:w="11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Against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8"/>
              </w:rPr>
              <w:t>Abstain</w:t>
            </w:r>
          </w:p>
        </w:tc>
      </w:tr>
      <w:tr>
        <w:trPr>
          <w:trHeight w:val="210"/>
        </w:trPr>
        <w:tc>
          <w:tcPr>
            <w:tcW w:w="6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6,001,054</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108,073</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5,438</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 of Shares Voted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98.14%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bl>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5, 2013, the Company held a special meeting of stockholders (the “Special Meeting”) and submitted one matter to the vote of the stockholders. The proposal is described in detail in the Company’s definitive proxy statement filed with the Securities and Exchange Commission on December 7, 2012. As of December 12, 2012, the record date, 6,850,667 shares of common stock were eligible to vote. A summary of the matter voted upon by the stockholders is set forth below.</w:t>
      </w:r>
    </w:p>
    <w:p>
      <w:pPr>
        <w:spacing w:after="0" w:line="13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a quorum, the named Proxies for the Company’s stockholders approved an adjournment of the meeting to allow the polls to</w:t>
      </w:r>
      <w:r>
        <w:rPr>
          <w:rFonts w:ascii="Arial" w:cs="Arial" w:eastAsia="Arial" w:hAnsi="Arial"/>
          <w:sz w:val="18"/>
          <w:szCs w:val="18"/>
          <w:b w:val="1"/>
          <w:bCs w:val="1"/>
          <w:color w:val="auto"/>
        </w:rPr>
        <w:t xml:space="preserve"> </w:t>
      </w:r>
      <w:r>
        <w:rPr>
          <w:rFonts w:ascii="Arial" w:cs="Arial" w:eastAsia="Arial" w:hAnsi="Arial"/>
          <w:sz w:val="18"/>
          <w:szCs w:val="18"/>
          <w:color w:val="auto"/>
        </w:rPr>
        <w:t>remain open until 10:00 a.m. on February 26, 2013 for the proposal to authorize flexibility for the Company, with the approval of its Board of Directors, to sell shares of its common stock during the next 12 months, at a price below its then current net asset value per share, subject to certain limitations as described in the proxy statement. The meeting will be reconvened at the offices of Dechert LLP, located at 1095 Avenue of the Americas, New York, New York, on February 26, 2013, at 10:00 a.m.</w:t>
      </w:r>
    </w:p>
    <w:p>
      <w:pPr>
        <w:sectPr>
          <w:pgSz w:w="11900" w:h="16838" w:orient="portrait"/>
          <w:cols w:equalWidth="0" w:num="1">
            <w:col w:w="11220"/>
          </w:cols>
          <w:pgMar w:left="320" w:top="274"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7"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Dated: February 8, 2013</w:t>
      </w:r>
      <w:r>
        <w:rPr>
          <w:sz w:val="20"/>
          <w:szCs w:val="20"/>
          <w:color w:val="auto"/>
        </w:rPr>
        <w:tab/>
      </w:r>
      <w:r>
        <w:rPr>
          <w:rFonts w:ascii="Arial" w:cs="Arial" w:eastAsia="Arial" w:hAnsi="Arial"/>
          <w:sz w:val="16"/>
          <w:szCs w:val="16"/>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00"/>
      </w:cols>
      <w:pgMar w:left="32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2020-05-05T12:04:54Z</dcterms:created>
  <dcterms:modified xsi:type="dcterms:W3CDTF">2020-05-05T12:04:54Z</dcterms:modified>
</cp:coreProperties>
</file>