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6"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2013</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280"/>
        <w:spacing w:after="0"/>
        <w:tabs>
          <w:tab w:leader="none" w:pos="7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5960" w:type="dxa"/>
            <w:vAlign w:val="bottom"/>
          </w:tcPr>
          <w:p>
            <w:pPr>
              <w:jc w:val="center"/>
              <w:ind w:right="3482"/>
              <w:spacing w:after="0"/>
              <w:rPr>
                <w:sz w:val="20"/>
                <w:szCs w:val="20"/>
                <w:color w:val="auto"/>
              </w:rPr>
            </w:pPr>
            <w:r>
              <w:rPr>
                <w:rFonts w:ascii="Arial" w:cs="Arial" w:eastAsia="Arial" w:hAnsi="Arial"/>
                <w:sz w:val="18"/>
                <w:szCs w:val="18"/>
                <w:b w:val="1"/>
                <w:bCs w:val="1"/>
                <w:color w:val="auto"/>
              </w:rPr>
              <w:t>MARYLAND</w:t>
            </w:r>
          </w:p>
        </w:tc>
        <w:tc>
          <w:tcPr>
            <w:tcW w:w="1440" w:type="dxa"/>
            <w:vAlign w:val="bottom"/>
          </w:tcPr>
          <w:p>
            <w:pPr>
              <w:jc w:val="right"/>
              <w:ind w:right="24"/>
              <w:spacing w:after="0"/>
              <w:rPr>
                <w:sz w:val="20"/>
                <w:szCs w:val="20"/>
                <w:color w:val="auto"/>
              </w:rPr>
            </w:pPr>
            <w:r>
              <w:rPr>
                <w:rFonts w:ascii="Arial" w:cs="Arial" w:eastAsia="Arial" w:hAnsi="Arial"/>
                <w:sz w:val="18"/>
                <w:szCs w:val="18"/>
                <w:b w:val="1"/>
                <w:bCs w:val="1"/>
                <w:color w:val="auto"/>
              </w:rPr>
              <w:t>27-3794690</w:t>
            </w:r>
          </w:p>
        </w:tc>
      </w:tr>
      <w:tr>
        <w:trPr>
          <w:trHeight w:val="148"/>
        </w:trPr>
        <w:tc>
          <w:tcPr>
            <w:tcW w:w="5960" w:type="dxa"/>
            <w:vAlign w:val="bottom"/>
          </w:tcPr>
          <w:p>
            <w:pPr>
              <w:jc w:val="center"/>
              <w:ind w:right="3482"/>
              <w:spacing w:after="0"/>
              <w:rPr>
                <w:sz w:val="20"/>
                <w:szCs w:val="20"/>
                <w:color w:val="auto"/>
              </w:rPr>
            </w:pPr>
            <w:r>
              <w:rPr>
                <w:rFonts w:ascii="Arial" w:cs="Arial" w:eastAsia="Arial" w:hAnsi="Arial"/>
                <w:sz w:val="13"/>
                <w:szCs w:val="13"/>
                <w:b w:val="1"/>
                <w:bCs w:val="1"/>
                <w:color w:val="auto"/>
                <w:w w:val="94"/>
              </w:rPr>
              <w:t>(State or other jurisdiction of</w:t>
            </w:r>
          </w:p>
        </w:tc>
        <w:tc>
          <w:tcPr>
            <w:tcW w:w="1440" w:type="dxa"/>
            <w:vAlign w:val="bottom"/>
          </w:tcPr>
          <w:p>
            <w:pPr>
              <w:jc w:val="center"/>
              <w:ind w:left="30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5960" w:type="dxa"/>
            <w:vAlign w:val="bottom"/>
          </w:tcPr>
          <w:p>
            <w:pPr>
              <w:jc w:val="center"/>
              <w:ind w:right="3482"/>
              <w:spacing w:after="0"/>
              <w:rPr>
                <w:sz w:val="20"/>
                <w:szCs w:val="20"/>
                <w:color w:val="auto"/>
              </w:rPr>
            </w:pPr>
            <w:r>
              <w:rPr>
                <w:rFonts w:ascii="Arial" w:cs="Arial" w:eastAsia="Arial" w:hAnsi="Arial"/>
                <w:sz w:val="13"/>
                <w:szCs w:val="13"/>
                <w:b w:val="1"/>
                <w:bCs w:val="1"/>
                <w:color w:val="auto"/>
                <w:w w:val="94"/>
              </w:rPr>
              <w:t>incorporation or organization)</w:t>
            </w:r>
          </w:p>
        </w:tc>
        <w:tc>
          <w:tcPr>
            <w:tcW w:w="1440" w:type="dxa"/>
            <w:vAlign w:val="bottom"/>
          </w:tcPr>
          <w:p>
            <w:pPr>
              <w:jc w:val="center"/>
              <w:ind w:left="30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5960" w:type="dxa"/>
            <w:vAlign w:val="bottom"/>
          </w:tcPr>
          <w:p>
            <w:pPr>
              <w:jc w:val="center"/>
              <w:ind w:right="3482"/>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1440" w:type="dxa"/>
            <w:vAlign w:val="bottom"/>
          </w:tcPr>
          <w:p>
            <w:pPr>
              <w:spacing w:after="0"/>
              <w:rPr>
                <w:sz w:val="24"/>
                <w:szCs w:val="24"/>
                <w:color w:val="auto"/>
              </w:rPr>
            </w:pPr>
          </w:p>
        </w:tc>
      </w:tr>
      <w:tr>
        <w:trPr>
          <w:trHeight w:val="231"/>
        </w:trPr>
        <w:tc>
          <w:tcPr>
            <w:tcW w:w="5960" w:type="dxa"/>
            <w:vAlign w:val="bottom"/>
          </w:tcPr>
          <w:p>
            <w:pPr>
              <w:jc w:val="center"/>
              <w:ind w:right="3482"/>
              <w:spacing w:after="0"/>
              <w:rPr>
                <w:sz w:val="20"/>
                <w:szCs w:val="20"/>
                <w:color w:val="auto"/>
              </w:rPr>
            </w:pPr>
            <w:r>
              <w:rPr>
                <w:rFonts w:ascii="Arial" w:cs="Arial" w:eastAsia="Arial" w:hAnsi="Arial"/>
                <w:sz w:val="18"/>
                <w:szCs w:val="18"/>
                <w:b w:val="1"/>
                <w:bCs w:val="1"/>
                <w:color w:val="auto"/>
                <w:w w:val="91"/>
              </w:rPr>
              <w:t>New York, N.Y.</w:t>
            </w:r>
          </w:p>
        </w:tc>
        <w:tc>
          <w:tcPr>
            <w:tcW w:w="1440" w:type="dxa"/>
            <w:vAlign w:val="bottom"/>
          </w:tcPr>
          <w:p>
            <w:pPr>
              <w:jc w:val="right"/>
              <w:ind w:right="224"/>
              <w:spacing w:after="0"/>
              <w:rPr>
                <w:sz w:val="20"/>
                <w:szCs w:val="20"/>
                <w:color w:val="auto"/>
              </w:rPr>
            </w:pPr>
            <w:r>
              <w:rPr>
                <w:rFonts w:ascii="Arial" w:cs="Arial" w:eastAsia="Arial" w:hAnsi="Arial"/>
                <w:sz w:val="18"/>
                <w:szCs w:val="18"/>
                <w:b w:val="1"/>
                <w:bCs w:val="1"/>
                <w:color w:val="auto"/>
              </w:rPr>
              <w:t>10022</w:t>
            </w:r>
          </w:p>
        </w:tc>
      </w:tr>
      <w:tr>
        <w:trPr>
          <w:trHeight w:val="174"/>
        </w:trPr>
        <w:tc>
          <w:tcPr>
            <w:tcW w:w="5960" w:type="dxa"/>
            <w:vAlign w:val="bottom"/>
          </w:tcPr>
          <w:p>
            <w:pPr>
              <w:jc w:val="center"/>
              <w:ind w:right="3482"/>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1440" w:type="dxa"/>
            <w:vAlign w:val="bottom"/>
          </w:tcPr>
          <w:p>
            <w:pPr>
              <w:jc w:val="center"/>
              <w:ind w:left="30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5960" w:type="dxa"/>
            <w:vAlign w:val="bottom"/>
          </w:tcPr>
          <w:p>
            <w:pPr>
              <w:jc w:val="right"/>
              <w:ind w:right="1342"/>
              <w:spacing w:after="0"/>
              <w:rPr>
                <w:sz w:val="20"/>
                <w:szCs w:val="20"/>
                <w:color w:val="auto"/>
              </w:rPr>
            </w:pPr>
            <w:r>
              <w:rPr>
                <w:rFonts w:ascii="Arial" w:cs="Arial" w:eastAsia="Arial" w:hAnsi="Arial"/>
                <w:sz w:val="18"/>
                <w:szCs w:val="18"/>
                <w:b w:val="1"/>
                <w:bCs w:val="1"/>
                <w:color w:val="auto"/>
              </w:rPr>
              <w:t>(212)-905-1000</w:t>
            </w:r>
          </w:p>
        </w:tc>
        <w:tc>
          <w:tcPr>
            <w:tcW w:w="1440" w:type="dxa"/>
            <w:vAlign w:val="bottom"/>
          </w:tcPr>
          <w:p>
            <w:pPr>
              <w:spacing w:after="0"/>
              <w:rPr>
                <w:sz w:val="24"/>
                <w:szCs w:val="24"/>
                <w:color w:val="auto"/>
              </w:rPr>
            </w:pPr>
          </w:p>
        </w:tc>
      </w:tr>
      <w:tr>
        <w:trPr>
          <w:trHeight w:val="174"/>
        </w:trPr>
        <w:tc>
          <w:tcPr>
            <w:tcW w:w="5960" w:type="dxa"/>
            <w:vAlign w:val="bottom"/>
          </w:tcPr>
          <w:p>
            <w:pPr>
              <w:jc w:val="center"/>
              <w:ind w:left="1942"/>
              <w:spacing w:after="0"/>
              <w:rPr>
                <w:sz w:val="20"/>
                <w:szCs w:val="20"/>
                <w:color w:val="auto"/>
              </w:rPr>
            </w:pPr>
            <w:r>
              <w:rPr>
                <w:rFonts w:ascii="Arial" w:cs="Arial" w:eastAsia="Arial" w:hAnsi="Arial"/>
                <w:sz w:val="13"/>
                <w:szCs w:val="13"/>
                <w:b w:val="1"/>
                <w:bCs w:val="1"/>
                <w:color w:val="auto"/>
                <w:w w:val="93"/>
              </w:rPr>
              <w:t>(Registrant’s Telephone Number, Including Area Code)</w:t>
            </w:r>
          </w:p>
        </w:tc>
        <w:tc>
          <w:tcPr>
            <w:tcW w:w="14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94615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5" w:lineRule="exact"/>
        <w:rPr>
          <w:sz w:val="24"/>
          <w:szCs w:val="24"/>
          <w:color w:val="auto"/>
        </w:rPr>
      </w:pPr>
    </w:p>
    <w:p>
      <w:pPr>
        <w:ind w:right="12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9100" w:space="180"/>
            <w:col w:w="1960"/>
          </w:cols>
          <w:pgMar w:left="320" w:top="230" w:right="339" w:bottom="144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May 9, 2013 was 10,302,912.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MARCH 31, 2013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40" w:type="dxa"/>
            <w:vAlign w:val="bottom"/>
          </w:tcPr>
          <w:p>
            <w:pPr>
              <w:ind w:left="3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CONSOLIDATED FINANCIAL INFORMATION</w:t>
              </w:r>
            </w:hyperlink>
          </w:p>
        </w:tc>
        <w:tc>
          <w:tcPr>
            <w:tcW w:w="1400" w:type="dxa"/>
            <w:vAlign w:val="bottom"/>
          </w:tcPr>
          <w:p>
            <w:pPr>
              <w:spacing w:after="0"/>
              <w:rPr>
                <w:sz w:val="19"/>
                <w:szCs w:val="19"/>
                <w:color w:val="auto"/>
              </w:rPr>
            </w:pP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Consolidated Financial Statements</w:t>
              </w:r>
            </w:hyperlink>
          </w:p>
        </w:tc>
        <w:tc>
          <w:tcPr>
            <w:tcW w:w="1400" w:type="dxa"/>
            <w:vAlign w:val="bottom"/>
          </w:tcPr>
          <w:p>
            <w:pPr>
              <w:spacing w:after="0"/>
              <w:rPr>
                <w:sz w:val="24"/>
                <w:szCs w:val="24"/>
                <w:color w:val="auto"/>
              </w:rPr>
            </w:pP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as of March 31, 2013 (unaudited) and September 30, 2012</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and six months ended March 31, 2013 and 2012 (unaudited)</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Changes in Net Assets for the six months ended March 31, 2013 and 2012 (unaudited)</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six months ended March 31, 2013 and 2012 (unaudited)</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as of March 31, 2013 (unaudited) and September 30, 2012</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Consolidated Financial Statements (unaudited)</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Report of Independent Registered Public Accounting Firm</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3. Quantitative And Qualitative Disclosures About Market Risk</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4. Controls and Procedures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740" w:type="dxa"/>
            <w:vAlign w:val="bottom"/>
          </w:tcPr>
          <w:p>
            <w:pPr>
              <w:ind w:left="4000"/>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PART II. OTHER INFORMATION</w:t>
              </w:r>
            </w:hyperlink>
          </w:p>
        </w:tc>
        <w:tc>
          <w:tcPr>
            <w:tcW w:w="1400" w:type="dxa"/>
            <w:vAlign w:val="bottom"/>
          </w:tcPr>
          <w:p>
            <w:pPr>
              <w:spacing w:after="0"/>
              <w:rPr>
                <w:sz w:val="24"/>
                <w:szCs w:val="24"/>
                <w:color w:val="auto"/>
              </w:rPr>
            </w:pP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1. Legal Proceedings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1A. Risk Factors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2. Unregistered Sales of Equity Securities and Use of Proceeds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3. Defaults Upon Senior Securities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4. Mine Safety Disclosures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5. Other Information</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6. Exhibits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SIGNATURES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filing this Form 10-Q, or the Report, in compliance with Rule 13a-13 promulgated by the Securities and Exchange Commission, or the SEC. In this Report, except where the context suggests otherwise, the terms “Company,” “we,” “our” or “us” refer to PennantPark Floating Rate Capital Ltd. and its consolidated subsidiary;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senior secured revolving credit facility, as amended, or the Credit Facility, and our business include investments we make through our wholly owned consolidated subsidiary PennantPark Floating Rate Funding I, LLC, or Funding 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0" w:type="dxa"/>
            <w:vAlign w:val="bottom"/>
          </w:tcPr>
          <w:p>
            <w:pPr>
              <w:ind w:left="180"/>
              <w:spacing w:after="0"/>
              <w:rPr>
                <w:sz w:val="20"/>
                <w:szCs w:val="20"/>
                <w:color w:val="auto"/>
              </w:rPr>
            </w:pPr>
            <w:r>
              <w:rPr>
                <w:rFonts w:ascii="Arial" w:cs="Arial" w:eastAsia="Arial" w:hAnsi="Arial"/>
                <w:sz w:val="18"/>
                <w:szCs w:val="18"/>
                <w:b w:val="1"/>
                <w:bCs w:val="1"/>
                <w:color w:val="auto"/>
              </w:rPr>
              <w:t>Consolidated Financial Statements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0" w:type="dxa"/>
            <w:vAlign w:val="bottom"/>
          </w:tcPr>
          <w:p>
            <w:pPr>
              <w:spacing w:after="0"/>
              <w:rPr>
                <w:sz w:val="24"/>
                <w:szCs w:val="24"/>
                <w:color w:val="auto"/>
              </w:rPr>
            </w:pPr>
          </w:p>
        </w:tc>
        <w:tc>
          <w:tcPr>
            <w:tcW w:w="7680" w:type="dxa"/>
            <w:vAlign w:val="bottom"/>
            <w:gridSpan w:val="7"/>
          </w:tcPr>
          <w:p>
            <w:pPr>
              <w:ind w:left="2000"/>
              <w:spacing w:after="0"/>
              <w:rPr>
                <w:sz w:val="20"/>
                <w:szCs w:val="20"/>
                <w:color w:val="auto"/>
              </w:rPr>
            </w:pPr>
            <w:r>
              <w:rPr>
                <w:rFonts w:ascii="Arial" w:cs="Arial" w:eastAsia="Arial" w:hAnsi="Arial"/>
                <w:sz w:val="18"/>
                <w:szCs w:val="18"/>
                <w:b w:val="1"/>
                <w:bCs w:val="1"/>
                <w:color w:val="auto"/>
                <w:w w:val="98"/>
              </w:rPr>
              <w:t>PENNANTPARK FLOATING RATE CAPITAL LTD. AND SUBSIDIARY</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744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CONSOLIDATED STATEMENTS OF ASSETS AND LIABILITIES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7"/>
              </w:rPr>
              <w:t>March 31, 2013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(unaudited)</w:t>
            </w:r>
          </w:p>
        </w:tc>
        <w:tc>
          <w:tcPr>
            <w:tcW w:w="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September 30, 2012</w:t>
            </w:r>
          </w:p>
        </w:tc>
        <w:tc>
          <w:tcPr>
            <w:tcW w:w="0" w:type="dxa"/>
            <w:vAlign w:val="bottom"/>
          </w:tcPr>
          <w:p>
            <w:pPr>
              <w:spacing w:after="0"/>
              <w:rPr>
                <w:sz w:val="1"/>
                <w:szCs w:val="1"/>
                <w:color w:val="auto"/>
              </w:rPr>
            </w:pPr>
          </w:p>
        </w:tc>
      </w:tr>
      <w:tr>
        <w:trPr>
          <w:trHeight w:val="196"/>
        </w:trPr>
        <w:tc>
          <w:tcPr>
            <w:tcW w:w="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Non-controlled, non-affiliated investments, at fair value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(cost—$183,536,973 and $171,578,009, respectively)</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183,869,762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171,834,400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Cash equivalents (See Note 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2,725,248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3,845,803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1,231,099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Receivable for investments sold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986,278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50,735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311,313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6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187,876,844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178,366,661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Liabilities</w:t>
            </w:r>
          </w:p>
        </w:tc>
        <w:tc>
          <w:tcPr>
            <w:tcW w:w="6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599,476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11,852,369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w w:val="89"/>
              </w:rPr>
              <w:t>Credit Facility payable (cost—$34,200,000 and $75,500,000, respectively) (See Notes 5 and 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34,200,000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75,122,500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153,476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Management fee payable (See Note 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456,637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424,747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876,067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Accrued other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859,334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sales load charges (See Note 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00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48,997,359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82,622,784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Net Assets</w:t>
            </w:r>
          </w:p>
        </w:tc>
        <w:tc>
          <w:tcPr>
            <w:tcW w:w="6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w w:val="94"/>
              </w:rPr>
              <w:t>Common stock, 9,851,151 and 6,850,667 shares are issued and outstanding, respectively.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9,851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Paid-in capital in excess of par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136,796,167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95,192,222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(1,030,705)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(1,313,000)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Accumulated net realized gain on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2,771,383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1,223,913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332,789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unrealized depreciation on Credit Facility</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60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138,879,485</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95,743,877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6000" w:type="dxa"/>
            <w:vAlign w:val="bottom"/>
            <w:vMerge w:val="continue"/>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187,876,844</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178,366,661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8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14.10</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16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w w:val="98"/>
              </w:rPr>
              <w:t>Three Months Ended March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ind w:left="6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3,976,016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2,824,557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7,614,243</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5,267,364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44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163,861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119,173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488,307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4,139,877</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2,943,730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8,102,550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5,410,758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(See Note 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456,637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563,191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175,740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980,220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expenses on the Credit Facility (See Note 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495,395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153,679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149,624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308,824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271,709</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440"/>
              <w:spacing w:after="0"/>
              <w:rPr>
                <w:sz w:val="20"/>
                <w:szCs w:val="20"/>
                <w:color w:val="auto"/>
              </w:rPr>
            </w:pPr>
            <w:r>
              <w:rPr>
                <w:rFonts w:ascii="Arial" w:cs="Arial" w:eastAsia="Arial" w:hAnsi="Arial"/>
                <w:sz w:val="18"/>
                <w:szCs w:val="18"/>
                <w:b w:val="1"/>
                <w:bCs w:val="1"/>
                <w:color w:val="auto"/>
              </w:rPr>
              <w:t>Expenses before excise tax expense and amendment costs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1,940,611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1,398,830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3,810,339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2,490,959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Excise tax</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Pr>
          <w:p>
            <w:pPr>
              <w:ind w:left="440"/>
              <w:spacing w:after="0"/>
              <w:rPr>
                <w:sz w:val="20"/>
                <w:szCs w:val="20"/>
                <w:color w:val="auto"/>
              </w:rPr>
            </w:pPr>
            <w:r>
              <w:rPr>
                <w:rFonts w:ascii="Arial" w:cs="Arial" w:eastAsia="Arial" w:hAnsi="Arial"/>
                <w:sz w:val="18"/>
                <w:szCs w:val="18"/>
                <w:color w:val="auto"/>
              </w:rPr>
              <w:t>Credit Facility amendment costs (See Note 9)</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2,473,952</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1,398,830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4,377,752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2,490,959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44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1,665,925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1,544,900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3,724,798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2,919,799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1,104,627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95,712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1,547,470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435,183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2,996,463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76,398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4,065,554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Facility (appreciation) depreciation (See Note 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(112,000)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440"/>
              <w:spacing w:after="0"/>
              <w:rPr>
                <w:sz w:val="20"/>
                <w:szCs w:val="20"/>
                <w:color w:val="auto"/>
              </w:rPr>
            </w:pPr>
            <w:r>
              <w:rPr>
                <w:rFonts w:ascii="Arial" w:cs="Arial" w:eastAsia="Arial" w:hAnsi="Arial"/>
                <w:sz w:val="18"/>
                <w:szCs w:val="18"/>
                <w:b w:val="1"/>
                <w:bCs w:val="1"/>
                <w:color w:val="auto"/>
                <w:w w:val="93"/>
              </w:rPr>
              <w:t>Net change in unrealized appreciation (depreciation) on investments and Credit</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660"/>
              <w:spacing w:after="0"/>
              <w:rPr>
                <w:sz w:val="20"/>
                <w:szCs w:val="20"/>
                <w:color w:val="auto"/>
              </w:rPr>
            </w:pPr>
            <w:r>
              <w:rPr>
                <w:rFonts w:ascii="Arial" w:cs="Arial" w:eastAsia="Arial" w:hAnsi="Arial"/>
                <w:sz w:val="18"/>
                <w:szCs w:val="18"/>
                <w:b w:val="1"/>
                <w:bCs w:val="1"/>
                <w:color w:val="auto"/>
              </w:rPr>
              <w:t>Facility</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435,183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2,884,463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(301,102)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4,304,554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from investments and Credit Facility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1,539,810</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2,980,175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1,246,368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4,710,441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3,205,735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4,525,075</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4,971,166</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7,630,240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 Net increase in net assets resulting from operations per common share (See Note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Basic - Net investment income per common share</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0.24</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0.54</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0"/>
              </w:rPr>
              <w:t>Diluted - Net increase in net assets resulting from operations per common share (See Note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Diluted - Net investment income per common share</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0.24</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0.53</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8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3,724,798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2,919,799</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gain on investments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1,547,470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405,887</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76,398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4,065,554</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(377,500)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30"/>
        </w:trPr>
        <w:tc>
          <w:tcPr>
            <w:tcW w:w="894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4,971,166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7,630,240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(3,442,503)</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(2,980,040)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Public offering and distributions reinvested</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42,006,945</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940" w:type="dxa"/>
            <w:vAlign w:val="bottom"/>
          </w:tcPr>
          <w:p>
            <w:pPr>
              <w:spacing w:after="0"/>
              <w:rPr>
                <w:sz w:val="20"/>
                <w:szCs w:val="20"/>
                <w:color w:val="auto"/>
              </w:rPr>
            </w:pPr>
            <w:r>
              <w:rPr>
                <w:rFonts w:ascii="Arial" w:cs="Arial" w:eastAsia="Arial" w:hAnsi="Arial"/>
                <w:sz w:val="18"/>
                <w:szCs w:val="18"/>
                <w:b w:val="1"/>
                <w:bCs w:val="1"/>
                <w:color w:val="auto"/>
              </w:rPr>
              <w:t>Net increase in net assets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43,135,608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4,650,200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95,743,877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92,072,105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138,879,485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96,722,305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ind w:left="440"/>
              <w:spacing w:after="0"/>
              <w:rPr>
                <w:sz w:val="20"/>
                <w:szCs w:val="20"/>
                <w:color w:val="auto"/>
              </w:rPr>
            </w:pPr>
            <w:r>
              <w:rPr>
                <w:rFonts w:ascii="Arial" w:cs="Arial" w:eastAsia="Arial" w:hAnsi="Arial"/>
                <w:sz w:val="18"/>
                <w:szCs w:val="18"/>
                <w:color w:val="auto"/>
              </w:rPr>
              <w:t>Distributions in excess of net investment income, end of period</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(1,030,705)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(1,452,769)</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Shares issued from public offering</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from reinvestment of dividends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8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2013</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4,971,166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7,630,240</w:t>
            </w:r>
          </w:p>
        </w:tc>
        <w:tc>
          <w:tcPr>
            <w:tcW w:w="0" w:type="dxa"/>
            <w:vAlign w:val="bottom"/>
          </w:tcPr>
          <w:p>
            <w:pPr>
              <w:spacing w:after="0"/>
              <w:rPr>
                <w:sz w:val="1"/>
                <w:szCs w:val="1"/>
                <w:color w:val="auto"/>
              </w:rPr>
            </w:pPr>
          </w:p>
        </w:tc>
      </w:tr>
      <w:tr>
        <w:trPr>
          <w:trHeight w:val="208"/>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Adjustments to reconcile net increase in net assets resulting from operations to net cash provided by (used for)</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Net change in unrealized appreciation on investments</w:t>
            </w: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(76,398)</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(4,065,554)</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Net realized gain on investments</w:t>
            </w: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(1,547,470)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(405,887)</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(565,957)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(333,296)</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(83,971,182)</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(72,216,125)</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Payments-in-kind interest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(101,480)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(47,292)</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74,227,125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41,604,263</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receivable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(353,235)</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Decrease in receivables for investments sold</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986,278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2,467,500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112,632</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Increase in payables for investments purchased</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8,494,869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1,788,630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payable on Credit Facility</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192,249</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Increase in management fee payable</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103,920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175,740</w:t>
            </w:r>
          </w:p>
        </w:tc>
        <w:tc>
          <w:tcPr>
            <w:tcW w:w="0" w:type="dxa"/>
            <w:vAlign w:val="bottom"/>
          </w:tcPr>
          <w:p>
            <w:pPr>
              <w:spacing w:after="0"/>
              <w:rPr>
                <w:sz w:val="1"/>
                <w:szCs w:val="1"/>
                <w:color w:val="auto"/>
              </w:rPr>
            </w:pPr>
          </w:p>
        </w:tc>
      </w:tr>
      <w:tr>
        <w:trPr>
          <w:trHeight w:val="223"/>
        </w:trPr>
        <w:tc>
          <w:tcPr>
            <w:tcW w:w="8720" w:type="dxa"/>
            <w:vAlign w:val="bottom"/>
          </w:tcPr>
          <w:p>
            <w:pPr>
              <w:ind w:left="880"/>
              <w:spacing w:after="0"/>
              <w:rPr>
                <w:sz w:val="20"/>
                <w:szCs w:val="20"/>
                <w:color w:val="auto"/>
              </w:rPr>
            </w:pPr>
            <w:r>
              <w:rPr>
                <w:rFonts w:ascii="Arial" w:cs="Arial" w:eastAsia="Arial" w:hAnsi="Arial"/>
                <w:sz w:val="18"/>
                <w:szCs w:val="18"/>
                <w:color w:val="auto"/>
              </w:rPr>
              <w:t>Increase in accrued other expenses</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412,214</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for) operating activities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4,018,580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(23,342,303)</w:t>
            </w:r>
          </w:p>
        </w:tc>
        <w:tc>
          <w:tcPr>
            <w:tcW w:w="0" w:type="dxa"/>
            <w:vAlign w:val="bottom"/>
          </w:tcPr>
          <w:p>
            <w:pPr>
              <w:spacing w:after="0"/>
              <w:rPr>
                <w:sz w:val="1"/>
                <w:szCs w:val="1"/>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Public offering</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42,000,000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Offering costs</w:t>
            </w: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sales load paid</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(2,055,000)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Distributions paid to stockholders</w:t>
            </w: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(3,384,135)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(2,945,787)</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Notes 5 and 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45,250,000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54,050,000</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Notes 5 and 9)</w:t>
            </w: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(86,550,000)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(30,900,000)</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for) provided by financing activities</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(5,139,135)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20,204,213</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(1,120,555)</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(3,138,090)</w:t>
            </w: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3,845,803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2,725,248</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3,849,360</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2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974,538</w:t>
            </w: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Excise taxes paid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tcPr>
          <w:p>
            <w:pPr>
              <w:ind w:left="440"/>
              <w:spacing w:after="0"/>
              <w:rPr>
                <w:sz w:val="20"/>
                <w:szCs w:val="20"/>
                <w:color w:val="auto"/>
              </w:rPr>
            </w:pPr>
            <w:r>
              <w:rPr>
                <w:rFonts w:ascii="Arial" w:cs="Arial" w:eastAsia="Arial" w:hAnsi="Arial"/>
                <w:sz w:val="18"/>
                <w:szCs w:val="18"/>
                <w:color w:val="auto"/>
              </w:rPr>
              <w:t>Dividend reinvested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w:t>
            </w: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360" w:type="dxa"/>
            <w:vAlign w:val="bottom"/>
            <w:vMerge w:val="restart"/>
          </w:tcPr>
          <w:p>
            <w:pPr>
              <w:jc w:val="center"/>
              <w:ind w:left="573"/>
              <w:spacing w:after="0"/>
              <w:rPr>
                <w:sz w:val="20"/>
                <w:szCs w:val="20"/>
                <w:color w:val="auto"/>
              </w:rPr>
            </w:pPr>
            <w:r>
              <w:rPr>
                <w:rFonts w:ascii="Arial" w:cs="Arial" w:eastAsia="Arial" w:hAnsi="Arial"/>
                <w:sz w:val="13"/>
                <w:szCs w:val="13"/>
                <w:b w:val="1"/>
                <w:bCs w:val="1"/>
                <w:color w:val="auto"/>
              </w:rPr>
              <w:t>Maturity</w:t>
            </w:r>
          </w:p>
        </w:tc>
        <w:tc>
          <w:tcPr>
            <w:tcW w:w="21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Industry</w:t>
            </w:r>
          </w:p>
        </w:tc>
        <w:tc>
          <w:tcPr>
            <w:tcW w:w="940" w:type="dxa"/>
            <w:vAlign w:val="bottom"/>
          </w:tcPr>
          <w:p>
            <w:pPr>
              <w:ind w:left="100"/>
              <w:spacing w:after="0"/>
              <w:rPr>
                <w:sz w:val="20"/>
                <w:szCs w:val="20"/>
                <w:color w:val="auto"/>
              </w:rPr>
            </w:pPr>
            <w:r>
              <w:rPr>
                <w:rFonts w:ascii="Arial" w:cs="Arial" w:eastAsia="Arial" w:hAnsi="Arial"/>
                <w:sz w:val="13"/>
                <w:szCs w:val="13"/>
                <w:b w:val="1"/>
                <w:bCs w:val="1"/>
                <w:color w:val="auto"/>
              </w:rPr>
              <w:t>Current</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740" w:type="dxa"/>
            <w:vAlign w:val="bottom"/>
          </w:tcPr>
          <w:p>
            <w:pPr>
              <w:jc w:val="right"/>
              <w:ind w:right="173"/>
              <w:spacing w:after="0"/>
              <w:rPr>
                <w:sz w:val="20"/>
                <w:szCs w:val="20"/>
                <w:color w:val="auto"/>
              </w:rPr>
            </w:pPr>
            <w:r>
              <w:rPr>
                <w:rFonts w:ascii="Arial" w:cs="Arial" w:eastAsia="Arial" w:hAnsi="Arial"/>
                <w:sz w:val="13"/>
                <w:szCs w:val="13"/>
                <w:b w:val="1"/>
                <w:bCs w:val="1"/>
                <w:color w:val="auto"/>
              </w:rPr>
              <w:t>Par /</w:t>
            </w:r>
          </w:p>
        </w:tc>
        <w:tc>
          <w:tcPr>
            <w:tcW w:w="78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Cost</w:t>
            </w:r>
          </w:p>
        </w:tc>
        <w:tc>
          <w:tcPr>
            <w:tcW w:w="960" w:type="dxa"/>
            <w:vAlign w:val="bottom"/>
          </w:tcPr>
          <w:p>
            <w:pPr>
              <w:jc w:val="right"/>
              <w:ind w:right="193"/>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460" w:type="dxa"/>
            <w:vAlign w:val="bottom"/>
            <w:tcBorders>
              <w:bottom w:val="single" w:sz="8" w:color="auto"/>
            </w:tcBorders>
            <w:vMerge w:val="continue"/>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218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Coupon</w:t>
            </w:r>
          </w:p>
        </w:tc>
        <w:tc>
          <w:tcPr>
            <w:tcW w:w="8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78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48"/>
        </w:trPr>
        <w:tc>
          <w:tcPr>
            <w:tcW w:w="34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482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Investments in Non-Controlled, Non-Affiliated Portfolio Companies—132.4%</w:t>
            </w:r>
            <w:r>
              <w:rPr>
                <w:rFonts w:ascii="Arial" w:cs="Arial" w:eastAsia="Arial" w:hAnsi="Arial"/>
                <w:sz w:val="15"/>
                <w:szCs w:val="15"/>
                <w:b w:val="1"/>
                <w:bCs w:val="1"/>
                <w:color w:val="auto"/>
                <w:vertAlign w:val="superscript"/>
              </w:rPr>
              <w:t>(3),(4)</w:t>
            </w:r>
          </w:p>
        </w:tc>
        <w:tc>
          <w:tcPr>
            <w:tcW w:w="2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Debt—115.0%</w:t>
            </w:r>
          </w:p>
        </w:tc>
        <w:tc>
          <w:tcPr>
            <w:tcW w:w="136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ALG USA Holdings, LLC</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02/28/2019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L+575</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8,500,000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$8,429,233</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$ 8,415,000</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ARC Auto Group, Inc.</w:t>
            </w:r>
          </w:p>
        </w:tc>
        <w:tc>
          <w:tcPr>
            <w:tcW w:w="1360" w:type="dxa"/>
            <w:vAlign w:val="bottom"/>
            <w:shd w:val="clear" w:color="auto" w:fill="CCEEFF"/>
          </w:tcPr>
          <w:p>
            <w:pPr>
              <w:jc w:val="center"/>
              <w:ind w:left="573"/>
              <w:spacing w:after="0"/>
              <w:rPr>
                <w:sz w:val="20"/>
                <w:szCs w:val="20"/>
                <w:color w:val="auto"/>
              </w:rPr>
            </w:pPr>
            <w:r>
              <w:rPr>
                <w:rFonts w:ascii="Arial" w:cs="Arial" w:eastAsia="Arial" w:hAnsi="Arial"/>
                <w:sz w:val="13"/>
                <w:szCs w:val="13"/>
                <w:color w:val="auto"/>
                <w:w w:val="92"/>
              </w:rPr>
              <w:t>11/15/2018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6.25%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L+500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2,543,625</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2,519,876</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2,563,763</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Aspen Dental Management, Inc. </w:t>
            </w:r>
            <w:r>
              <w:rPr>
                <w:rFonts w:ascii="Arial" w:cs="Arial" w:eastAsia="Arial" w:hAnsi="Arial"/>
                <w:sz w:val="17"/>
                <w:szCs w:val="17"/>
                <w:color w:val="auto"/>
                <w:vertAlign w:val="superscript"/>
              </w:rPr>
              <w:t>(8)</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10/06/2016</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L+550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2,962,500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2,930,850</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2,836,594</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ATI Holdings, Inc. </w:t>
            </w:r>
            <w:r>
              <w:rPr>
                <w:rFonts w:ascii="Arial" w:cs="Arial" w:eastAsia="Arial" w:hAnsi="Arial"/>
                <w:sz w:val="17"/>
                <w:szCs w:val="17"/>
                <w:color w:val="auto"/>
                <w:vertAlign w:val="superscript"/>
              </w:rPr>
              <w:t>(8)</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12/21/2019</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5.75%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2,992,500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2,963,147</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3,033,647</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Attachmate Corporation</w:t>
            </w:r>
          </w:p>
        </w:tc>
        <w:tc>
          <w:tcPr>
            <w:tcW w:w="1360" w:type="dxa"/>
            <w:vAlign w:val="bottom"/>
          </w:tcPr>
          <w:p>
            <w:pPr>
              <w:jc w:val="center"/>
              <w:ind w:left="573"/>
              <w:spacing w:after="0"/>
              <w:rPr>
                <w:sz w:val="20"/>
                <w:szCs w:val="20"/>
                <w:color w:val="auto"/>
              </w:rPr>
            </w:pPr>
            <w:r>
              <w:rPr>
                <w:rFonts w:ascii="Arial" w:cs="Arial" w:eastAsia="Arial" w:hAnsi="Arial"/>
                <w:sz w:val="13"/>
                <w:szCs w:val="13"/>
                <w:color w:val="auto"/>
                <w:w w:val="92"/>
              </w:rPr>
              <w:t>11/22/2017</w:t>
            </w:r>
          </w:p>
        </w:tc>
        <w:tc>
          <w:tcPr>
            <w:tcW w:w="218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7.25%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L+575</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2,831,250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2,784,237</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2,854,843</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Autoparts Holdings Limited</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07/31/2017</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6.50%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L+500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964,483</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960,942</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976,137</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BBB Industries, LLC</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03/27/2019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5.50%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L+425</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3,000,000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2,975,000</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3,000,000</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Berlin Packaging L.L.C. </w:t>
            </w:r>
            <w:r>
              <w:rPr>
                <w:rFonts w:ascii="Arial" w:cs="Arial" w:eastAsia="Arial" w:hAnsi="Arial"/>
                <w:sz w:val="17"/>
                <w:szCs w:val="17"/>
                <w:color w:val="auto"/>
                <w:vertAlign w:val="superscript"/>
              </w:rPr>
              <w:t>(8)</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03/28/2019</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Containers, Packaging and Glass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L+350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2,000,000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1,990,000</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1,990,000</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DCS Business Services, Inc.</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03/19/2018</w:t>
            </w:r>
          </w:p>
        </w:tc>
        <w:tc>
          <w:tcPr>
            <w:tcW w:w="218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7.25%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L+575</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3,714,375</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3,658,259</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3,658,659</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Document Technologies, Inc.</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12/03/2018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5.50%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L+425</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980,988</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973,177</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976,083</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DS Waters of America, Inc.</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08/29/2017</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Beverage, Food and Tobacco</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10.50%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L+900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3,960,000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3,892,574</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4,059,000</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EAG, Inc.</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07/28/2017</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P+350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925,363</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921,835</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923,050</w:t>
            </w:r>
          </w:p>
        </w:tc>
        <w:tc>
          <w:tcPr>
            <w:tcW w:w="0" w:type="dxa"/>
            <w:vAlign w:val="bottom"/>
          </w:tcPr>
          <w:p>
            <w:pPr>
              <w:spacing w:after="0"/>
              <w:rPr>
                <w:sz w:val="1"/>
                <w:szCs w:val="1"/>
                <w:color w:val="auto"/>
              </w:rPr>
            </w:pPr>
          </w:p>
        </w:tc>
      </w:tr>
      <w:tr>
        <w:trPr>
          <w:trHeight w:val="138"/>
        </w:trPr>
        <w:tc>
          <w:tcPr>
            <w:tcW w:w="3460" w:type="dxa"/>
            <w:vAlign w:val="bottom"/>
          </w:tcPr>
          <w:p>
            <w:pPr>
              <w:spacing w:after="0" w:line="138" w:lineRule="exact"/>
              <w:rPr>
                <w:sz w:val="20"/>
                <w:szCs w:val="20"/>
                <w:color w:val="auto"/>
              </w:rPr>
            </w:pPr>
            <w:r>
              <w:rPr>
                <w:rFonts w:ascii="Arial" w:cs="Arial" w:eastAsia="Arial" w:hAnsi="Arial"/>
                <w:sz w:val="13"/>
                <w:szCs w:val="13"/>
                <w:color w:val="auto"/>
              </w:rPr>
              <w:t>Edmenturn, Inc. (f/k/a Archipelago Learning, Inc.)</w:t>
            </w:r>
          </w:p>
        </w:tc>
        <w:tc>
          <w:tcPr>
            <w:tcW w:w="1360" w:type="dxa"/>
            <w:vAlign w:val="bottom"/>
          </w:tcPr>
          <w:p>
            <w:pPr>
              <w:jc w:val="center"/>
              <w:ind w:left="593"/>
              <w:spacing w:after="0" w:line="138" w:lineRule="exact"/>
              <w:rPr>
                <w:sz w:val="20"/>
                <w:szCs w:val="20"/>
                <w:color w:val="auto"/>
              </w:rPr>
            </w:pPr>
            <w:r>
              <w:rPr>
                <w:rFonts w:ascii="Arial" w:cs="Arial" w:eastAsia="Arial" w:hAnsi="Arial"/>
                <w:sz w:val="13"/>
                <w:szCs w:val="13"/>
                <w:color w:val="auto"/>
                <w:w w:val="95"/>
              </w:rPr>
              <w:t>05/17/2018</w:t>
            </w:r>
          </w:p>
        </w:tc>
        <w:tc>
          <w:tcPr>
            <w:tcW w:w="218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94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6.00%</w:t>
            </w:r>
          </w:p>
        </w:tc>
        <w:tc>
          <w:tcPr>
            <w:tcW w:w="8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L+475</w:t>
            </w:r>
          </w:p>
        </w:tc>
        <w:tc>
          <w:tcPr>
            <w:tcW w:w="7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962,813</w:t>
            </w:r>
          </w:p>
        </w:tc>
        <w:tc>
          <w:tcPr>
            <w:tcW w:w="780" w:type="dxa"/>
            <w:vAlign w:val="bottom"/>
          </w:tcPr>
          <w:p>
            <w:pPr>
              <w:jc w:val="right"/>
              <w:ind w:right="13"/>
              <w:spacing w:after="0" w:line="138" w:lineRule="exact"/>
              <w:rPr>
                <w:sz w:val="20"/>
                <w:szCs w:val="20"/>
                <w:color w:val="auto"/>
              </w:rPr>
            </w:pPr>
            <w:r>
              <w:rPr>
                <w:rFonts w:ascii="Arial" w:cs="Arial" w:eastAsia="Arial" w:hAnsi="Arial"/>
                <w:sz w:val="13"/>
                <w:szCs w:val="13"/>
                <w:color w:val="auto"/>
              </w:rPr>
              <w:t>962,812</w:t>
            </w:r>
          </w:p>
        </w:tc>
        <w:tc>
          <w:tcPr>
            <w:tcW w:w="9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966,423</w:t>
            </w: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EIG Investors Corp.</w:t>
            </w:r>
          </w:p>
        </w:tc>
        <w:tc>
          <w:tcPr>
            <w:tcW w:w="1360" w:type="dxa"/>
            <w:vAlign w:val="bottom"/>
            <w:shd w:val="clear" w:color="auto" w:fill="CCEEFF"/>
          </w:tcPr>
          <w:p>
            <w:pPr>
              <w:jc w:val="center"/>
              <w:ind w:left="573"/>
              <w:spacing w:after="0"/>
              <w:rPr>
                <w:sz w:val="20"/>
                <w:szCs w:val="20"/>
                <w:color w:val="auto"/>
              </w:rPr>
            </w:pPr>
            <w:r>
              <w:rPr>
                <w:rFonts w:ascii="Arial" w:cs="Arial" w:eastAsia="Arial" w:hAnsi="Arial"/>
                <w:sz w:val="13"/>
                <w:szCs w:val="13"/>
                <w:color w:val="auto"/>
                <w:w w:val="92"/>
              </w:rPr>
              <w:t>11/12/2019</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6.25%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L+500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1,995,000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1,976,242</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2,004,975</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Emerald Performance Materials, LLC</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05/18/2018</w:t>
            </w:r>
          </w:p>
        </w:tc>
        <w:tc>
          <w:tcPr>
            <w:tcW w:w="2180" w:type="dxa"/>
            <w:vAlign w:val="bottom"/>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6.75%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L+550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2,482,496</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2,463,517</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2,494,909</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eResearchtechnology, Inc.</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05/02/2018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2,985,019</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2,970,201</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3,014,869</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Fishnet Security, Inc.</w:t>
            </w:r>
          </w:p>
        </w:tc>
        <w:tc>
          <w:tcPr>
            <w:tcW w:w="1360" w:type="dxa"/>
            <w:vAlign w:val="bottom"/>
          </w:tcPr>
          <w:p>
            <w:pPr>
              <w:jc w:val="center"/>
              <w:ind w:left="573"/>
              <w:spacing w:after="0"/>
              <w:rPr>
                <w:sz w:val="20"/>
                <w:szCs w:val="20"/>
                <w:color w:val="auto"/>
              </w:rPr>
            </w:pPr>
            <w:r>
              <w:rPr>
                <w:rFonts w:ascii="Arial" w:cs="Arial" w:eastAsia="Arial" w:hAnsi="Arial"/>
                <w:sz w:val="13"/>
                <w:szCs w:val="13"/>
                <w:color w:val="auto"/>
                <w:w w:val="92"/>
              </w:rPr>
              <w:t>11/30/2017</w:t>
            </w:r>
          </w:p>
        </w:tc>
        <w:tc>
          <w:tcPr>
            <w:tcW w:w="218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7.75%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L+650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2,992,500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2,963,909</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2,992,500</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GFA Brands, Inc.</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07/02/2018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Beverage, Food and Tobacco</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L+575</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1,940,000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1,905,699</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1,961,825</w:t>
            </w: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09/02/2019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9.63%</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3,000,000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3,000,000</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3,360,000</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05/27/2016</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Industries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2,949,343</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2,940,257</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2,934,596</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HMK Intermediate Holdings LLC</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04/01/2019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7.25%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L+600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2,970,000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2,918,581</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2,992,275</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Howard Berger Co. LLC </w:t>
            </w:r>
            <w:r>
              <w:rPr>
                <w:rFonts w:ascii="Arial" w:cs="Arial" w:eastAsia="Arial" w:hAnsi="Arial"/>
                <w:sz w:val="17"/>
                <w:szCs w:val="17"/>
                <w:color w:val="auto"/>
                <w:vertAlign w:val="superscript"/>
              </w:rPr>
              <w:t>(8)</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08/03/2017</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Wholesale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L+575</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2,729,375</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2,694,461</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2,702,081</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03/30/2017</w:t>
            </w:r>
          </w:p>
        </w:tc>
        <w:tc>
          <w:tcPr>
            <w:tcW w:w="218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11.50%</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2,000,000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1,966,362</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2,200,000</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Ikaria Acqusition Inc.</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06/22/2016</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L+650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1,691,500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1,683,717</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1,708,415</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20"/>
                <w:szCs w:val="20"/>
                <w:color w:val="auto"/>
              </w:rPr>
            </w:pPr>
            <w:r>
              <w:rPr>
                <w:rFonts w:ascii="Arial" w:cs="Arial" w:eastAsia="Arial" w:hAnsi="Arial"/>
                <w:sz w:val="13"/>
                <w:szCs w:val="13"/>
                <w:color w:val="auto"/>
              </w:rPr>
              <w:t>InfuSystem Holdings, Inc.</w:t>
            </w:r>
          </w:p>
        </w:tc>
        <w:tc>
          <w:tcPr>
            <w:tcW w:w="1360" w:type="dxa"/>
            <w:vAlign w:val="bottom"/>
          </w:tcPr>
          <w:p>
            <w:pPr>
              <w:jc w:val="center"/>
              <w:ind w:left="573"/>
              <w:spacing w:after="0"/>
              <w:rPr>
                <w:sz w:val="20"/>
                <w:szCs w:val="20"/>
                <w:color w:val="auto"/>
              </w:rPr>
            </w:pPr>
            <w:r>
              <w:rPr>
                <w:rFonts w:ascii="Arial" w:cs="Arial" w:eastAsia="Arial" w:hAnsi="Arial"/>
                <w:sz w:val="13"/>
                <w:szCs w:val="13"/>
                <w:color w:val="auto"/>
                <w:w w:val="92"/>
              </w:rPr>
              <w:t>11/30/2016</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11.99%</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P+625</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2,175,000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2,175,000</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2,229,812</w:t>
            </w: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Instant Web, Inc.</w:t>
            </w:r>
          </w:p>
        </w:tc>
        <w:tc>
          <w:tcPr>
            <w:tcW w:w="1360" w:type="dxa"/>
            <w:vAlign w:val="bottom"/>
            <w:shd w:val="clear" w:color="auto" w:fill="CCEEFF"/>
          </w:tcPr>
          <w:p>
            <w:pPr>
              <w:jc w:val="center"/>
              <w:ind w:left="593"/>
              <w:spacing w:after="0" w:line="138" w:lineRule="exact"/>
              <w:rPr>
                <w:sz w:val="20"/>
                <w:szCs w:val="20"/>
                <w:color w:val="auto"/>
              </w:rPr>
            </w:pPr>
            <w:r>
              <w:rPr>
                <w:rFonts w:ascii="Arial" w:cs="Arial" w:eastAsia="Arial" w:hAnsi="Arial"/>
                <w:sz w:val="13"/>
                <w:szCs w:val="13"/>
                <w:color w:val="auto"/>
                <w:w w:val="95"/>
              </w:rPr>
              <w:t>08/07/2014</w:t>
            </w:r>
          </w:p>
        </w:tc>
        <w:tc>
          <w:tcPr>
            <w:tcW w:w="21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Media: Advertising, Printing and</w:t>
            </w:r>
          </w:p>
        </w:tc>
        <w:tc>
          <w:tcPr>
            <w:tcW w:w="9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0"/>
                <w:szCs w:val="10"/>
                <w:color w:val="auto"/>
              </w:rPr>
              <w:t>3.58%</w:t>
            </w:r>
            <w:r>
              <w:rPr>
                <w:rFonts w:ascii="Arial" w:cs="Arial" w:eastAsia="Arial" w:hAnsi="Arial"/>
                <w:sz w:val="15"/>
                <w:szCs w:val="15"/>
                <w:color w:val="auto"/>
                <w:vertAlign w:val="superscript"/>
              </w:rPr>
              <w:t>(9)</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L+338</w:t>
            </w:r>
          </w:p>
        </w:tc>
        <w:tc>
          <w:tcPr>
            <w:tcW w:w="7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6,836,508</w:t>
            </w:r>
          </w:p>
        </w:tc>
        <w:tc>
          <w:tcPr>
            <w:tcW w:w="78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6,621,979</w:t>
            </w:r>
          </w:p>
        </w:tc>
        <w:tc>
          <w:tcPr>
            <w:tcW w:w="9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4,785,555</w:t>
            </w: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Publishing</w:t>
            </w:r>
          </w:p>
        </w:tc>
        <w:tc>
          <w:tcPr>
            <w:tcW w:w="9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Jackson Hewitt Tax Service Inc.</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10/16/2017</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10.00%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L+850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3,400,000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3,273,298</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3,349,000</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K2 Pure Solutions NoCal, L.P.</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09/10/2015</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10.50%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P+725</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5,909,957</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5,945,073</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5,880,407</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06/02/2014</w:t>
            </w:r>
          </w:p>
        </w:tc>
        <w:tc>
          <w:tcPr>
            <w:tcW w:w="2180" w:type="dxa"/>
            <w:vAlign w:val="bottom"/>
          </w:tcPr>
          <w:p>
            <w:pPr>
              <w:jc w:val="center"/>
              <w:spacing w:after="0"/>
              <w:rPr>
                <w:sz w:val="20"/>
                <w:szCs w:val="20"/>
                <w:color w:val="auto"/>
              </w:rPr>
            </w:pPr>
            <w:r>
              <w:rPr>
                <w:rFonts w:ascii="Arial" w:cs="Arial" w:eastAsia="Arial" w:hAnsi="Arial"/>
                <w:sz w:val="13"/>
                <w:szCs w:val="13"/>
                <w:color w:val="auto"/>
                <w:w w:val="94"/>
              </w:rPr>
              <w:t>Consumer Goods: Non-Durable</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8.50%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L+700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4,912,500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4,848,463</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4,875,656</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Milk Specialties Company</w:t>
            </w:r>
          </w:p>
        </w:tc>
        <w:tc>
          <w:tcPr>
            <w:tcW w:w="1360" w:type="dxa"/>
            <w:vAlign w:val="bottom"/>
            <w:shd w:val="clear" w:color="auto" w:fill="CCEEFF"/>
          </w:tcPr>
          <w:p>
            <w:pPr>
              <w:jc w:val="center"/>
              <w:ind w:left="573"/>
              <w:spacing w:after="0"/>
              <w:rPr>
                <w:sz w:val="20"/>
                <w:szCs w:val="20"/>
                <w:color w:val="auto"/>
              </w:rPr>
            </w:pPr>
            <w:r>
              <w:rPr>
                <w:rFonts w:ascii="Arial" w:cs="Arial" w:eastAsia="Arial" w:hAnsi="Arial"/>
                <w:sz w:val="13"/>
                <w:szCs w:val="13"/>
                <w:color w:val="auto"/>
                <w:w w:val="92"/>
              </w:rPr>
              <w:t>11/09/2018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Non-Durable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3,400,000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3,368,102</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3,434,000</w:t>
            </w: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MModal Inc. </w:t>
            </w:r>
            <w:r>
              <w:rPr>
                <w:rFonts w:ascii="Arial" w:cs="Arial" w:eastAsia="Arial" w:hAnsi="Arial"/>
                <w:sz w:val="17"/>
                <w:szCs w:val="17"/>
                <w:color w:val="auto"/>
                <w:vertAlign w:val="superscript"/>
              </w:rPr>
              <w:t>(8)</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08/16/2019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6.75%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L+550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3,383,191</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3,337,786</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3,247,863</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05/07/2018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Media: Diversified and Production</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2,360,522</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2,342,587</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2,358,752</w:t>
            </w: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12/23/2016</w:t>
            </w:r>
          </w:p>
        </w:tc>
        <w:tc>
          <w:tcPr>
            <w:tcW w:w="218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8.50%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L+700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2,775,000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2,721,385</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2,788,875</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MX USA, Inc.</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05/01/2017</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6.50%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L+525</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2,970,000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2,933,577</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2,977,425</w:t>
            </w:r>
          </w:p>
        </w:tc>
        <w:tc>
          <w:tcPr>
            <w:tcW w:w="0" w:type="dxa"/>
            <w:vAlign w:val="bottom"/>
          </w:tcPr>
          <w:p>
            <w:pPr>
              <w:spacing w:after="0"/>
              <w:rPr>
                <w:sz w:val="1"/>
                <w:szCs w:val="1"/>
                <w:color w:val="auto"/>
              </w:rPr>
            </w:pPr>
          </w:p>
        </w:tc>
      </w:tr>
      <w:tr>
        <w:trPr>
          <w:trHeight w:val="138"/>
        </w:trPr>
        <w:tc>
          <w:tcPr>
            <w:tcW w:w="3460" w:type="dxa"/>
            <w:vAlign w:val="bottom"/>
          </w:tcPr>
          <w:p>
            <w:pPr>
              <w:spacing w:after="0" w:line="138" w:lineRule="exact"/>
              <w:rPr>
                <w:sz w:val="20"/>
                <w:szCs w:val="20"/>
                <w:color w:val="auto"/>
              </w:rPr>
            </w:pPr>
            <w:r>
              <w:rPr>
                <w:rFonts w:ascii="Arial" w:cs="Arial" w:eastAsia="Arial" w:hAnsi="Arial"/>
                <w:sz w:val="13"/>
                <w:szCs w:val="13"/>
                <w:color w:val="auto"/>
              </w:rPr>
              <w:t>NAB Holdings, LLC</w:t>
            </w:r>
          </w:p>
        </w:tc>
        <w:tc>
          <w:tcPr>
            <w:tcW w:w="1360" w:type="dxa"/>
            <w:vAlign w:val="bottom"/>
          </w:tcPr>
          <w:p>
            <w:pPr>
              <w:jc w:val="center"/>
              <w:ind w:left="593"/>
              <w:spacing w:after="0" w:line="138" w:lineRule="exact"/>
              <w:rPr>
                <w:sz w:val="20"/>
                <w:szCs w:val="20"/>
                <w:color w:val="auto"/>
              </w:rPr>
            </w:pPr>
            <w:r>
              <w:rPr>
                <w:rFonts w:ascii="Arial" w:cs="Arial" w:eastAsia="Arial" w:hAnsi="Arial"/>
                <w:sz w:val="13"/>
                <w:szCs w:val="13"/>
                <w:color w:val="auto"/>
                <w:w w:val="95"/>
              </w:rPr>
              <w:t>04/24/2018</w:t>
            </w:r>
          </w:p>
        </w:tc>
        <w:tc>
          <w:tcPr>
            <w:tcW w:w="2180" w:type="dxa"/>
            <w:vAlign w:val="bottom"/>
          </w:tcPr>
          <w:p>
            <w:pPr>
              <w:jc w:val="center"/>
              <w:spacing w:after="0" w:line="138" w:lineRule="exact"/>
              <w:rPr>
                <w:sz w:val="20"/>
                <w:szCs w:val="20"/>
                <w:color w:val="auto"/>
              </w:rPr>
            </w:pPr>
            <w:r>
              <w:rPr>
                <w:rFonts w:ascii="Arial" w:cs="Arial" w:eastAsia="Arial" w:hAnsi="Arial"/>
                <w:sz w:val="13"/>
                <w:szCs w:val="13"/>
                <w:color w:val="auto"/>
                <w:w w:val="92"/>
              </w:rPr>
              <w:t>Banking, Finance, Insurance and Real</w:t>
            </w:r>
          </w:p>
        </w:tc>
        <w:tc>
          <w:tcPr>
            <w:tcW w:w="94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7.00%</w:t>
            </w:r>
          </w:p>
        </w:tc>
        <w:tc>
          <w:tcPr>
            <w:tcW w:w="8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L+550</w:t>
            </w:r>
          </w:p>
        </w:tc>
        <w:tc>
          <w:tcPr>
            <w:tcW w:w="7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962,500</w:t>
            </w:r>
          </w:p>
        </w:tc>
        <w:tc>
          <w:tcPr>
            <w:tcW w:w="780" w:type="dxa"/>
            <w:vAlign w:val="bottom"/>
          </w:tcPr>
          <w:p>
            <w:pPr>
              <w:jc w:val="right"/>
              <w:ind w:right="13"/>
              <w:spacing w:after="0" w:line="138" w:lineRule="exact"/>
              <w:rPr>
                <w:sz w:val="20"/>
                <w:szCs w:val="20"/>
                <w:color w:val="auto"/>
              </w:rPr>
            </w:pPr>
            <w:r>
              <w:rPr>
                <w:rFonts w:ascii="Arial" w:cs="Arial" w:eastAsia="Arial" w:hAnsi="Arial"/>
                <w:sz w:val="13"/>
                <w:szCs w:val="13"/>
                <w:color w:val="auto"/>
              </w:rPr>
              <w:t>950,224</w:t>
            </w:r>
          </w:p>
        </w:tc>
        <w:tc>
          <w:tcPr>
            <w:tcW w:w="9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972,125</w:t>
            </w: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Arial" w:cs="Arial" w:eastAsia="Arial" w:hAnsi="Arial"/>
                <w:sz w:val="13"/>
                <w:szCs w:val="13"/>
                <w:color w:val="auto"/>
                <w:w w:val="86"/>
              </w:rPr>
              <w:t>Estate</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Northfield Park Associates LLC</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12/19/2018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9.00%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L+775</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4,500,000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4,414,105</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4,601,250</w:t>
            </w: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Orbitz Worldwide, Inc., Term Loan C </w:t>
            </w:r>
            <w:r>
              <w:rPr>
                <w:rFonts w:ascii="Arial" w:cs="Arial" w:eastAsia="Arial" w:hAnsi="Arial"/>
                <w:sz w:val="17"/>
                <w:szCs w:val="17"/>
                <w:color w:val="auto"/>
                <w:vertAlign w:val="superscript"/>
              </w:rPr>
              <w:t>(8)</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03/25/2019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2"/>
              </w:rPr>
              <w:t>Transportation: Consumer</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8.00%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L+675</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4,000,000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3,960,084</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4,038,332</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Pelican Products, Inc.</w:t>
            </w:r>
          </w:p>
        </w:tc>
        <w:tc>
          <w:tcPr>
            <w:tcW w:w="1360" w:type="dxa"/>
            <w:vAlign w:val="bottom"/>
            <w:shd w:val="clear" w:color="auto" w:fill="CCEEFF"/>
          </w:tcPr>
          <w:p>
            <w:pPr>
              <w:jc w:val="center"/>
              <w:ind w:left="573"/>
              <w:spacing w:after="0"/>
              <w:rPr>
                <w:sz w:val="20"/>
                <w:szCs w:val="20"/>
                <w:color w:val="auto"/>
              </w:rPr>
            </w:pPr>
            <w:r>
              <w:rPr>
                <w:rFonts w:ascii="Arial" w:cs="Arial" w:eastAsia="Arial" w:hAnsi="Arial"/>
                <w:sz w:val="13"/>
                <w:szCs w:val="13"/>
                <w:color w:val="auto"/>
                <w:w w:val="92"/>
              </w:rPr>
              <w:t>07/11/2018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Containers, Packaging and Glass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1,488,750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1,462,509</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1,488,750</w:t>
            </w:r>
          </w:p>
        </w:tc>
        <w:tc>
          <w:tcPr>
            <w:tcW w:w="0" w:type="dxa"/>
            <w:vAlign w:val="bottom"/>
          </w:tcPr>
          <w:p>
            <w:pPr>
              <w:spacing w:after="0"/>
              <w:rPr>
                <w:sz w:val="1"/>
                <w:szCs w:val="1"/>
                <w:color w:val="auto"/>
              </w:rPr>
            </w:pPr>
          </w:p>
        </w:tc>
      </w:tr>
      <w:tr>
        <w:trPr>
          <w:trHeight w:val="138"/>
        </w:trPr>
        <w:tc>
          <w:tcPr>
            <w:tcW w:w="3460" w:type="dxa"/>
            <w:vAlign w:val="bottom"/>
          </w:tcPr>
          <w:p>
            <w:pPr>
              <w:spacing w:after="0" w:line="138" w:lineRule="exact"/>
              <w:rPr>
                <w:sz w:val="20"/>
                <w:szCs w:val="20"/>
                <w:color w:val="auto"/>
              </w:rPr>
            </w:pPr>
            <w:r>
              <w:rPr>
                <w:rFonts w:ascii="Arial" w:cs="Arial" w:eastAsia="Arial" w:hAnsi="Arial"/>
                <w:sz w:val="10"/>
                <w:szCs w:val="10"/>
                <w:color w:val="auto"/>
              </w:rPr>
              <w:t xml:space="preserve">Penton Media, Inc. </w:t>
            </w:r>
            <w:r>
              <w:rPr>
                <w:rFonts w:ascii="Arial" w:cs="Arial" w:eastAsia="Arial" w:hAnsi="Arial"/>
                <w:sz w:val="15"/>
                <w:szCs w:val="15"/>
                <w:color w:val="auto"/>
                <w:vertAlign w:val="superscript"/>
              </w:rPr>
              <w:t>(8)</w:t>
            </w:r>
          </w:p>
        </w:tc>
        <w:tc>
          <w:tcPr>
            <w:tcW w:w="1360" w:type="dxa"/>
            <w:vAlign w:val="bottom"/>
          </w:tcPr>
          <w:p>
            <w:pPr>
              <w:jc w:val="center"/>
              <w:ind w:left="593"/>
              <w:spacing w:after="0" w:line="138" w:lineRule="exact"/>
              <w:rPr>
                <w:sz w:val="20"/>
                <w:szCs w:val="20"/>
                <w:color w:val="auto"/>
              </w:rPr>
            </w:pPr>
            <w:r>
              <w:rPr>
                <w:rFonts w:ascii="Arial" w:cs="Arial" w:eastAsia="Arial" w:hAnsi="Arial"/>
                <w:sz w:val="13"/>
                <w:szCs w:val="13"/>
                <w:color w:val="auto"/>
                <w:w w:val="95"/>
              </w:rPr>
              <w:t>08/01/2014</w:t>
            </w:r>
          </w:p>
        </w:tc>
        <w:tc>
          <w:tcPr>
            <w:tcW w:w="218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Diversified and Production</w:t>
            </w:r>
          </w:p>
        </w:tc>
        <w:tc>
          <w:tcPr>
            <w:tcW w:w="94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6.00%</w:t>
            </w:r>
          </w:p>
        </w:tc>
        <w:tc>
          <w:tcPr>
            <w:tcW w:w="8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L+500</w:t>
            </w:r>
          </w:p>
        </w:tc>
        <w:tc>
          <w:tcPr>
            <w:tcW w:w="7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5,497,697</w:t>
            </w:r>
          </w:p>
        </w:tc>
        <w:tc>
          <w:tcPr>
            <w:tcW w:w="780" w:type="dxa"/>
            <w:vAlign w:val="bottom"/>
          </w:tcPr>
          <w:p>
            <w:pPr>
              <w:jc w:val="right"/>
              <w:ind w:right="13"/>
              <w:spacing w:after="0" w:line="138" w:lineRule="exact"/>
              <w:rPr>
                <w:sz w:val="20"/>
                <w:szCs w:val="20"/>
                <w:color w:val="auto"/>
              </w:rPr>
            </w:pPr>
            <w:r>
              <w:rPr>
                <w:rFonts w:ascii="Arial" w:cs="Arial" w:eastAsia="Arial" w:hAnsi="Arial"/>
                <w:sz w:val="13"/>
                <w:szCs w:val="13"/>
                <w:color w:val="auto"/>
              </w:rPr>
              <w:t>5,101,044</w:t>
            </w:r>
          </w:p>
        </w:tc>
        <w:tc>
          <w:tcPr>
            <w:tcW w:w="9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5,286,954</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(PIK 2.00%)</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Premier Dental Services, Inc.</w:t>
            </w:r>
          </w:p>
        </w:tc>
        <w:tc>
          <w:tcPr>
            <w:tcW w:w="1360" w:type="dxa"/>
            <w:vAlign w:val="bottom"/>
            <w:shd w:val="clear" w:color="auto" w:fill="CCEEFF"/>
          </w:tcPr>
          <w:p>
            <w:pPr>
              <w:jc w:val="center"/>
              <w:ind w:left="573"/>
              <w:spacing w:after="0"/>
              <w:rPr>
                <w:sz w:val="20"/>
                <w:szCs w:val="20"/>
                <w:color w:val="auto"/>
              </w:rPr>
            </w:pPr>
            <w:r>
              <w:rPr>
                <w:rFonts w:ascii="Arial" w:cs="Arial" w:eastAsia="Arial" w:hAnsi="Arial"/>
                <w:sz w:val="13"/>
                <w:szCs w:val="13"/>
                <w:color w:val="auto"/>
                <w:w w:val="92"/>
              </w:rPr>
              <w:t>11/01/2018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8.25%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L+700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3,391,500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3,295,382</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3,399,979</w:t>
            </w: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1360" w:type="dxa"/>
            <w:vAlign w:val="bottom"/>
          </w:tcPr>
          <w:p>
            <w:pPr>
              <w:jc w:val="center"/>
              <w:ind w:left="573"/>
              <w:spacing w:after="0"/>
              <w:rPr>
                <w:sz w:val="20"/>
                <w:szCs w:val="20"/>
                <w:color w:val="auto"/>
              </w:rPr>
            </w:pPr>
            <w:r>
              <w:rPr>
                <w:rFonts w:ascii="Arial" w:cs="Arial" w:eastAsia="Arial" w:hAnsi="Arial"/>
                <w:sz w:val="13"/>
                <w:szCs w:val="13"/>
                <w:color w:val="auto"/>
                <w:w w:val="92"/>
              </w:rPr>
              <w:t>11/29/2016</w:t>
            </w:r>
          </w:p>
        </w:tc>
        <w:tc>
          <w:tcPr>
            <w:tcW w:w="218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10.00%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L+875</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4,250,000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4,172,535</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4,207,500</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Sabre Industries, Inc.</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08/24/2018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Construction and Building</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5.75%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2,992,500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2,951,469</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2,990,630</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Sotera Defense Solutions, Inc.</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04/21/2017</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7.50%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L+600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2,773,249</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2,754,202</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2,696,985</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St. George’s University Scholastic Services LLC</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12/20/2017</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8.50%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L+700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2,486,250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2,438,423</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2,480,034</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20"/>
                <w:szCs w:val="20"/>
                <w:color w:val="auto"/>
              </w:rPr>
            </w:pPr>
            <w:r>
              <w:rPr>
                <w:rFonts w:ascii="Arial" w:cs="Arial" w:eastAsia="Arial" w:hAnsi="Arial"/>
                <w:sz w:val="13"/>
                <w:szCs w:val="13"/>
                <w:color w:val="auto"/>
              </w:rPr>
              <w:t>Sutherland Global Services, Inc.</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03/06/2019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7.25%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L+600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1,000,000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980,145</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987,500</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Tekelec Global, Inc.</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01/29/2018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13.50%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L+1,200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1,408,837</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1,372,727</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1,627,207</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20"/>
                <w:szCs w:val="20"/>
                <w:color w:val="auto"/>
              </w:rPr>
            </w:pPr>
            <w:r>
              <w:rPr>
                <w:rFonts w:ascii="Arial" w:cs="Arial" w:eastAsia="Arial" w:hAnsi="Arial"/>
                <w:sz w:val="13"/>
                <w:szCs w:val="13"/>
                <w:color w:val="auto"/>
              </w:rPr>
              <w:t>Therakos, Inc.</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12/27/2017</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7.50%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L+525</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2,992,500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2,904,882</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2,951,353</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UniTek Global Services, Inc.</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04/16/2018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9.00%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L+750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1,985,000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1,930,464</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1,965,150</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Univita Health Inc.</w:t>
            </w:r>
          </w:p>
        </w:tc>
        <w:tc>
          <w:tcPr>
            <w:tcW w:w="1360" w:type="dxa"/>
            <w:vAlign w:val="bottom"/>
          </w:tcPr>
          <w:p>
            <w:pPr>
              <w:jc w:val="center"/>
              <w:ind w:left="593"/>
              <w:spacing w:after="0"/>
              <w:rPr>
                <w:sz w:val="20"/>
                <w:szCs w:val="20"/>
                <w:color w:val="auto"/>
              </w:rPr>
            </w:pPr>
            <w:r>
              <w:rPr>
                <w:rFonts w:ascii="Arial" w:cs="Arial" w:eastAsia="Arial" w:hAnsi="Arial"/>
                <w:sz w:val="13"/>
                <w:szCs w:val="13"/>
                <w:color w:val="auto"/>
                <w:w w:val="95"/>
              </w:rPr>
              <w:t>06/19/2017</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6.25%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L+475</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2,947,500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2,926,538</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2,873,812</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Valitas Health Services, Inc.</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06/02/2017</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5.75%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1,266,455</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1,261,822</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1,266,455</w:t>
            </w:r>
          </w:p>
        </w:tc>
        <w:tc>
          <w:tcPr>
            <w:tcW w:w="0" w:type="dxa"/>
            <w:vAlign w:val="bottom"/>
          </w:tcPr>
          <w:p>
            <w:pPr>
              <w:spacing w:after="0"/>
              <w:rPr>
                <w:sz w:val="1"/>
                <w:szCs w:val="1"/>
                <w:color w:val="auto"/>
              </w:rPr>
            </w:pPr>
          </w:p>
        </w:tc>
      </w:tr>
      <w:tr>
        <w:trPr>
          <w:trHeight w:val="138"/>
        </w:trPr>
        <w:tc>
          <w:tcPr>
            <w:tcW w:w="3460" w:type="dxa"/>
            <w:vAlign w:val="bottom"/>
          </w:tcPr>
          <w:p>
            <w:pPr>
              <w:spacing w:after="0" w:line="138" w:lineRule="exact"/>
              <w:rPr>
                <w:sz w:val="20"/>
                <w:szCs w:val="20"/>
                <w:color w:val="auto"/>
              </w:rPr>
            </w:pPr>
            <w:r>
              <w:rPr>
                <w:rFonts w:ascii="Arial" w:cs="Arial" w:eastAsia="Arial" w:hAnsi="Arial"/>
                <w:sz w:val="13"/>
                <w:szCs w:val="13"/>
                <w:color w:val="auto"/>
              </w:rPr>
              <w:t>Viamedia Services Corp.</w:t>
            </w:r>
          </w:p>
        </w:tc>
        <w:tc>
          <w:tcPr>
            <w:tcW w:w="1360" w:type="dxa"/>
            <w:vAlign w:val="bottom"/>
          </w:tcPr>
          <w:p>
            <w:pPr>
              <w:jc w:val="center"/>
              <w:ind w:left="593"/>
              <w:spacing w:after="0" w:line="138" w:lineRule="exact"/>
              <w:rPr>
                <w:sz w:val="20"/>
                <w:szCs w:val="20"/>
                <w:color w:val="auto"/>
              </w:rPr>
            </w:pPr>
            <w:r>
              <w:rPr>
                <w:rFonts w:ascii="Arial" w:cs="Arial" w:eastAsia="Arial" w:hAnsi="Arial"/>
                <w:sz w:val="13"/>
                <w:szCs w:val="13"/>
                <w:color w:val="auto"/>
                <w:w w:val="95"/>
              </w:rPr>
              <w:t>04/19/2016</w:t>
            </w:r>
          </w:p>
        </w:tc>
        <w:tc>
          <w:tcPr>
            <w:tcW w:w="2180" w:type="dxa"/>
            <w:vAlign w:val="bottom"/>
          </w:tcPr>
          <w:p>
            <w:pPr>
              <w:jc w:val="center"/>
              <w:spacing w:after="0" w:line="138" w:lineRule="exact"/>
              <w:rPr>
                <w:sz w:val="20"/>
                <w:szCs w:val="20"/>
                <w:color w:val="auto"/>
              </w:rPr>
            </w:pPr>
            <w:r>
              <w:rPr>
                <w:rFonts w:ascii="Arial" w:cs="Arial" w:eastAsia="Arial" w:hAnsi="Arial"/>
                <w:sz w:val="13"/>
                <w:szCs w:val="13"/>
                <w:color w:val="auto"/>
                <w:w w:val="98"/>
              </w:rPr>
              <w:t>Media: Advertising, Printing and</w:t>
            </w:r>
          </w:p>
        </w:tc>
        <w:tc>
          <w:tcPr>
            <w:tcW w:w="94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7.00%</w:t>
            </w:r>
          </w:p>
        </w:tc>
        <w:tc>
          <w:tcPr>
            <w:tcW w:w="8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L+550</w:t>
            </w:r>
          </w:p>
        </w:tc>
        <w:tc>
          <w:tcPr>
            <w:tcW w:w="7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3,875,111</w:t>
            </w:r>
          </w:p>
        </w:tc>
        <w:tc>
          <w:tcPr>
            <w:tcW w:w="780" w:type="dxa"/>
            <w:vAlign w:val="bottom"/>
          </w:tcPr>
          <w:p>
            <w:pPr>
              <w:jc w:val="right"/>
              <w:ind w:right="13"/>
              <w:spacing w:after="0" w:line="138" w:lineRule="exact"/>
              <w:rPr>
                <w:sz w:val="20"/>
                <w:szCs w:val="20"/>
                <w:color w:val="auto"/>
              </w:rPr>
            </w:pPr>
            <w:r>
              <w:rPr>
                <w:rFonts w:ascii="Arial" w:cs="Arial" w:eastAsia="Arial" w:hAnsi="Arial"/>
                <w:sz w:val="13"/>
                <w:szCs w:val="13"/>
                <w:color w:val="auto"/>
              </w:rPr>
              <w:t>3,843,936</w:t>
            </w:r>
          </w:p>
        </w:tc>
        <w:tc>
          <w:tcPr>
            <w:tcW w:w="9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3,875,111</w:t>
            </w: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Arial" w:cs="Arial" w:eastAsia="Arial" w:hAnsi="Arial"/>
                <w:sz w:val="13"/>
                <w:szCs w:val="13"/>
                <w:color w:val="auto"/>
                <w:w w:val="93"/>
              </w:rPr>
              <w:t>Publishing</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136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12/22/2016</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P+450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2,955,000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2,933,256</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1,920,750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Maturity</w:t>
            </w:r>
          </w:p>
        </w:tc>
        <w:tc>
          <w:tcPr>
            <w:tcW w:w="31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Industry</w:t>
            </w:r>
          </w:p>
        </w:tc>
        <w:tc>
          <w:tcPr>
            <w:tcW w:w="1000" w:type="dxa"/>
            <w:vAlign w:val="bottom"/>
            <w:gridSpan w:val="2"/>
          </w:tcPr>
          <w:p>
            <w:pPr>
              <w:jc w:val="right"/>
              <w:ind w:right="393"/>
              <w:spacing w:after="0"/>
              <w:rPr>
                <w:sz w:val="20"/>
                <w:szCs w:val="20"/>
                <w:color w:val="auto"/>
              </w:rPr>
            </w:pPr>
            <w:r>
              <w:rPr>
                <w:rFonts w:ascii="Arial" w:cs="Arial" w:eastAsia="Arial" w:hAnsi="Arial"/>
                <w:sz w:val="13"/>
                <w:szCs w:val="13"/>
                <w:b w:val="1"/>
                <w:bCs w:val="1"/>
                <w:color w:val="auto"/>
              </w:rPr>
              <w:t>Current</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Above</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100" w:type="dxa"/>
            <w:vAlign w:val="bottom"/>
            <w:gridSpan w:val="2"/>
            <w:vMerge w:val="continue"/>
          </w:tcPr>
          <w:p>
            <w:pPr>
              <w:spacing w:after="0"/>
              <w:rPr>
                <w:sz w:val="12"/>
                <w:szCs w:val="12"/>
                <w:color w:val="auto"/>
              </w:rPr>
            </w:pPr>
          </w:p>
        </w:tc>
        <w:tc>
          <w:tcPr>
            <w:tcW w:w="1000" w:type="dxa"/>
            <w:vAlign w:val="bottom"/>
            <w:gridSpan w:val="2"/>
          </w:tcPr>
          <w:p>
            <w:pPr>
              <w:jc w:val="right"/>
              <w:ind w:right="393"/>
              <w:spacing w:after="0"/>
              <w:rPr>
                <w:sz w:val="20"/>
                <w:szCs w:val="20"/>
                <w:color w:val="auto"/>
              </w:rPr>
            </w:pPr>
            <w:r>
              <w:rPr>
                <w:rFonts w:ascii="Arial" w:cs="Arial" w:eastAsia="Arial" w:hAnsi="Arial"/>
                <w:sz w:val="13"/>
                <w:szCs w:val="13"/>
                <w:b w:val="1"/>
                <w:bCs w:val="1"/>
                <w:color w:val="auto"/>
              </w:rPr>
              <w:t>Coupon</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Water Pik, Inc.</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5"/>
              </w:rPr>
              <w:t>08/10/2017</w:t>
            </w:r>
          </w:p>
        </w:tc>
        <w:tc>
          <w:tcPr>
            <w:tcW w:w="12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Consumer Goods: Durable</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6.75</w:t>
            </w:r>
          </w:p>
        </w:tc>
        <w:tc>
          <w:tcPr>
            <w:tcW w:w="400" w:type="dxa"/>
            <w:vAlign w:val="bottom"/>
            <w:tcBorders>
              <w:top w:val="single" w:sz="8" w:color="CCEEFF"/>
            </w:tcBorders>
            <w:shd w:val="clear" w:color="auto" w:fill="CCEEFF"/>
          </w:tcPr>
          <w:p>
            <w:pPr>
              <w:jc w:val="right"/>
              <w:ind w:right="213"/>
              <w:spacing w:after="0" w:line="142" w:lineRule="exact"/>
              <w:rPr>
                <w:sz w:val="20"/>
                <w:szCs w:val="20"/>
                <w:color w:val="auto"/>
              </w:rPr>
            </w:pPr>
            <w:r>
              <w:rPr>
                <w:rFonts w:ascii="Arial" w:cs="Arial" w:eastAsia="Arial" w:hAnsi="Arial"/>
                <w:sz w:val="13"/>
                <w:szCs w:val="13"/>
                <w:color w:val="auto"/>
                <w:w w:val="8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L+525</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3,447,500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3,420,248</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3,438,881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3"/>
                <w:szCs w:val="13"/>
                <w:color w:val="auto"/>
              </w:rPr>
              <w:t>Wilton Brands,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08/30/2018</w:t>
            </w:r>
          </w:p>
        </w:tc>
        <w:tc>
          <w:tcPr>
            <w:tcW w:w="120" w:type="dxa"/>
            <w:vAlign w:val="bottom"/>
          </w:tcPr>
          <w:p>
            <w:pPr>
              <w:spacing w:after="0"/>
              <w:rPr>
                <w:sz w:val="12"/>
                <w:szCs w:val="12"/>
                <w:color w:val="auto"/>
              </w:rPr>
            </w:pPr>
          </w:p>
        </w:tc>
        <w:tc>
          <w:tcPr>
            <w:tcW w:w="31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Consumer Goods: Non-Durable</w:t>
            </w:r>
          </w:p>
        </w:tc>
        <w:tc>
          <w:tcPr>
            <w:tcW w:w="1000" w:type="dxa"/>
            <w:vAlign w:val="bottom"/>
            <w:gridSpan w:val="2"/>
          </w:tcPr>
          <w:p>
            <w:pPr>
              <w:jc w:val="right"/>
              <w:ind w:right="213"/>
              <w:spacing w:after="0"/>
              <w:rPr>
                <w:sz w:val="20"/>
                <w:szCs w:val="20"/>
                <w:color w:val="auto"/>
              </w:rPr>
            </w:pPr>
            <w:r>
              <w:rPr>
                <w:rFonts w:ascii="Arial" w:cs="Arial" w:eastAsia="Arial" w:hAnsi="Arial"/>
                <w:sz w:val="13"/>
                <w:szCs w:val="13"/>
                <w:color w:val="auto"/>
              </w:rPr>
              <w:t>7.50%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L+625</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3,315,000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3,254,750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3,356,438</w:t>
            </w:r>
          </w:p>
        </w:tc>
        <w:tc>
          <w:tcPr>
            <w:tcW w:w="0" w:type="dxa"/>
            <w:vAlign w:val="bottom"/>
          </w:tcPr>
          <w:p>
            <w:pPr>
              <w:spacing w:after="0"/>
              <w:rPr>
                <w:sz w:val="1"/>
                <w:szCs w:val="1"/>
                <w:color w:val="auto"/>
              </w:rPr>
            </w:pPr>
          </w:p>
        </w:tc>
      </w:tr>
      <w:tr>
        <w:trPr>
          <w:trHeight w:val="138"/>
        </w:trPr>
        <w:tc>
          <w:tcPr>
            <w:tcW w:w="3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Z Wireless</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12/21/2016</w:t>
            </w:r>
          </w:p>
        </w:tc>
        <w:tc>
          <w:tcPr>
            <w:tcW w:w="120" w:type="dxa"/>
            <w:vAlign w:val="bottom"/>
            <w:shd w:val="clear" w:color="auto" w:fill="CCEEFF"/>
          </w:tcPr>
          <w:p>
            <w:pPr>
              <w:spacing w:after="0"/>
              <w:rPr>
                <w:sz w:val="11"/>
                <w:szCs w:val="11"/>
                <w:color w:val="auto"/>
              </w:rPr>
            </w:pPr>
          </w:p>
        </w:tc>
        <w:tc>
          <w:tcPr>
            <w:tcW w:w="31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6"/>
              </w:rPr>
              <w:t>Retail</w:t>
            </w:r>
          </w:p>
        </w:tc>
        <w:tc>
          <w:tcPr>
            <w:tcW w:w="1000" w:type="dxa"/>
            <w:vAlign w:val="bottom"/>
            <w:gridSpan w:val="2"/>
            <w:shd w:val="clear" w:color="auto" w:fill="CCEEFF"/>
          </w:tcPr>
          <w:p>
            <w:pPr>
              <w:jc w:val="right"/>
              <w:ind w:right="73"/>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L+1,225</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w w:val="96"/>
              </w:rPr>
              <w:t>2,707,318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2,656,561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2,710,078</w:t>
            </w:r>
          </w:p>
        </w:tc>
        <w:tc>
          <w:tcPr>
            <w:tcW w:w="0" w:type="dxa"/>
            <w:vAlign w:val="bottom"/>
          </w:tcPr>
          <w:p>
            <w:pPr>
              <w:spacing w:after="0"/>
              <w:rPr>
                <w:sz w:val="1"/>
                <w:szCs w:val="1"/>
                <w:color w:val="auto"/>
              </w:rPr>
            </w:pPr>
          </w:p>
        </w:tc>
      </w:tr>
      <w:tr>
        <w:trPr>
          <w:trHeight w:val="173"/>
        </w:trPr>
        <w:tc>
          <w:tcPr>
            <w:tcW w:w="2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(PIK 1.50 %)</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Total First Lien Secured Debt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159,997,444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159,682,263</w:t>
            </w: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Debt—7.4%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09/01/2017</w:t>
            </w:r>
          </w:p>
        </w:tc>
        <w:tc>
          <w:tcPr>
            <w:tcW w:w="120" w:type="dxa"/>
            <w:vAlign w:val="bottom"/>
          </w:tcPr>
          <w:p>
            <w:pPr>
              <w:spacing w:after="0"/>
              <w:rPr>
                <w:sz w:val="12"/>
                <w:szCs w:val="12"/>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Metals and Mining</w:t>
            </w:r>
          </w:p>
        </w:tc>
        <w:tc>
          <w:tcPr>
            <w:tcW w:w="1000" w:type="dxa"/>
            <w:vAlign w:val="bottom"/>
            <w:gridSpan w:val="2"/>
          </w:tcPr>
          <w:p>
            <w:pPr>
              <w:jc w:val="right"/>
              <w:ind w:right="213"/>
              <w:spacing w:after="0"/>
              <w:rPr>
                <w:sz w:val="20"/>
                <w:szCs w:val="20"/>
                <w:color w:val="auto"/>
              </w:rPr>
            </w:pPr>
            <w:r>
              <w:rPr>
                <w:rFonts w:ascii="Arial" w:cs="Arial" w:eastAsia="Arial" w:hAnsi="Arial"/>
                <w:sz w:val="13"/>
                <w:szCs w:val="13"/>
                <w:color w:val="auto"/>
              </w:rPr>
              <w:t>11.50%</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3,000,000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3,187,500</w:t>
            </w: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Berlin Packaging L.L.C.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03/28/2020</w:t>
            </w:r>
          </w:p>
        </w:tc>
        <w:tc>
          <w:tcPr>
            <w:tcW w:w="1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Containers, Packaging and Glass</w:t>
            </w:r>
          </w:p>
        </w:tc>
        <w:tc>
          <w:tcPr>
            <w:tcW w:w="100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8.75%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L+750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2,000,000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1,970,000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1,970,000</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Brand Energy and Infrastructure Services, Inc. </w:t>
            </w:r>
            <w:r>
              <w:rPr>
                <w:rFonts w:ascii="Arial" w:cs="Arial" w:eastAsia="Arial" w:hAnsi="Arial"/>
                <w:sz w:val="17"/>
                <w:szCs w:val="17"/>
                <w:color w:val="auto"/>
                <w:vertAlign w:val="superscript"/>
              </w:rPr>
              <w:t>(8)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10/23/2019</w:t>
            </w:r>
          </w:p>
        </w:tc>
        <w:tc>
          <w:tcPr>
            <w:tcW w:w="120" w:type="dxa"/>
            <w:vAlign w:val="bottom"/>
          </w:tcPr>
          <w:p>
            <w:pPr>
              <w:spacing w:after="0"/>
              <w:rPr>
                <w:sz w:val="12"/>
                <w:szCs w:val="12"/>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Energy: Oil and Gas</w:t>
            </w:r>
          </w:p>
        </w:tc>
        <w:tc>
          <w:tcPr>
            <w:tcW w:w="1000" w:type="dxa"/>
            <w:vAlign w:val="bottom"/>
            <w:gridSpan w:val="2"/>
          </w:tcPr>
          <w:p>
            <w:pPr>
              <w:jc w:val="right"/>
              <w:ind w:right="213"/>
              <w:spacing w:after="0"/>
              <w:rPr>
                <w:sz w:val="20"/>
                <w:szCs w:val="20"/>
                <w:color w:val="auto"/>
              </w:rPr>
            </w:pPr>
            <w:r>
              <w:rPr>
                <w:rFonts w:ascii="Arial" w:cs="Arial" w:eastAsia="Arial" w:hAnsi="Arial"/>
                <w:sz w:val="13"/>
                <w:szCs w:val="13"/>
                <w:color w:val="auto"/>
              </w:rPr>
              <w:t>11.00%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L+975</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1,906,607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1,859,054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1,925,673</w:t>
            </w: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Cannery Casino Resorts,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10/02/2019</w:t>
            </w:r>
          </w:p>
        </w:tc>
        <w:tc>
          <w:tcPr>
            <w:tcW w:w="1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Hotel, Gaming and Leisure</w:t>
            </w:r>
          </w:p>
        </w:tc>
        <w:tc>
          <w:tcPr>
            <w:tcW w:w="100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10.00%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L+875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1,700,000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1,668,423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1,640,500</w:t>
            </w:r>
          </w:p>
        </w:tc>
        <w:tc>
          <w:tcPr>
            <w:tcW w:w="0" w:type="dxa"/>
            <w:vAlign w:val="bottom"/>
          </w:tcPr>
          <w:p>
            <w:pPr>
              <w:spacing w:after="0"/>
              <w:rPr>
                <w:sz w:val="1"/>
                <w:szCs w:val="1"/>
                <w:color w:val="auto"/>
              </w:rPr>
            </w:pPr>
          </w:p>
        </w:tc>
      </w:tr>
      <w:tr>
        <w:trPr>
          <w:trHeight w:val="148"/>
        </w:trPr>
        <w:tc>
          <w:tcPr>
            <w:tcW w:w="3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05/15/2019</w:t>
            </w:r>
          </w:p>
        </w:tc>
        <w:tc>
          <w:tcPr>
            <w:tcW w:w="120" w:type="dxa"/>
            <w:vAlign w:val="bottom"/>
          </w:tcPr>
          <w:p>
            <w:pPr>
              <w:spacing w:after="0"/>
              <w:rPr>
                <w:sz w:val="12"/>
                <w:szCs w:val="12"/>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Hotel, Gaming and Leisure</w:t>
            </w:r>
          </w:p>
        </w:tc>
        <w:tc>
          <w:tcPr>
            <w:tcW w:w="1000" w:type="dxa"/>
            <w:vAlign w:val="bottom"/>
            <w:gridSpan w:val="2"/>
          </w:tcPr>
          <w:p>
            <w:pPr>
              <w:jc w:val="right"/>
              <w:ind w:right="213"/>
              <w:spacing w:after="0"/>
              <w:rPr>
                <w:sz w:val="20"/>
                <w:szCs w:val="20"/>
                <w:color w:val="auto"/>
              </w:rPr>
            </w:pPr>
            <w:r>
              <w:rPr>
                <w:rFonts w:ascii="Arial" w:cs="Arial" w:eastAsia="Arial" w:hAnsi="Arial"/>
                <w:sz w:val="13"/>
                <w:szCs w:val="13"/>
                <w:color w:val="auto"/>
              </w:rPr>
              <w:t>9.13%</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1,500,000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1,500,000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1,623,750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9,997,477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10,347,423</w:t>
            </w:r>
          </w:p>
        </w:tc>
        <w:tc>
          <w:tcPr>
            <w:tcW w:w="0" w:type="dxa"/>
            <w:vAlign w:val="bottom"/>
          </w:tcPr>
          <w:p>
            <w:pPr>
              <w:spacing w:after="0"/>
              <w:rPr>
                <w:sz w:val="1"/>
                <w:szCs w:val="1"/>
                <w:color w:val="auto"/>
              </w:rPr>
            </w:pPr>
          </w:p>
        </w:tc>
      </w:tr>
      <w:tr>
        <w:trPr>
          <w:trHeight w:val="155"/>
        </w:trPr>
        <w:tc>
          <w:tcPr>
            <w:tcW w:w="308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Subordinated Debt/Corporate Notes—8.6% </w:t>
            </w:r>
            <w:r>
              <w:rPr>
                <w:rFonts w:ascii="Arial" w:cs="Arial" w:eastAsia="Arial" w:hAnsi="Arial"/>
                <w:sz w:val="18"/>
                <w:szCs w:val="18"/>
                <w:b w:val="1"/>
                <w:bCs w:val="1"/>
                <w:color w:val="auto"/>
                <w:vertAlign w:val="superscript"/>
              </w:rPr>
              <w:t>(8)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11/15/2015</w:t>
            </w:r>
          </w:p>
        </w:tc>
        <w:tc>
          <w:tcPr>
            <w:tcW w:w="1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Consumer Goods: Non-Durable</w:t>
            </w:r>
          </w:p>
        </w:tc>
        <w:tc>
          <w:tcPr>
            <w:tcW w:w="100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11.63%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4,100,000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3,831,006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2,603,500</w:t>
            </w:r>
          </w:p>
        </w:tc>
        <w:tc>
          <w:tcPr>
            <w:tcW w:w="0" w:type="dxa"/>
            <w:vAlign w:val="bottom"/>
          </w:tcPr>
          <w:p>
            <w:pPr>
              <w:spacing w:after="0"/>
              <w:rPr>
                <w:sz w:val="1"/>
                <w:szCs w:val="1"/>
                <w:color w:val="auto"/>
              </w:rPr>
            </w:pPr>
          </w:p>
        </w:tc>
      </w:tr>
      <w:tr>
        <w:trPr>
          <w:trHeight w:val="138"/>
        </w:trPr>
        <w:tc>
          <w:tcPr>
            <w:tcW w:w="3080" w:type="dxa"/>
            <w:vAlign w:val="bottom"/>
            <w:gridSpan w:val="2"/>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06/03/2019</w:t>
            </w:r>
          </w:p>
        </w:tc>
        <w:tc>
          <w:tcPr>
            <w:tcW w:w="120" w:type="dxa"/>
            <w:vAlign w:val="bottom"/>
          </w:tcPr>
          <w:p>
            <w:pPr>
              <w:spacing w:after="0"/>
              <w:rPr>
                <w:sz w:val="11"/>
                <w:szCs w:val="11"/>
                <w:color w:val="auto"/>
              </w:rPr>
            </w:pPr>
          </w:p>
        </w:tc>
        <w:tc>
          <w:tcPr>
            <w:tcW w:w="310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2"/>
              </w:rPr>
              <w:t>Beverage, Food and Tobacco</w:t>
            </w:r>
          </w:p>
        </w:tc>
        <w:tc>
          <w:tcPr>
            <w:tcW w:w="1000" w:type="dxa"/>
            <w:vAlign w:val="bottom"/>
            <w:gridSpan w:val="2"/>
          </w:tcPr>
          <w:p>
            <w:pPr>
              <w:jc w:val="right"/>
              <w:ind w:right="213"/>
              <w:spacing w:after="0" w:line="138" w:lineRule="exact"/>
              <w:rPr>
                <w:sz w:val="20"/>
                <w:szCs w:val="20"/>
                <w:color w:val="auto"/>
              </w:rPr>
            </w:pPr>
            <w:r>
              <w:rPr>
                <w:rFonts w:ascii="Arial" w:cs="Arial" w:eastAsia="Arial" w:hAnsi="Arial"/>
                <w:sz w:val="13"/>
                <w:szCs w:val="13"/>
                <w:color w:val="auto"/>
              </w:rPr>
              <w:t>14.25%</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w w:val="96"/>
              </w:rPr>
              <w:t>4,560,151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4,483,524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4,696,956</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73"/>
              <w:spacing w:after="0"/>
              <w:rPr>
                <w:sz w:val="20"/>
                <w:szCs w:val="20"/>
                <w:color w:val="auto"/>
              </w:rPr>
            </w:pPr>
            <w:r>
              <w:rPr>
                <w:rFonts w:ascii="Arial" w:cs="Arial" w:eastAsia="Arial" w:hAnsi="Arial"/>
                <w:sz w:val="13"/>
                <w:szCs w:val="13"/>
                <w:color w:val="auto"/>
              </w:rPr>
              <w:t>(PIK 2.25 %)</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Varel International Energy Mezzanine Funding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01/15/2018</w:t>
            </w:r>
          </w:p>
        </w:tc>
        <w:tc>
          <w:tcPr>
            <w:tcW w:w="120" w:type="dxa"/>
            <w:vAlign w:val="bottom"/>
            <w:shd w:val="clear" w:color="auto" w:fill="CCEEFF"/>
          </w:tcPr>
          <w:p>
            <w:pPr>
              <w:spacing w:after="0"/>
              <w:rPr>
                <w:sz w:val="11"/>
                <w:szCs w:val="11"/>
                <w:color w:val="auto"/>
              </w:rPr>
            </w:pPr>
          </w:p>
        </w:tc>
        <w:tc>
          <w:tcPr>
            <w:tcW w:w="31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3"/>
              </w:rPr>
              <w:t>Energy: Oil and Gas</w:t>
            </w:r>
          </w:p>
        </w:tc>
        <w:tc>
          <w:tcPr>
            <w:tcW w:w="100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3"/>
                <w:szCs w:val="13"/>
                <w:color w:val="auto"/>
              </w:rPr>
              <w:t>14.00%</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w w:val="96"/>
              </w:rPr>
              <w:t>1,774,080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1,740,367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1,766,608</w:t>
            </w:r>
          </w:p>
        </w:tc>
        <w:tc>
          <w:tcPr>
            <w:tcW w:w="0" w:type="dxa"/>
            <w:vAlign w:val="bottom"/>
          </w:tcPr>
          <w:p>
            <w:pPr>
              <w:spacing w:after="0"/>
              <w:rPr>
                <w:sz w:val="1"/>
                <w:szCs w:val="1"/>
                <w:color w:val="auto"/>
              </w:rPr>
            </w:pPr>
          </w:p>
        </w:tc>
      </w:tr>
      <w:tr>
        <w:trPr>
          <w:trHeight w:val="173"/>
        </w:trPr>
        <w:tc>
          <w:tcPr>
            <w:tcW w:w="2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(PIK 4.00 %)</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3"/>
                <w:szCs w:val="13"/>
                <w:color w:val="auto"/>
              </w:rPr>
              <w:t>Vestcom International,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06/27/2019</w:t>
            </w:r>
          </w:p>
        </w:tc>
        <w:tc>
          <w:tcPr>
            <w:tcW w:w="120" w:type="dxa"/>
            <w:vAlign w:val="bottom"/>
          </w:tcPr>
          <w:p>
            <w:pPr>
              <w:spacing w:after="0"/>
              <w:rPr>
                <w:sz w:val="12"/>
                <w:szCs w:val="12"/>
                <w:color w:val="auto"/>
              </w:rPr>
            </w:pPr>
          </w:p>
        </w:tc>
        <w:tc>
          <w:tcPr>
            <w:tcW w:w="310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Media: Advertising, Printing and Publishing</w:t>
            </w:r>
          </w:p>
        </w:tc>
        <w:tc>
          <w:tcPr>
            <w:tcW w:w="1000" w:type="dxa"/>
            <w:vAlign w:val="bottom"/>
            <w:gridSpan w:val="2"/>
          </w:tcPr>
          <w:p>
            <w:pPr>
              <w:jc w:val="right"/>
              <w:ind w:right="213"/>
              <w:spacing w:after="0"/>
              <w:rPr>
                <w:sz w:val="20"/>
                <w:szCs w:val="20"/>
                <w:color w:val="auto"/>
              </w:rPr>
            </w:pPr>
            <w:r>
              <w:rPr>
                <w:rFonts w:ascii="Arial" w:cs="Arial" w:eastAsia="Arial" w:hAnsi="Arial"/>
                <w:sz w:val="13"/>
                <w:szCs w:val="13"/>
                <w:color w:val="auto"/>
              </w:rPr>
              <w:t>12.00%</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2,859,027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2,803,341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2,837,100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12,858,238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11,904,164</w:t>
            </w:r>
          </w:p>
        </w:tc>
        <w:tc>
          <w:tcPr>
            <w:tcW w:w="0" w:type="dxa"/>
            <w:vAlign w:val="bottom"/>
          </w:tcPr>
          <w:p>
            <w:pPr>
              <w:spacing w:after="0"/>
              <w:rPr>
                <w:sz w:val="1"/>
                <w:szCs w:val="1"/>
                <w:color w:val="auto"/>
              </w:rPr>
            </w:pPr>
          </w:p>
        </w:tc>
      </w:tr>
      <w:tr>
        <w:trPr>
          <w:trHeight w:val="156"/>
        </w:trPr>
        <w:tc>
          <w:tcPr>
            <w:tcW w:w="308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Preferred Equity/Partnership Interests—0.2% </w:t>
            </w:r>
            <w:r>
              <w:rPr>
                <w:rFonts w:ascii="Arial" w:cs="Arial" w:eastAsia="Arial" w:hAnsi="Arial"/>
                <w:sz w:val="18"/>
                <w:szCs w:val="18"/>
                <w:b w:val="1"/>
                <w:bCs w:val="1"/>
                <w:color w:val="auto"/>
                <w:vertAlign w:val="superscript"/>
              </w:rPr>
              <w:t>(7), (8)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74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31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2"/>
              </w:rPr>
              <w:t>Beverage, Food and Tobacco</w:t>
            </w:r>
          </w:p>
        </w:tc>
        <w:tc>
          <w:tcPr>
            <w:tcW w:w="100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3"/>
                <w:szCs w:val="13"/>
                <w:color w:val="auto"/>
              </w:rPr>
              <w:t>12.50%</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110,697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243,338</w:t>
            </w:r>
          </w:p>
        </w:tc>
        <w:tc>
          <w:tcPr>
            <w:tcW w:w="0" w:type="dxa"/>
            <w:vAlign w:val="bottom"/>
          </w:tcPr>
          <w:p>
            <w:pPr>
              <w:spacing w:after="0"/>
              <w:rPr>
                <w:sz w:val="1"/>
                <w:szCs w:val="1"/>
                <w:color w:val="auto"/>
              </w:rPr>
            </w:pPr>
          </w:p>
        </w:tc>
      </w:tr>
      <w:tr>
        <w:trPr>
          <w:trHeight w:val="159"/>
        </w:trPr>
        <w:tc>
          <w:tcPr>
            <w:tcW w:w="3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(TrustHouse Services Group,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Common Equity/Partnership Interests—1.2% </w:t>
            </w:r>
            <w:r>
              <w:rPr>
                <w:rFonts w:ascii="Arial" w:cs="Arial" w:eastAsia="Arial" w:hAnsi="Arial"/>
                <w:sz w:val="18"/>
                <w:szCs w:val="18"/>
                <w:b w:val="1"/>
                <w:bCs w:val="1"/>
                <w:color w:val="auto"/>
                <w:vertAlign w:val="superscript"/>
              </w:rPr>
              <w:t>(7), (8)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Titan Private Holdings I, LLC</w:t>
            </w:r>
          </w:p>
        </w:tc>
        <w:tc>
          <w:tcPr>
            <w:tcW w:w="74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31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Telecommunications</w:t>
            </w:r>
          </w:p>
        </w:tc>
        <w:tc>
          <w:tcPr>
            <w:tcW w:w="1000" w:type="dxa"/>
            <w:vAlign w:val="bottom"/>
            <w:gridSpan w:val="2"/>
            <w:shd w:val="clear" w:color="auto" w:fill="CCEEFF"/>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401,797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401,450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1,494,877</w:t>
            </w:r>
          </w:p>
        </w:tc>
        <w:tc>
          <w:tcPr>
            <w:tcW w:w="0" w:type="dxa"/>
            <w:vAlign w:val="bottom"/>
          </w:tcPr>
          <w:p>
            <w:pPr>
              <w:spacing w:after="0"/>
              <w:rPr>
                <w:sz w:val="1"/>
                <w:szCs w:val="1"/>
                <w:color w:val="auto"/>
              </w:rPr>
            </w:pPr>
          </w:p>
        </w:tc>
      </w:tr>
      <w:tr>
        <w:trPr>
          <w:trHeight w:val="159"/>
        </w:trPr>
        <w:tc>
          <w:tcPr>
            <w:tcW w:w="3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(Tekelec Global,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080" w:type="dxa"/>
            <w:vAlign w:val="bottom"/>
            <w:gridSpan w:val="2"/>
          </w:tcPr>
          <w:p>
            <w:pPr>
              <w:spacing w:after="0" w:line="138" w:lineRule="exact"/>
              <w:rPr>
                <w:sz w:val="20"/>
                <w:szCs w:val="20"/>
                <w:color w:val="auto"/>
              </w:rPr>
            </w:pPr>
            <w:r>
              <w:rPr>
                <w:rFonts w:ascii="Arial" w:cs="Arial" w:eastAsia="Arial" w:hAnsi="Arial"/>
                <w:sz w:val="13"/>
                <w:szCs w:val="13"/>
                <w:color w:val="auto"/>
              </w:rPr>
              <w:t>TrustHouse Services Holdings, LLC (TrustHouse</w:t>
            </w:r>
          </w:p>
        </w:tc>
        <w:tc>
          <w:tcPr>
            <w:tcW w:w="74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310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2"/>
              </w:rPr>
              <w:t>Beverage, Food and Tobacco</w:t>
            </w:r>
          </w:p>
        </w:tc>
        <w:tc>
          <w:tcPr>
            <w:tcW w:w="1000" w:type="dxa"/>
            <w:vAlign w:val="bottom"/>
            <w:gridSpan w:val="2"/>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5,000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14,305</w:t>
            </w:r>
          </w:p>
        </w:tc>
        <w:tc>
          <w:tcPr>
            <w:tcW w:w="0" w:type="dxa"/>
            <w:vAlign w:val="bottom"/>
          </w:tcPr>
          <w:p>
            <w:pPr>
              <w:spacing w:after="0"/>
              <w:rPr>
                <w:sz w:val="1"/>
                <w:szCs w:val="1"/>
                <w:color w:val="auto"/>
              </w:rPr>
            </w:pPr>
          </w:p>
        </w:tc>
      </w:tr>
      <w:tr>
        <w:trPr>
          <w:trHeight w:val="159"/>
        </w:trPr>
        <w:tc>
          <w:tcPr>
            <w:tcW w:w="3080" w:type="dxa"/>
            <w:vAlign w:val="bottom"/>
            <w:gridSpan w:val="2"/>
          </w:tcPr>
          <w:p>
            <w:pPr>
              <w:ind w:left="220"/>
              <w:spacing w:after="0"/>
              <w:rPr>
                <w:sz w:val="20"/>
                <w:szCs w:val="20"/>
                <w:color w:val="auto"/>
              </w:rPr>
            </w:pPr>
            <w:r>
              <w:rPr>
                <w:rFonts w:ascii="Arial" w:cs="Arial" w:eastAsia="Arial" w:hAnsi="Arial"/>
                <w:sz w:val="13"/>
                <w:szCs w:val="13"/>
                <w:color w:val="auto"/>
              </w:rPr>
              <w:t>Services Group, Inc.)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Vestcom Parent Holdings, Inc.</w:t>
            </w:r>
          </w:p>
        </w:tc>
        <w:tc>
          <w:tcPr>
            <w:tcW w:w="74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31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7"/>
              </w:rPr>
              <w:t>Media: Advertising, Printing and Publishing</w:t>
            </w:r>
          </w:p>
        </w:tc>
        <w:tc>
          <w:tcPr>
            <w:tcW w:w="1000" w:type="dxa"/>
            <w:vAlign w:val="bottom"/>
            <w:gridSpan w:val="2"/>
            <w:shd w:val="clear" w:color="auto" w:fill="CCEEFF"/>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15,179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166,667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183,392</w:t>
            </w:r>
          </w:p>
        </w:tc>
        <w:tc>
          <w:tcPr>
            <w:tcW w:w="0" w:type="dxa"/>
            <w:vAlign w:val="bottom"/>
          </w:tcPr>
          <w:p>
            <w:pPr>
              <w:spacing w:after="0"/>
              <w:rPr>
                <w:sz w:val="1"/>
                <w:szCs w:val="1"/>
                <w:color w:val="auto"/>
              </w:rPr>
            </w:pPr>
          </w:p>
        </w:tc>
      </w:tr>
      <w:tr>
        <w:trPr>
          <w:trHeight w:val="159"/>
        </w:trPr>
        <w:tc>
          <w:tcPr>
            <w:tcW w:w="3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(Vestcom International,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Equity/Partnership Interests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573,117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1,692,574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92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183,536,973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183,869,762</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Cash Equivalents—2.0%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2,725,248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2,725,248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w w:val="99"/>
              </w:rPr>
              <w:t>Total Investments and Cash Equivalents—134.4%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186,262,221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186,595,010</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Assets—(34.4)%</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4"/>
              </w:rPr>
              <w:t>(47,715,525)</w:t>
            </w: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138,879,485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right="140" w:hanging="332"/>
        <w:spacing w:after="0" w:line="24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50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10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60" w:type="dxa"/>
            <w:vAlign w:val="bottom"/>
          </w:tcPr>
          <w:p>
            <w:pPr>
              <w:jc w:val="right"/>
              <w:ind w:right="353"/>
              <w:spacing w:after="0" w:line="134" w:lineRule="exact"/>
              <w:rPr>
                <w:sz w:val="20"/>
                <w:szCs w:val="20"/>
                <w:color w:val="auto"/>
              </w:rPr>
            </w:pPr>
            <w:r>
              <w:rPr>
                <w:rFonts w:ascii="Arial" w:cs="Arial" w:eastAsia="Arial" w:hAnsi="Arial"/>
                <w:sz w:val="13"/>
                <w:szCs w:val="13"/>
                <w:b w:val="1"/>
                <w:bCs w:val="1"/>
                <w:color w:val="auto"/>
              </w:rPr>
              <w:t>Current</w:t>
            </w: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Above</w:t>
            </w:r>
          </w:p>
        </w:tc>
        <w:tc>
          <w:tcPr>
            <w:tcW w:w="1080" w:type="dxa"/>
            <w:vAlign w:val="bottom"/>
            <w:gridSpan w:val="2"/>
          </w:tcPr>
          <w:p>
            <w:pPr>
              <w:jc w:val="center"/>
              <w:ind w:right="300"/>
              <w:spacing w:after="0" w:line="134" w:lineRule="exact"/>
              <w:rPr>
                <w:sz w:val="20"/>
                <w:szCs w:val="20"/>
                <w:color w:val="auto"/>
              </w:rPr>
            </w:pPr>
            <w:r>
              <w:rPr>
                <w:rFonts w:ascii="Arial" w:cs="Arial" w:eastAsia="Arial" w:hAnsi="Arial"/>
                <w:sz w:val="13"/>
                <w:szCs w:val="13"/>
                <w:b w:val="1"/>
                <w:bCs w:val="1"/>
                <w:color w:val="auto"/>
              </w:rPr>
              <w:t>Par /</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220" w:type="dxa"/>
            <w:vAlign w:val="bottom"/>
          </w:tcPr>
          <w:p>
            <w:pPr>
              <w:jc w:val="center"/>
              <w:ind w:left="273"/>
              <w:spacing w:after="0"/>
              <w:rPr>
                <w:sz w:val="20"/>
                <w:szCs w:val="20"/>
                <w:color w:val="auto"/>
              </w:rPr>
            </w:pPr>
            <w:r>
              <w:rPr>
                <w:rFonts w:ascii="Arial" w:cs="Arial" w:eastAsia="Arial" w:hAnsi="Arial"/>
                <w:sz w:val="13"/>
                <w:szCs w:val="13"/>
                <w:b w:val="1"/>
                <w:bCs w:val="1"/>
                <w:color w:val="auto"/>
              </w:rPr>
              <w:t>Maturity</w:t>
            </w: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60" w:type="dxa"/>
            <w:vAlign w:val="bottom"/>
          </w:tcPr>
          <w:p>
            <w:pPr>
              <w:jc w:val="right"/>
              <w:ind w:right="353"/>
              <w:spacing w:after="0"/>
              <w:rPr>
                <w:sz w:val="20"/>
                <w:szCs w:val="20"/>
                <w:color w:val="auto"/>
              </w:rPr>
            </w:pPr>
            <w:r>
              <w:rPr>
                <w:rFonts w:ascii="Arial" w:cs="Arial" w:eastAsia="Arial" w:hAnsi="Arial"/>
                <w:sz w:val="13"/>
                <w:szCs w:val="13"/>
                <w:b w:val="1"/>
                <w:bCs w:val="1"/>
                <w:color w:val="auto"/>
              </w:rPr>
              <w:t>Coupon</w:t>
            </w:r>
          </w:p>
        </w:tc>
        <w:tc>
          <w:tcPr>
            <w:tcW w:w="90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Shares</w:t>
            </w:r>
          </w:p>
        </w:tc>
        <w:tc>
          <w:tcPr>
            <w:tcW w:w="600" w:type="dxa"/>
            <w:vAlign w:val="bottom"/>
          </w:tcPr>
          <w:p>
            <w:pPr>
              <w:jc w:val="right"/>
              <w:ind w:right="113"/>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10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216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6480" w:type="dxa"/>
            <w:vAlign w:val="bottom"/>
            <w:gridSpan w:val="3"/>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Investments in Non-Controlled, Non-Affiliated Portfolio Companies—179.5%</w:t>
            </w:r>
            <w:r>
              <w:rPr>
                <w:rFonts w:ascii="Arial" w:cs="Arial" w:eastAsia="Arial" w:hAnsi="Arial"/>
                <w:sz w:val="15"/>
                <w:szCs w:val="15"/>
                <w:b w:val="1"/>
                <w:bCs w:val="1"/>
                <w:color w:val="auto"/>
                <w:vertAlign w:val="superscript"/>
              </w:rPr>
              <w:t>(3),(4)</w:t>
            </w:r>
          </w:p>
        </w:tc>
        <w:tc>
          <w:tcPr>
            <w:tcW w:w="10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Debt—156.9%</w:t>
            </w:r>
          </w:p>
        </w:tc>
        <w:tc>
          <w:tcPr>
            <w:tcW w:w="12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Airvana Network Solutions Inc.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03/25/2015</w:t>
            </w:r>
          </w:p>
        </w:tc>
        <w:tc>
          <w:tcPr>
            <w:tcW w:w="216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10.00%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L+800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214,286</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4"/>
              </w:rPr>
              <w:t>$  214,838</w:t>
            </w:r>
          </w:p>
        </w:tc>
        <w:tc>
          <w:tcPr>
            <w:tcW w:w="4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214,018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Archipelago Learning, Inc.</w:t>
            </w:r>
          </w:p>
        </w:tc>
        <w:tc>
          <w:tcPr>
            <w:tcW w:w="1220" w:type="dxa"/>
            <w:vAlign w:val="bottom"/>
            <w:shd w:val="clear" w:color="auto" w:fill="CCEEFF"/>
          </w:tcPr>
          <w:p>
            <w:pPr>
              <w:jc w:val="center"/>
              <w:ind w:left="293"/>
              <w:spacing w:after="0" w:line="138" w:lineRule="exact"/>
              <w:rPr>
                <w:sz w:val="20"/>
                <w:szCs w:val="20"/>
                <w:color w:val="auto"/>
              </w:rPr>
            </w:pPr>
            <w:r>
              <w:rPr>
                <w:rFonts w:ascii="Arial" w:cs="Arial" w:eastAsia="Arial" w:hAnsi="Arial"/>
                <w:sz w:val="13"/>
                <w:szCs w:val="13"/>
                <w:color w:val="auto"/>
                <w:w w:val="95"/>
              </w:rPr>
              <w:t>05/17/2018</w:t>
            </w:r>
          </w:p>
        </w:tc>
        <w:tc>
          <w:tcPr>
            <w:tcW w:w="21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Media, Broadcasting and</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7.50%</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L+600</w:t>
            </w:r>
          </w:p>
        </w:tc>
        <w:tc>
          <w:tcPr>
            <w:tcW w:w="9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987,500</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959,574</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987,500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Subscription</w:t>
            </w:r>
          </w:p>
        </w:tc>
        <w:tc>
          <w:tcPr>
            <w:tcW w:w="10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Aspen Dental Management, Inc.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10/06/2016</w:t>
            </w:r>
          </w:p>
        </w:tc>
        <w:tc>
          <w:tcPr>
            <w:tcW w:w="2160" w:type="dxa"/>
            <w:vAlign w:val="bottom"/>
          </w:tcPr>
          <w:p>
            <w:pPr>
              <w:jc w:val="center"/>
              <w:spacing w:after="0"/>
              <w:rPr>
                <w:sz w:val="20"/>
                <w:szCs w:val="20"/>
                <w:color w:val="auto"/>
              </w:rPr>
            </w:pPr>
            <w:r>
              <w:rPr>
                <w:rFonts w:ascii="Arial" w:cs="Arial" w:eastAsia="Arial" w:hAnsi="Arial"/>
                <w:sz w:val="13"/>
                <w:szCs w:val="13"/>
                <w:color w:val="auto"/>
                <w:w w:val="93"/>
              </w:rPr>
              <w:t>Consumer Services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2,977,500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2,937,079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2,962,613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Attachmate Corporation</w:t>
            </w:r>
          </w:p>
        </w:tc>
        <w:tc>
          <w:tcPr>
            <w:tcW w:w="122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2"/>
              </w:rPr>
              <w:t>11/22/2017</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2,943,750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2,888,381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2,960,309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Autoparts Holdings Limited</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07/31/2017</w:t>
            </w:r>
          </w:p>
        </w:tc>
        <w:tc>
          <w:tcPr>
            <w:tcW w:w="2160" w:type="dxa"/>
            <w:vAlign w:val="bottom"/>
          </w:tcPr>
          <w:p>
            <w:pPr>
              <w:jc w:val="center"/>
              <w:spacing w:after="0"/>
              <w:rPr>
                <w:sz w:val="20"/>
                <w:szCs w:val="20"/>
                <w:color w:val="auto"/>
              </w:rPr>
            </w:pPr>
            <w:r>
              <w:rPr>
                <w:rFonts w:ascii="Arial" w:cs="Arial" w:eastAsia="Arial" w:hAnsi="Arial"/>
                <w:sz w:val="13"/>
                <w:szCs w:val="13"/>
                <w:color w:val="auto"/>
              </w:rPr>
              <w:t>Automotive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L+500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990,000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985,747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987,525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Blue Coat Systems, Inc.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02/15/2018</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L+600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3,975,000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3,902,979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4,014,750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C.H.I. Overhead Doors, Inc.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08/17/2017</w:t>
            </w:r>
          </w:p>
        </w:tc>
        <w:tc>
          <w:tcPr>
            <w:tcW w:w="2160" w:type="dxa"/>
            <w:vAlign w:val="bottom"/>
          </w:tcPr>
          <w:p>
            <w:pPr>
              <w:jc w:val="center"/>
              <w:spacing w:after="0"/>
              <w:rPr>
                <w:sz w:val="20"/>
                <w:szCs w:val="20"/>
                <w:color w:val="auto"/>
              </w:rPr>
            </w:pPr>
            <w:r>
              <w:rPr>
                <w:rFonts w:ascii="Arial" w:cs="Arial" w:eastAsia="Arial" w:hAnsi="Arial"/>
                <w:sz w:val="13"/>
                <w:szCs w:val="13"/>
                <w:color w:val="auto"/>
                <w:w w:val="94"/>
              </w:rPr>
              <w:t>Consumer Goods: Durable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7.25%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L+575</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3,866,119</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3,801,408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3,859,675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DCS Business Services, Inc.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03/19/2018</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3,733,125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3,673,063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3,677,128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Document Technologies, Inc.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12/01/2016</w:t>
            </w:r>
          </w:p>
        </w:tc>
        <w:tc>
          <w:tcPr>
            <w:tcW w:w="21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L+500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990,000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981,827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987,525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DS Waters of America, Inc.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08/29/2017</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Beverage, Food and Tobacco</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10.50%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L+900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3,980,000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3,904,846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4,109,350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EAG, Inc.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07/28/2017</w:t>
            </w:r>
          </w:p>
        </w:tc>
        <w:tc>
          <w:tcPr>
            <w:tcW w:w="21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6.75%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P+350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950,104</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946,081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945,353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EIG Investors Corp.</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04/20/2018</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7.75%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L+625</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3,990,000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3,952,867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4,009,950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Emerald Performance Materials, LLC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05/18/2018</w:t>
            </w:r>
          </w:p>
        </w:tc>
        <w:tc>
          <w:tcPr>
            <w:tcW w:w="2160" w:type="dxa"/>
            <w:vAlign w:val="bottom"/>
          </w:tcPr>
          <w:p>
            <w:pPr>
              <w:jc w:val="center"/>
              <w:spacing w:after="0"/>
              <w:rPr>
                <w:sz w:val="20"/>
                <w:szCs w:val="20"/>
                <w:color w:val="auto"/>
              </w:rPr>
            </w:pPr>
            <w:r>
              <w:rPr>
                <w:rFonts w:ascii="Arial" w:cs="Arial" w:eastAsia="Arial" w:hAnsi="Arial"/>
                <w:sz w:val="13"/>
                <w:szCs w:val="13"/>
                <w:color w:val="auto"/>
                <w:w w:val="92"/>
              </w:rPr>
              <w:t>Chemicals, Plastics and Rubber</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6.75%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1,995,000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1,975,762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2,004,975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eResearchtechnology, Inc.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05/02/2018</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8.00%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3,000,000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2,884,003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Fundtech (US FT HOLDCO, INC.)</w:t>
            </w:r>
          </w:p>
        </w:tc>
        <w:tc>
          <w:tcPr>
            <w:tcW w:w="1220" w:type="dxa"/>
            <w:vAlign w:val="bottom"/>
          </w:tcPr>
          <w:p>
            <w:pPr>
              <w:jc w:val="center"/>
              <w:ind w:left="273"/>
              <w:spacing w:after="0"/>
              <w:rPr>
                <w:sz w:val="20"/>
                <w:szCs w:val="20"/>
                <w:color w:val="auto"/>
              </w:rPr>
            </w:pPr>
            <w:r>
              <w:rPr>
                <w:rFonts w:ascii="Arial" w:cs="Arial" w:eastAsia="Arial" w:hAnsi="Arial"/>
                <w:sz w:val="13"/>
                <w:szCs w:val="13"/>
                <w:color w:val="auto"/>
                <w:w w:val="92"/>
              </w:rPr>
              <w:t>11/30/2017</w:t>
            </w:r>
          </w:p>
        </w:tc>
        <w:tc>
          <w:tcPr>
            <w:tcW w:w="21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L+600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2,977,500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2,898,672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2,977,500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GFA Brands, Inc.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07/02/2018</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Beverage, Food and Tobacco</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1,995,000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1,956,496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2,012,456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09/02/2019</w:t>
            </w:r>
          </w:p>
        </w:tc>
        <w:tc>
          <w:tcPr>
            <w:tcW w:w="216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9.63%</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3,000,000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Gundle/SLT Environmental, Inc.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05/27/2016</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Environmental Industries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2,956,829</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2,933,351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2,934,653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Healogics, Inc. (f/k/a National Healing Corp.)</w:t>
            </w:r>
          </w:p>
        </w:tc>
        <w:tc>
          <w:tcPr>
            <w:tcW w:w="1220" w:type="dxa"/>
            <w:vAlign w:val="bottom"/>
          </w:tcPr>
          <w:p>
            <w:pPr>
              <w:jc w:val="center"/>
              <w:ind w:left="273"/>
              <w:spacing w:after="0"/>
              <w:rPr>
                <w:sz w:val="20"/>
                <w:szCs w:val="20"/>
                <w:color w:val="auto"/>
              </w:rPr>
            </w:pPr>
            <w:r>
              <w:rPr>
                <w:rFonts w:ascii="Arial" w:cs="Arial" w:eastAsia="Arial" w:hAnsi="Arial"/>
                <w:sz w:val="13"/>
                <w:szCs w:val="13"/>
                <w:color w:val="auto"/>
                <w:w w:val="92"/>
              </w:rPr>
              <w:t>11/30/2017</w:t>
            </w:r>
          </w:p>
        </w:tc>
        <w:tc>
          <w:tcPr>
            <w:tcW w:w="216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8.25%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L+675</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4,962,500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4,742,008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4,925,281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HMK Intermediate Holdings LLC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04/01/2019</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L+600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2,985,000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2,929,228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2,992,463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Howard Berger Co. LLC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08/03/2017</w:t>
            </w:r>
          </w:p>
        </w:tc>
        <w:tc>
          <w:tcPr>
            <w:tcW w:w="2160" w:type="dxa"/>
            <w:vAlign w:val="bottom"/>
          </w:tcPr>
          <w:p>
            <w:pPr>
              <w:jc w:val="center"/>
              <w:spacing w:after="0"/>
              <w:rPr>
                <w:sz w:val="20"/>
                <w:szCs w:val="20"/>
                <w:color w:val="auto"/>
              </w:rPr>
            </w:pPr>
            <w:r>
              <w:rPr>
                <w:rFonts w:ascii="Arial" w:cs="Arial" w:eastAsia="Arial" w:hAnsi="Arial"/>
                <w:sz w:val="13"/>
                <w:szCs w:val="13"/>
                <w:color w:val="auto"/>
                <w:w w:val="95"/>
              </w:rPr>
              <w:t>Wholesale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L+575</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2,743,125</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2,702,953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2,715,694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03/30/2017</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Automotive</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11.50%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2,000,000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1,963,159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Ikaria Acquisition Inc.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06/22/2016</w:t>
            </w:r>
          </w:p>
        </w:tc>
        <w:tc>
          <w:tcPr>
            <w:tcW w:w="216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7.75%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L+650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1,700,000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1,691,500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1,649,000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Instant Web, Inc.</w:t>
            </w:r>
          </w:p>
        </w:tc>
        <w:tc>
          <w:tcPr>
            <w:tcW w:w="1220" w:type="dxa"/>
            <w:vAlign w:val="bottom"/>
            <w:shd w:val="clear" w:color="auto" w:fill="CCEEFF"/>
          </w:tcPr>
          <w:p>
            <w:pPr>
              <w:jc w:val="center"/>
              <w:ind w:left="293"/>
              <w:spacing w:after="0" w:line="138" w:lineRule="exact"/>
              <w:rPr>
                <w:sz w:val="20"/>
                <w:szCs w:val="20"/>
                <w:color w:val="auto"/>
              </w:rPr>
            </w:pPr>
            <w:r>
              <w:rPr>
                <w:rFonts w:ascii="Arial" w:cs="Arial" w:eastAsia="Arial" w:hAnsi="Arial"/>
                <w:sz w:val="13"/>
                <w:szCs w:val="13"/>
                <w:color w:val="auto"/>
                <w:w w:val="95"/>
              </w:rPr>
              <w:t>08/07/2014</w:t>
            </w:r>
          </w:p>
        </w:tc>
        <w:tc>
          <w:tcPr>
            <w:tcW w:w="21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60" w:type="dxa"/>
            <w:vAlign w:val="bottom"/>
            <w:shd w:val="clear" w:color="auto" w:fill="CCEEFF"/>
          </w:tcPr>
          <w:p>
            <w:pPr>
              <w:jc w:val="right"/>
              <w:ind w:right="33"/>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L+338</w:t>
            </w:r>
          </w:p>
        </w:tc>
        <w:tc>
          <w:tcPr>
            <w:tcW w:w="9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6,836,508</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6,534,349</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5,247,020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10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K2 Pure Solutions NoCal, L.P.</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09/10/2015</w:t>
            </w:r>
          </w:p>
        </w:tc>
        <w:tc>
          <w:tcPr>
            <w:tcW w:w="2160" w:type="dxa"/>
            <w:vAlign w:val="bottom"/>
          </w:tcPr>
          <w:p>
            <w:pPr>
              <w:jc w:val="center"/>
              <w:spacing w:after="0"/>
              <w:rPr>
                <w:sz w:val="20"/>
                <w:szCs w:val="20"/>
                <w:color w:val="auto"/>
              </w:rPr>
            </w:pPr>
            <w:r>
              <w:rPr>
                <w:rFonts w:ascii="Arial" w:cs="Arial" w:eastAsia="Arial" w:hAnsi="Arial"/>
                <w:sz w:val="13"/>
                <w:szCs w:val="13"/>
                <w:color w:val="auto"/>
                <w:w w:val="92"/>
              </w:rPr>
              <w:t>Chemicals, Plastics and Rubber</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10.00%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L+775</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5,476,250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5,512,699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5,558,394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06/02/2014</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Consumer Goods: Non-Durable</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8.50%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L+700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4,937,500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4,845,282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4,863,438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Medpace Intermediateco, Inc.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06/19/2017</w:t>
            </w:r>
          </w:p>
        </w:tc>
        <w:tc>
          <w:tcPr>
            <w:tcW w:w="21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L+500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1,844,649</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1,821,373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1,766,252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MModal Inc.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08/16/2019</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6.75%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3,400,000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3,349,374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3,351,125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05/07/2018</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Media: Diversified and Production</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3,950,000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3,916,596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3,921,611</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12/23/2016</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8.50%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L+700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2,887,500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2,826,368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MX USA, Inc. and KAN-DI-KI, LLC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05/01/2017</w:t>
            </w:r>
          </w:p>
        </w:tc>
        <w:tc>
          <w:tcPr>
            <w:tcW w:w="216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L+525</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2,985,000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2,943,607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2,955,150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NAB Holdings, LLC</w:t>
            </w:r>
          </w:p>
        </w:tc>
        <w:tc>
          <w:tcPr>
            <w:tcW w:w="1220" w:type="dxa"/>
            <w:vAlign w:val="bottom"/>
            <w:shd w:val="clear" w:color="auto" w:fill="CCEEFF"/>
          </w:tcPr>
          <w:p>
            <w:pPr>
              <w:jc w:val="center"/>
              <w:ind w:left="293"/>
              <w:spacing w:after="0" w:line="138" w:lineRule="exact"/>
              <w:rPr>
                <w:sz w:val="20"/>
                <w:szCs w:val="20"/>
                <w:color w:val="auto"/>
              </w:rPr>
            </w:pPr>
            <w:r>
              <w:rPr>
                <w:rFonts w:ascii="Arial" w:cs="Arial" w:eastAsia="Arial" w:hAnsi="Arial"/>
                <w:sz w:val="13"/>
                <w:szCs w:val="13"/>
                <w:color w:val="auto"/>
                <w:w w:val="95"/>
              </w:rPr>
              <w:t>04/24/2018</w:t>
            </w:r>
          </w:p>
        </w:tc>
        <w:tc>
          <w:tcPr>
            <w:tcW w:w="21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Banking, Finance, Insurance and</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987,500</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973,817</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997,375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Real Estate</w:t>
            </w:r>
          </w:p>
        </w:tc>
        <w:tc>
          <w:tcPr>
            <w:tcW w:w="10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Pelican Products, Inc.</w:t>
            </w:r>
          </w:p>
        </w:tc>
        <w:tc>
          <w:tcPr>
            <w:tcW w:w="1220" w:type="dxa"/>
            <w:vAlign w:val="bottom"/>
          </w:tcPr>
          <w:p>
            <w:pPr>
              <w:jc w:val="center"/>
              <w:ind w:left="273"/>
              <w:spacing w:after="0"/>
              <w:rPr>
                <w:sz w:val="20"/>
                <w:szCs w:val="20"/>
                <w:color w:val="auto"/>
              </w:rPr>
            </w:pPr>
            <w:r>
              <w:rPr>
                <w:rFonts w:ascii="Arial" w:cs="Arial" w:eastAsia="Arial" w:hAnsi="Arial"/>
                <w:sz w:val="13"/>
                <w:szCs w:val="13"/>
                <w:color w:val="auto"/>
                <w:w w:val="92"/>
              </w:rPr>
              <w:t>07/11/2018</w:t>
            </w:r>
          </w:p>
        </w:tc>
        <w:tc>
          <w:tcPr>
            <w:tcW w:w="2160" w:type="dxa"/>
            <w:vAlign w:val="bottom"/>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1,496,250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1,467,389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1,492,509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Penton Media, Inc.</w:t>
            </w:r>
          </w:p>
        </w:tc>
        <w:tc>
          <w:tcPr>
            <w:tcW w:w="1220" w:type="dxa"/>
            <w:vAlign w:val="bottom"/>
            <w:shd w:val="clear" w:color="auto" w:fill="CCEEFF"/>
          </w:tcPr>
          <w:p>
            <w:pPr>
              <w:jc w:val="center"/>
              <w:ind w:left="293"/>
              <w:spacing w:after="0" w:line="138" w:lineRule="exact"/>
              <w:rPr>
                <w:sz w:val="20"/>
                <w:szCs w:val="20"/>
                <w:color w:val="auto"/>
              </w:rPr>
            </w:pPr>
            <w:r>
              <w:rPr>
                <w:rFonts w:ascii="Arial" w:cs="Arial" w:eastAsia="Arial" w:hAnsi="Arial"/>
                <w:sz w:val="13"/>
                <w:szCs w:val="13"/>
                <w:color w:val="auto"/>
                <w:w w:val="95"/>
              </w:rPr>
              <w:t>08/01/2014</w:t>
            </w:r>
          </w:p>
        </w:tc>
        <w:tc>
          <w:tcPr>
            <w:tcW w:w="21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Diversified and Production</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5.00%</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L+400</w:t>
            </w:r>
          </w:p>
        </w:tc>
        <w:tc>
          <w:tcPr>
            <w:tcW w:w="9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5,497,407</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4,931,995</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4,439,156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(PIK 1.00 %)</w:t>
            </w:r>
          </w:p>
        </w:tc>
        <w:tc>
          <w:tcPr>
            <w:tcW w:w="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Potter’s Holdings II, L.P.</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05/08/2017</w:t>
            </w:r>
          </w:p>
        </w:tc>
        <w:tc>
          <w:tcPr>
            <w:tcW w:w="2160" w:type="dxa"/>
            <w:vAlign w:val="bottom"/>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L+450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1,975,000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1,958,715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1,967,594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Pro Mach, Inc.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07/06/2017</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Capital Equipment</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L+475</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978,077</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970,036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967,889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3"/>
                <w:szCs w:val="13"/>
                <w:color w:val="auto"/>
              </w:rPr>
              <w:t>Renaissance Learning, Inc.</w:t>
            </w:r>
          </w:p>
        </w:tc>
        <w:tc>
          <w:tcPr>
            <w:tcW w:w="1220" w:type="dxa"/>
            <w:vAlign w:val="bottom"/>
          </w:tcPr>
          <w:p>
            <w:pPr>
              <w:jc w:val="center"/>
              <w:ind w:left="293"/>
              <w:spacing w:after="0" w:line="138" w:lineRule="exact"/>
              <w:rPr>
                <w:sz w:val="20"/>
                <w:szCs w:val="20"/>
                <w:color w:val="auto"/>
              </w:rPr>
            </w:pPr>
            <w:r>
              <w:rPr>
                <w:rFonts w:ascii="Arial" w:cs="Arial" w:eastAsia="Arial" w:hAnsi="Arial"/>
                <w:sz w:val="13"/>
                <w:szCs w:val="13"/>
                <w:color w:val="auto"/>
                <w:w w:val="95"/>
              </w:rPr>
              <w:t>10/19/2017</w:t>
            </w:r>
          </w:p>
        </w:tc>
        <w:tc>
          <w:tcPr>
            <w:tcW w:w="216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60" w:type="dxa"/>
            <w:vAlign w:val="bottom"/>
          </w:tcPr>
          <w:p>
            <w:pPr>
              <w:jc w:val="right"/>
              <w:ind w:right="173"/>
              <w:spacing w:after="0" w:line="138" w:lineRule="exact"/>
              <w:rPr>
                <w:sz w:val="20"/>
                <w:szCs w:val="20"/>
                <w:color w:val="auto"/>
              </w:rPr>
            </w:pPr>
            <w:r>
              <w:rPr>
                <w:rFonts w:ascii="Arial" w:cs="Arial" w:eastAsia="Arial" w:hAnsi="Arial"/>
                <w:sz w:val="13"/>
                <w:szCs w:val="13"/>
                <w:color w:val="auto"/>
              </w:rPr>
              <w:t>7.75%</w:t>
            </w:r>
          </w:p>
        </w:tc>
        <w:tc>
          <w:tcPr>
            <w:tcW w:w="900" w:type="dxa"/>
            <w:vAlign w:val="bottom"/>
          </w:tcPr>
          <w:p>
            <w:pPr>
              <w:jc w:val="right"/>
              <w:ind w:right="73"/>
              <w:spacing w:after="0" w:line="138" w:lineRule="exact"/>
              <w:rPr>
                <w:sz w:val="20"/>
                <w:szCs w:val="20"/>
                <w:color w:val="auto"/>
              </w:rPr>
            </w:pPr>
            <w:r>
              <w:rPr>
                <w:rFonts w:ascii="Arial" w:cs="Arial" w:eastAsia="Arial" w:hAnsi="Arial"/>
                <w:sz w:val="13"/>
                <w:szCs w:val="13"/>
                <w:color w:val="auto"/>
              </w:rPr>
              <w:t>L+625</w:t>
            </w:r>
          </w:p>
        </w:tc>
        <w:tc>
          <w:tcPr>
            <w:tcW w:w="9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1,980,000</w:t>
            </w:r>
          </w:p>
        </w:tc>
        <w:tc>
          <w:tcPr>
            <w:tcW w:w="18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1,909,788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1,994,850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Rocket Software, Inc.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02/08/2018</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3,970,000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3,898,141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Sabre Industries, Inc.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08/24/2018</w:t>
            </w:r>
          </w:p>
        </w:tc>
        <w:tc>
          <w:tcPr>
            <w:tcW w:w="2160" w:type="dxa"/>
            <w:vAlign w:val="bottom"/>
          </w:tcPr>
          <w:p>
            <w:pPr>
              <w:jc w:val="center"/>
              <w:spacing w:after="0"/>
              <w:rPr>
                <w:sz w:val="20"/>
                <w:szCs w:val="20"/>
                <w:color w:val="auto"/>
              </w:rPr>
            </w:pPr>
            <w:r>
              <w:rPr>
                <w:rFonts w:ascii="Arial" w:cs="Arial" w:eastAsia="Arial" w:hAnsi="Arial"/>
                <w:sz w:val="13"/>
                <w:szCs w:val="13"/>
                <w:color w:val="auto"/>
                <w:w w:val="95"/>
              </w:rPr>
              <w:t>Construction and Building</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L+575</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3,000,000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2,955,509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2,973,126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Securus Technologies, Inc.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05/31/2017</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L+525</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2,962,500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2,938,182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2,960,648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Seven Seas Cruises S. DE R.L.</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12/21/2018</w:t>
            </w:r>
          </w:p>
        </w:tc>
        <w:tc>
          <w:tcPr>
            <w:tcW w:w="216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6.25%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L+500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1,500,000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1,485,300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1,505,625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Sotera Defense Solutions, Inc.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04/21/2017</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Aerospace and Defense</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2,962,512</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2,939,052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2,932,887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Tekelec Global, Inc. (First Out)</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01/29/2018</w:t>
            </w:r>
          </w:p>
        </w:tc>
        <w:tc>
          <w:tcPr>
            <w:tcW w:w="216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9.00%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L+750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150,000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147,935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Tekelec Global, Inc. (Second Out)</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01/29/2018</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13.50%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L+1,200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1,875,000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1,823,914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Triple Point Technology, Inc.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10/27/2017</w:t>
            </w:r>
          </w:p>
        </w:tc>
        <w:tc>
          <w:tcPr>
            <w:tcW w:w="216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8.00%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L+650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992,500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958,036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992,500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UniTek Global Services, Inc.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04/16/2018</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9.00%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L+750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1,995,000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1,935,550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1,950,113</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Univita Health Inc.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06/19/2017</w:t>
            </w:r>
          </w:p>
        </w:tc>
        <w:tc>
          <w:tcPr>
            <w:tcW w:w="2160" w:type="dxa"/>
            <w:vAlign w:val="bottom"/>
          </w:tcPr>
          <w:p>
            <w:pPr>
              <w:jc w:val="center"/>
              <w:spacing w:after="0"/>
              <w:rPr>
                <w:sz w:val="20"/>
                <w:szCs w:val="20"/>
                <w:color w:val="auto"/>
              </w:rPr>
            </w:pPr>
            <w:r>
              <w:rPr>
                <w:rFonts w:ascii="Arial" w:cs="Arial" w:eastAsia="Arial" w:hAnsi="Arial"/>
                <w:sz w:val="13"/>
                <w:szCs w:val="13"/>
                <w:color w:val="auto"/>
                <w:w w:val="93"/>
              </w:rPr>
              <w:t>Consumer Services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6.25%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L+475</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2,962,500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2,938,318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2,844,000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Valitas Health Services, Inc.</w:t>
            </w:r>
          </w:p>
        </w:tc>
        <w:tc>
          <w:tcPr>
            <w:tcW w:w="122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5"/>
              </w:rPr>
              <w:t>06/02/2017</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L+450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1,481,250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1,474,945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Vantage Specialties, Inc.</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02/09/2018</w:t>
            </w:r>
          </w:p>
        </w:tc>
        <w:tc>
          <w:tcPr>
            <w:tcW w:w="2160" w:type="dxa"/>
            <w:vAlign w:val="bottom"/>
          </w:tcPr>
          <w:p>
            <w:pPr>
              <w:jc w:val="center"/>
              <w:spacing w:after="0"/>
              <w:rPr>
                <w:sz w:val="20"/>
                <w:szCs w:val="20"/>
                <w:color w:val="auto"/>
              </w:rPr>
            </w:pPr>
            <w:r>
              <w:rPr>
                <w:rFonts w:ascii="Arial" w:cs="Arial" w:eastAsia="Arial" w:hAnsi="Arial"/>
                <w:sz w:val="13"/>
                <w:szCs w:val="13"/>
                <w:color w:val="auto"/>
                <w:w w:val="92"/>
              </w:rPr>
              <w:t>Chemicals, Plastics and Rubber</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2,985,000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2,930,559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2,999,925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Viamedia Services Corp.</w:t>
            </w:r>
          </w:p>
        </w:tc>
        <w:tc>
          <w:tcPr>
            <w:tcW w:w="1220" w:type="dxa"/>
            <w:vAlign w:val="bottom"/>
            <w:shd w:val="clear" w:color="auto" w:fill="CCEEFF"/>
          </w:tcPr>
          <w:p>
            <w:pPr>
              <w:jc w:val="center"/>
              <w:ind w:left="293"/>
              <w:spacing w:after="0" w:line="138" w:lineRule="exact"/>
              <w:rPr>
                <w:sz w:val="20"/>
                <w:szCs w:val="20"/>
                <w:color w:val="auto"/>
              </w:rPr>
            </w:pPr>
            <w:r>
              <w:rPr>
                <w:rFonts w:ascii="Arial" w:cs="Arial" w:eastAsia="Arial" w:hAnsi="Arial"/>
                <w:sz w:val="13"/>
                <w:szCs w:val="13"/>
                <w:color w:val="auto"/>
                <w:w w:val="95"/>
              </w:rPr>
              <w:t>04/19/2016</w:t>
            </w:r>
          </w:p>
        </w:tc>
        <w:tc>
          <w:tcPr>
            <w:tcW w:w="21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4,187,556</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4,147,483</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4,187,556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10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20"/>
                <w:szCs w:val="20"/>
                <w:color w:val="auto"/>
              </w:rPr>
            </w:pPr>
            <w:r>
              <w:rPr>
                <w:rFonts w:ascii="Arial" w:cs="Arial" w:eastAsia="Arial" w:hAnsi="Arial"/>
                <w:sz w:val="13"/>
                <w:szCs w:val="13"/>
                <w:color w:val="auto"/>
              </w:rPr>
              <w:t>Virtual Radiologic Corporation</w:t>
            </w:r>
          </w:p>
        </w:tc>
        <w:tc>
          <w:tcPr>
            <w:tcW w:w="1220" w:type="dxa"/>
            <w:vAlign w:val="bottom"/>
          </w:tcPr>
          <w:p>
            <w:pPr>
              <w:jc w:val="center"/>
              <w:ind w:left="293"/>
              <w:spacing w:after="0"/>
              <w:rPr>
                <w:sz w:val="20"/>
                <w:szCs w:val="20"/>
                <w:color w:val="auto"/>
              </w:rPr>
            </w:pPr>
            <w:r>
              <w:rPr>
                <w:rFonts w:ascii="Arial" w:cs="Arial" w:eastAsia="Arial" w:hAnsi="Arial"/>
                <w:sz w:val="13"/>
                <w:szCs w:val="13"/>
                <w:color w:val="auto"/>
                <w:w w:val="95"/>
              </w:rPr>
              <w:t>12/22/2016</w:t>
            </w:r>
          </w:p>
        </w:tc>
        <w:tc>
          <w:tcPr>
            <w:tcW w:w="21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7.75%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P+450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2,970,000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2,940,842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2,643,300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7"/>
              </w:rPr>
              <w:t>Basis Point</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13"/>
              <w:spacing w:after="0" w:line="134" w:lineRule="exact"/>
              <w:rPr>
                <w:sz w:val="20"/>
                <w:szCs w:val="20"/>
                <w:color w:val="auto"/>
              </w:rPr>
            </w:pPr>
            <w:r>
              <w:rPr>
                <w:rFonts w:ascii="Arial" w:cs="Arial" w:eastAsia="Arial" w:hAnsi="Arial"/>
                <w:sz w:val="13"/>
                <w:szCs w:val="13"/>
                <w:b w:val="1"/>
                <w:bCs w:val="1"/>
                <w:color w:val="auto"/>
              </w:rPr>
              <w:t>Current</w:t>
            </w:r>
          </w:p>
        </w:tc>
        <w:tc>
          <w:tcPr>
            <w:tcW w:w="82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0"/>
              </w:rPr>
              <w:t>Above</w:t>
            </w:r>
          </w:p>
        </w:tc>
        <w:tc>
          <w:tcPr>
            <w:tcW w:w="76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99"/>
              </w:rPr>
              <w:t>Par /</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5"/>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Maturity</w:t>
            </w: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Industry</w:t>
            </w:r>
          </w:p>
        </w:tc>
        <w:tc>
          <w:tcPr>
            <w:tcW w:w="920" w:type="dxa"/>
            <w:vAlign w:val="bottom"/>
            <w:gridSpan w:val="2"/>
          </w:tcPr>
          <w:p>
            <w:pPr>
              <w:jc w:val="right"/>
              <w:ind w:right="333"/>
              <w:spacing w:after="0"/>
              <w:rPr>
                <w:sz w:val="20"/>
                <w:szCs w:val="20"/>
                <w:color w:val="auto"/>
              </w:rPr>
            </w:pPr>
            <w:r>
              <w:rPr>
                <w:rFonts w:ascii="Arial" w:cs="Arial" w:eastAsia="Arial" w:hAnsi="Arial"/>
                <w:sz w:val="13"/>
                <w:szCs w:val="13"/>
                <w:b w:val="1"/>
                <w:bCs w:val="1"/>
                <w:color w:val="auto"/>
              </w:rPr>
              <w:t>Coupon</w:t>
            </w:r>
          </w:p>
        </w:tc>
        <w:tc>
          <w:tcPr>
            <w:tcW w:w="820" w:type="dxa"/>
            <w:vAlign w:val="bottom"/>
            <w:gridSpan w:val="2"/>
          </w:tcPr>
          <w:p>
            <w:pPr>
              <w:jc w:val="center"/>
              <w:ind w:right="20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Shares</w:t>
            </w:r>
          </w:p>
        </w:tc>
        <w:tc>
          <w:tcPr>
            <w:tcW w:w="6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W3 CO.</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2"/>
              </w:rPr>
              <w:t>10/31/2017</w:t>
            </w:r>
          </w:p>
        </w:tc>
        <w:tc>
          <w:tcPr>
            <w:tcW w:w="8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Energy: Oil and Gas</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7.50</w:t>
            </w:r>
          </w:p>
        </w:tc>
        <w:tc>
          <w:tcPr>
            <w:tcW w:w="320" w:type="dxa"/>
            <w:vAlign w:val="bottom"/>
            <w:tcBorders>
              <w:top w:val="single" w:sz="8" w:color="CCEEFF"/>
            </w:tcBorders>
            <w:shd w:val="clear" w:color="auto" w:fill="CCEEFF"/>
          </w:tcPr>
          <w:p>
            <w:pPr>
              <w:jc w:val="right"/>
              <w:ind w:right="133"/>
              <w:spacing w:after="0" w:line="142" w:lineRule="exact"/>
              <w:rPr>
                <w:sz w:val="20"/>
                <w:szCs w:val="20"/>
                <w:color w:val="auto"/>
              </w:rPr>
            </w:pPr>
            <w:r>
              <w:rPr>
                <w:rFonts w:ascii="Arial" w:cs="Arial" w:eastAsia="Arial" w:hAnsi="Arial"/>
                <w:sz w:val="13"/>
                <w:szCs w:val="13"/>
                <w:color w:val="auto"/>
                <w:w w:val="8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L+625</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1,985,000</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1,916,035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1,982,519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rPr>
                <w:sz w:val="20"/>
                <w:szCs w:val="20"/>
                <w:color w:val="auto"/>
              </w:rPr>
            </w:pPr>
            <w:r>
              <w:rPr>
                <w:rFonts w:ascii="Arial" w:cs="Arial" w:eastAsia="Arial" w:hAnsi="Arial"/>
                <w:sz w:val="13"/>
                <w:szCs w:val="13"/>
                <w:color w:val="auto"/>
              </w:rPr>
              <w:t>Water Pik, Inc.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08/10/2017</w:t>
            </w:r>
          </w:p>
        </w:tc>
        <w:tc>
          <w:tcPr>
            <w:tcW w:w="80" w:type="dxa"/>
            <w:vAlign w:val="bottom"/>
          </w:tcPr>
          <w:p>
            <w:pPr>
              <w:spacing w:after="0"/>
              <w:rPr>
                <w:sz w:val="12"/>
                <w:szCs w:val="12"/>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Consumer Goods: Durable</w:t>
            </w:r>
          </w:p>
        </w:tc>
        <w:tc>
          <w:tcPr>
            <w:tcW w:w="920" w:type="dxa"/>
            <w:vAlign w:val="bottom"/>
            <w:gridSpan w:val="2"/>
          </w:tcPr>
          <w:p>
            <w:pPr>
              <w:jc w:val="right"/>
              <w:ind w:right="133"/>
              <w:spacing w:after="0"/>
              <w:rPr>
                <w:sz w:val="20"/>
                <w:szCs w:val="20"/>
                <w:color w:val="auto"/>
              </w:rPr>
            </w:pPr>
            <w:r>
              <w:rPr>
                <w:rFonts w:ascii="Arial" w:cs="Arial" w:eastAsia="Arial" w:hAnsi="Arial"/>
                <w:sz w:val="13"/>
                <w:szCs w:val="13"/>
                <w:color w:val="auto"/>
              </w:rPr>
              <w:t>6.75%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3,465,000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3,434,281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3,456,338</w:t>
            </w: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WCA Waste Corporation</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03/23/2018</w:t>
            </w:r>
          </w:p>
        </w:tc>
        <w:tc>
          <w:tcPr>
            <w:tcW w:w="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Environmental Industries</w:t>
            </w:r>
          </w:p>
        </w:tc>
        <w:tc>
          <w:tcPr>
            <w:tcW w:w="92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5.50%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L+425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985,787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998,316</w:t>
            </w: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rPr>
                <w:sz w:val="20"/>
                <w:szCs w:val="20"/>
                <w:color w:val="auto"/>
              </w:rPr>
            </w:pPr>
            <w:r>
              <w:rPr>
                <w:rFonts w:ascii="Arial" w:cs="Arial" w:eastAsia="Arial" w:hAnsi="Arial"/>
                <w:sz w:val="13"/>
                <w:szCs w:val="13"/>
                <w:color w:val="auto"/>
              </w:rPr>
              <w:t>Wilton Brands, LLC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08/30/2018</w:t>
            </w:r>
          </w:p>
        </w:tc>
        <w:tc>
          <w:tcPr>
            <w:tcW w:w="80" w:type="dxa"/>
            <w:vAlign w:val="bottom"/>
          </w:tcPr>
          <w:p>
            <w:pPr>
              <w:spacing w:after="0"/>
              <w:rPr>
                <w:sz w:val="12"/>
                <w:szCs w:val="12"/>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Consumer Goods: Non-Durable</w:t>
            </w:r>
          </w:p>
        </w:tc>
        <w:tc>
          <w:tcPr>
            <w:tcW w:w="920" w:type="dxa"/>
            <w:vAlign w:val="bottom"/>
            <w:gridSpan w:val="2"/>
          </w:tcPr>
          <w:p>
            <w:pPr>
              <w:jc w:val="right"/>
              <w:ind w:right="133"/>
              <w:spacing w:after="0"/>
              <w:rPr>
                <w:sz w:val="20"/>
                <w:szCs w:val="20"/>
                <w:color w:val="auto"/>
              </w:rPr>
            </w:pPr>
            <w:r>
              <w:rPr>
                <w:rFonts w:ascii="Arial" w:cs="Arial" w:eastAsia="Arial" w:hAnsi="Arial"/>
                <w:sz w:val="13"/>
                <w:szCs w:val="13"/>
                <w:color w:val="auto"/>
              </w:rPr>
              <w:t>7.50%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L+625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3,400,000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3,332,763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3,417,000</w:t>
            </w: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07/15/2016</w:t>
            </w:r>
          </w:p>
        </w:tc>
        <w:tc>
          <w:tcPr>
            <w:tcW w:w="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2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11.38%</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4,000,000</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4,288,196</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Total First Lien Secured Debt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1"/>
              </w:rPr>
              <w:t>150,258,038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w w:val="94"/>
              </w:rPr>
              <w:t>150,209,747</w:t>
            </w: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Debt—12.6%</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09/01/2017</w:t>
            </w:r>
          </w:p>
        </w:tc>
        <w:tc>
          <w:tcPr>
            <w:tcW w:w="80" w:type="dxa"/>
            <w:vAlign w:val="bottom"/>
          </w:tcPr>
          <w:p>
            <w:pPr>
              <w:spacing w:after="0"/>
              <w:rPr>
                <w:sz w:val="12"/>
                <w:szCs w:val="12"/>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Metals and Mining</w:t>
            </w:r>
          </w:p>
        </w:tc>
        <w:tc>
          <w:tcPr>
            <w:tcW w:w="920" w:type="dxa"/>
            <w:vAlign w:val="bottom"/>
            <w:gridSpan w:val="2"/>
          </w:tcPr>
          <w:p>
            <w:pPr>
              <w:jc w:val="right"/>
              <w:ind w:right="133"/>
              <w:spacing w:after="0"/>
              <w:rPr>
                <w:sz w:val="20"/>
                <w:szCs w:val="20"/>
                <w:color w:val="auto"/>
              </w:rPr>
            </w:pPr>
            <w:r>
              <w:rPr>
                <w:rFonts w:ascii="Arial" w:cs="Arial" w:eastAsia="Arial" w:hAnsi="Arial"/>
                <w:sz w:val="13"/>
                <w:szCs w:val="13"/>
                <w:color w:val="auto"/>
              </w:rPr>
              <w:t>11.50%</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3,082,500</w:t>
            </w: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Autoparts Holdings Limited</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01/29/2018</w:t>
            </w:r>
          </w:p>
        </w:tc>
        <w:tc>
          <w:tcPr>
            <w:tcW w:w="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Automotive</w:t>
            </w:r>
          </w:p>
        </w:tc>
        <w:tc>
          <w:tcPr>
            <w:tcW w:w="92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10.50%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L+900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995,180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900,000</w:t>
            </w: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10/02/2019</w:t>
            </w:r>
          </w:p>
        </w:tc>
        <w:tc>
          <w:tcPr>
            <w:tcW w:w="80" w:type="dxa"/>
            <w:vAlign w:val="bottom"/>
          </w:tcPr>
          <w:p>
            <w:pPr>
              <w:spacing w:after="0"/>
              <w:rPr>
                <w:sz w:val="12"/>
                <w:szCs w:val="12"/>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20" w:type="dxa"/>
            <w:vAlign w:val="bottom"/>
            <w:gridSpan w:val="2"/>
          </w:tcPr>
          <w:p>
            <w:pPr>
              <w:jc w:val="right"/>
              <w:ind w:right="133"/>
              <w:spacing w:after="0"/>
              <w:rPr>
                <w:sz w:val="20"/>
                <w:szCs w:val="20"/>
                <w:color w:val="auto"/>
              </w:rPr>
            </w:pPr>
            <w:r>
              <w:rPr>
                <w:rFonts w:ascii="Arial" w:cs="Arial" w:eastAsia="Arial" w:hAnsi="Arial"/>
                <w:sz w:val="13"/>
                <w:szCs w:val="13"/>
                <w:color w:val="auto"/>
              </w:rPr>
              <w:t>10.00%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L+875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1,700,000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1,666,000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1,691,500</w:t>
            </w: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11/06/2018</w:t>
            </w:r>
          </w:p>
        </w:tc>
        <w:tc>
          <w:tcPr>
            <w:tcW w:w="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Media: Diversified and Production</w:t>
            </w:r>
          </w:p>
        </w:tc>
        <w:tc>
          <w:tcPr>
            <w:tcW w:w="92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10.25%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L+875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1,500,000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1,486,780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1,475,250</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09/01/2018</w:t>
            </w:r>
          </w:p>
        </w:tc>
        <w:tc>
          <w:tcPr>
            <w:tcW w:w="80" w:type="dxa"/>
            <w:vAlign w:val="bottom"/>
          </w:tcPr>
          <w:p>
            <w:pPr>
              <w:spacing w:after="0"/>
              <w:rPr>
                <w:sz w:val="12"/>
                <w:szCs w:val="12"/>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20" w:type="dxa"/>
            <w:vAlign w:val="bottom"/>
            <w:gridSpan w:val="2"/>
          </w:tcPr>
          <w:p>
            <w:pPr>
              <w:jc w:val="right"/>
              <w:ind w:right="133"/>
              <w:spacing w:after="0"/>
              <w:rPr>
                <w:sz w:val="20"/>
                <w:szCs w:val="20"/>
                <w:color w:val="auto"/>
              </w:rPr>
            </w:pPr>
            <w:r>
              <w:rPr>
                <w:rFonts w:ascii="Arial" w:cs="Arial" w:eastAsia="Arial" w:hAnsi="Arial"/>
                <w:sz w:val="13"/>
                <w:szCs w:val="13"/>
                <w:color w:val="auto"/>
              </w:rPr>
              <w:t>12.13%</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1,969,103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2,320,000</w:t>
            </w: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Sensus USA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05/09/2018</w:t>
            </w:r>
          </w:p>
        </w:tc>
        <w:tc>
          <w:tcPr>
            <w:tcW w:w="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Utilities: Water</w:t>
            </w:r>
          </w:p>
        </w:tc>
        <w:tc>
          <w:tcPr>
            <w:tcW w:w="92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8.50%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L+725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991,580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996,250</w:t>
            </w:r>
          </w:p>
        </w:tc>
        <w:tc>
          <w:tcPr>
            <w:tcW w:w="0" w:type="dxa"/>
            <w:vAlign w:val="bottom"/>
          </w:tcPr>
          <w:p>
            <w:pPr>
              <w:spacing w:after="0"/>
              <w:rPr>
                <w:sz w:val="1"/>
                <w:szCs w:val="1"/>
                <w:color w:val="auto"/>
              </w:rPr>
            </w:pPr>
          </w:p>
        </w:tc>
      </w:tr>
      <w:tr>
        <w:trPr>
          <w:trHeight w:val="155"/>
        </w:trPr>
        <w:tc>
          <w:tcPr>
            <w:tcW w:w="39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05/15/2019</w:t>
            </w:r>
          </w:p>
        </w:tc>
        <w:tc>
          <w:tcPr>
            <w:tcW w:w="80" w:type="dxa"/>
            <w:vAlign w:val="bottom"/>
          </w:tcPr>
          <w:p>
            <w:pPr>
              <w:spacing w:after="0"/>
              <w:rPr>
                <w:sz w:val="13"/>
                <w:szCs w:val="13"/>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20" w:type="dxa"/>
            <w:vAlign w:val="bottom"/>
            <w:gridSpan w:val="2"/>
          </w:tcPr>
          <w:p>
            <w:pPr>
              <w:jc w:val="right"/>
              <w:ind w:right="133"/>
              <w:spacing w:after="0"/>
              <w:rPr>
                <w:sz w:val="20"/>
                <w:szCs w:val="20"/>
                <w:color w:val="auto"/>
              </w:rPr>
            </w:pPr>
            <w:r>
              <w:rPr>
                <w:rFonts w:ascii="Arial" w:cs="Arial" w:eastAsia="Arial" w:hAnsi="Arial"/>
                <w:sz w:val="13"/>
                <w:szCs w:val="13"/>
                <w:color w:val="auto"/>
              </w:rPr>
              <w:t>9.13%</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1,500,000</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11,608,643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12,025,500</w:t>
            </w:r>
          </w:p>
        </w:tc>
        <w:tc>
          <w:tcPr>
            <w:tcW w:w="0" w:type="dxa"/>
            <w:vAlign w:val="bottom"/>
          </w:tcPr>
          <w:p>
            <w:pPr>
              <w:spacing w:after="0"/>
              <w:rPr>
                <w:sz w:val="1"/>
                <w:szCs w:val="1"/>
                <w:color w:val="auto"/>
              </w:rPr>
            </w:pPr>
          </w:p>
        </w:tc>
      </w:tr>
      <w:tr>
        <w:trPr>
          <w:trHeight w:val="155"/>
        </w:trPr>
        <w:tc>
          <w:tcPr>
            <w:tcW w:w="394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Subordinated Debt/Corporate Notes—8.7% </w:t>
            </w:r>
            <w:r>
              <w:rPr>
                <w:rFonts w:ascii="Arial" w:cs="Arial" w:eastAsia="Arial" w:hAnsi="Arial"/>
                <w:sz w:val="18"/>
                <w:szCs w:val="18"/>
                <w:b w:val="1"/>
                <w:bCs w:val="1"/>
                <w:color w:val="auto"/>
                <w:vertAlign w:val="superscript"/>
              </w:rPr>
              <w:t>(8)</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11/15/2015</w:t>
            </w:r>
          </w:p>
        </w:tc>
        <w:tc>
          <w:tcPr>
            <w:tcW w:w="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4"/>
              </w:rPr>
              <w:t>Consumer Goods: Non-Durable</w:t>
            </w:r>
          </w:p>
        </w:tc>
        <w:tc>
          <w:tcPr>
            <w:tcW w:w="92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11.63%</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4,100,000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3,782,015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2,788,000</w:t>
            </w: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rPr>
                <w:sz w:val="20"/>
                <w:szCs w:val="20"/>
                <w:color w:val="auto"/>
              </w:rPr>
            </w:pPr>
            <w:r>
              <w:rPr>
                <w:rFonts w:ascii="Arial" w:cs="Arial" w:eastAsia="Arial" w:hAnsi="Arial"/>
                <w:sz w:val="13"/>
                <w:szCs w:val="13"/>
                <w:color w:val="auto"/>
              </w:rPr>
              <w:t>Document Technologies, Inc.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12/01/2017</w:t>
            </w:r>
          </w:p>
        </w:tc>
        <w:tc>
          <w:tcPr>
            <w:tcW w:w="80" w:type="dxa"/>
            <w:vAlign w:val="bottom"/>
          </w:tcPr>
          <w:p>
            <w:pPr>
              <w:spacing w:after="0"/>
              <w:rPr>
                <w:sz w:val="12"/>
                <w:szCs w:val="12"/>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920" w:type="dxa"/>
            <w:vAlign w:val="bottom"/>
            <w:gridSpan w:val="2"/>
          </w:tcPr>
          <w:p>
            <w:pPr>
              <w:jc w:val="right"/>
              <w:ind w:right="133"/>
              <w:spacing w:after="0"/>
              <w:rPr>
                <w:sz w:val="20"/>
                <w:szCs w:val="20"/>
                <w:color w:val="auto"/>
              </w:rPr>
            </w:pPr>
            <w:r>
              <w:rPr>
                <w:rFonts w:ascii="Arial" w:cs="Arial" w:eastAsia="Arial" w:hAnsi="Arial"/>
                <w:sz w:val="13"/>
                <w:szCs w:val="13"/>
                <w:color w:val="auto"/>
              </w:rPr>
              <w:t>13.00%</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980,074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38"/>
        </w:trPr>
        <w:tc>
          <w:tcPr>
            <w:tcW w:w="39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06/03/2019</w:t>
            </w:r>
          </w:p>
        </w:tc>
        <w:tc>
          <w:tcPr>
            <w:tcW w:w="8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Beverage, Food and Tobacco</w:t>
            </w:r>
          </w:p>
        </w:tc>
        <w:tc>
          <w:tcPr>
            <w:tcW w:w="920" w:type="dxa"/>
            <w:vAlign w:val="bottom"/>
            <w:gridSpan w:val="2"/>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14.25%</w:t>
            </w: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4,508,719</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4,432,092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4,508,719</w:t>
            </w:r>
          </w:p>
        </w:tc>
        <w:tc>
          <w:tcPr>
            <w:tcW w:w="0" w:type="dxa"/>
            <w:vAlign w:val="bottom"/>
          </w:tcPr>
          <w:p>
            <w:pPr>
              <w:spacing w:after="0"/>
              <w:rPr>
                <w:sz w:val="1"/>
                <w:szCs w:val="1"/>
                <w:color w:val="auto"/>
              </w:rPr>
            </w:pPr>
          </w:p>
        </w:tc>
      </w:tr>
      <w:tr>
        <w:trPr>
          <w:trHeight w:val="173"/>
        </w:trPr>
        <w:tc>
          <w:tcPr>
            <w:tcW w:w="3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(PIK 2.25 %)</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9,194,181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8,296,719</w:t>
            </w: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Interests—0.2% </w:t>
            </w:r>
            <w:r>
              <w:rPr>
                <w:rFonts w:ascii="Arial" w:cs="Arial" w:eastAsia="Arial" w:hAnsi="Arial"/>
                <w:sz w:val="17"/>
                <w:szCs w:val="17"/>
                <w:b w:val="1"/>
                <w:bCs w:val="1"/>
                <w:color w:val="auto"/>
                <w:vertAlign w:val="superscript"/>
              </w:rPr>
              <w:t>(7), (8)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gridSpan w:val="2"/>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72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228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2"/>
              </w:rPr>
              <w:t>Beverage, Food and Tobacco</w:t>
            </w:r>
          </w:p>
        </w:tc>
        <w:tc>
          <w:tcPr>
            <w:tcW w:w="920" w:type="dxa"/>
            <w:vAlign w:val="bottom"/>
            <w:gridSpan w:val="2"/>
          </w:tcPr>
          <w:p>
            <w:pPr>
              <w:jc w:val="right"/>
              <w:ind w:right="133"/>
              <w:spacing w:after="0" w:line="138" w:lineRule="exact"/>
              <w:rPr>
                <w:sz w:val="20"/>
                <w:szCs w:val="20"/>
                <w:color w:val="auto"/>
              </w:rPr>
            </w:pPr>
            <w:r>
              <w:rPr>
                <w:rFonts w:ascii="Arial" w:cs="Arial" w:eastAsia="Arial" w:hAnsi="Arial"/>
                <w:sz w:val="13"/>
                <w:szCs w:val="13"/>
                <w:color w:val="auto"/>
              </w:rPr>
              <w:t>12.50%</w:t>
            </w:r>
          </w:p>
        </w:tc>
        <w:tc>
          <w:tcPr>
            <w:tcW w:w="82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176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110,697</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200,571</w:t>
            </w:r>
          </w:p>
        </w:tc>
        <w:tc>
          <w:tcPr>
            <w:tcW w:w="0" w:type="dxa"/>
            <w:vAlign w:val="bottom"/>
          </w:tcPr>
          <w:p>
            <w:pPr>
              <w:spacing w:after="0"/>
              <w:rPr>
                <w:sz w:val="1"/>
                <w:szCs w:val="1"/>
                <w:color w:val="auto"/>
              </w:rPr>
            </w:pPr>
          </w:p>
        </w:tc>
      </w:tr>
      <w:tr>
        <w:trPr>
          <w:trHeight w:val="166"/>
        </w:trPr>
        <w:tc>
          <w:tcPr>
            <w:tcW w:w="3940" w:type="dxa"/>
            <w:vAlign w:val="bottom"/>
            <w:gridSpan w:val="2"/>
          </w:tcPr>
          <w:p>
            <w:pPr>
              <w:ind w:left="220"/>
              <w:spacing w:after="0"/>
              <w:rPr>
                <w:sz w:val="20"/>
                <w:szCs w:val="20"/>
                <w:color w:val="auto"/>
              </w:rPr>
            </w:pPr>
            <w:r>
              <w:rPr>
                <w:rFonts w:ascii="Arial" w:cs="Arial" w:eastAsia="Arial" w:hAnsi="Arial"/>
                <w:sz w:val="13"/>
                <w:szCs w:val="13"/>
                <w:color w:val="auto"/>
              </w:rPr>
              <w:t>(TrustHouse Services Group, Inc.)</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Interests—1.1% </w:t>
            </w:r>
            <w:r>
              <w:rPr>
                <w:rFonts w:ascii="Arial" w:cs="Arial" w:eastAsia="Arial" w:hAnsi="Arial"/>
                <w:sz w:val="17"/>
                <w:szCs w:val="17"/>
                <w:b w:val="1"/>
                <w:bCs w:val="1"/>
                <w:color w:val="auto"/>
                <w:vertAlign w:val="superscript"/>
              </w:rPr>
              <w:t>(7), (8)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gridSpan w:val="2"/>
          </w:tcPr>
          <w:p>
            <w:pPr>
              <w:spacing w:after="0" w:line="138" w:lineRule="exact"/>
              <w:rPr>
                <w:sz w:val="20"/>
                <w:szCs w:val="20"/>
                <w:color w:val="auto"/>
              </w:rPr>
            </w:pPr>
            <w:r>
              <w:rPr>
                <w:rFonts w:ascii="Arial" w:cs="Arial" w:eastAsia="Arial" w:hAnsi="Arial"/>
                <w:sz w:val="13"/>
                <w:szCs w:val="13"/>
                <w:color w:val="auto"/>
              </w:rPr>
              <w:t>Titan Private Holdings I, LLC</w:t>
            </w:r>
          </w:p>
        </w:tc>
        <w:tc>
          <w:tcPr>
            <w:tcW w:w="72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228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3"/>
              </w:rPr>
              <w:t>Telecommunications</w:t>
            </w:r>
          </w:p>
        </w:tc>
        <w:tc>
          <w:tcPr>
            <w:tcW w:w="920" w:type="dxa"/>
            <w:vAlign w:val="bottom"/>
            <w:gridSpan w:val="2"/>
          </w:tcPr>
          <w:p>
            <w:pPr>
              <w:jc w:val="right"/>
              <w:ind w:right="313"/>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401,797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401,450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1,091,018</w:t>
            </w:r>
          </w:p>
        </w:tc>
        <w:tc>
          <w:tcPr>
            <w:tcW w:w="0" w:type="dxa"/>
            <w:vAlign w:val="bottom"/>
          </w:tcPr>
          <w:p>
            <w:pPr>
              <w:spacing w:after="0"/>
              <w:rPr>
                <w:sz w:val="1"/>
                <w:szCs w:val="1"/>
                <w:color w:val="auto"/>
              </w:rPr>
            </w:pPr>
          </w:p>
        </w:tc>
      </w:tr>
      <w:tr>
        <w:trPr>
          <w:trHeight w:val="159"/>
        </w:trPr>
        <w:tc>
          <w:tcPr>
            <w:tcW w:w="3940" w:type="dxa"/>
            <w:vAlign w:val="bottom"/>
            <w:gridSpan w:val="2"/>
          </w:tcPr>
          <w:p>
            <w:pPr>
              <w:ind w:left="220"/>
              <w:spacing w:after="0"/>
              <w:rPr>
                <w:sz w:val="20"/>
                <w:szCs w:val="20"/>
                <w:color w:val="auto"/>
              </w:rPr>
            </w:pPr>
            <w:r>
              <w:rPr>
                <w:rFonts w:ascii="Arial" w:cs="Arial" w:eastAsia="Arial" w:hAnsi="Arial"/>
                <w:sz w:val="13"/>
                <w:szCs w:val="13"/>
                <w:color w:val="auto"/>
              </w:rPr>
              <w:t>(Tekelec Global, Inc.)</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72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22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Beverage, Food and Tobacco</w:t>
            </w:r>
          </w:p>
        </w:tc>
        <w:tc>
          <w:tcPr>
            <w:tcW w:w="920" w:type="dxa"/>
            <w:vAlign w:val="bottom"/>
            <w:gridSpan w:val="2"/>
            <w:shd w:val="clear" w:color="auto" w:fill="CCEEFF"/>
          </w:tcPr>
          <w:p>
            <w:pPr>
              <w:jc w:val="right"/>
              <w:ind w:right="313"/>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10,845</w:t>
            </w:r>
          </w:p>
        </w:tc>
        <w:tc>
          <w:tcPr>
            <w:tcW w:w="0" w:type="dxa"/>
            <w:vAlign w:val="bottom"/>
          </w:tcPr>
          <w:p>
            <w:pPr>
              <w:spacing w:after="0"/>
              <w:rPr>
                <w:sz w:val="1"/>
                <w:szCs w:val="1"/>
                <w:color w:val="auto"/>
              </w:rPr>
            </w:pPr>
          </w:p>
        </w:tc>
      </w:tr>
      <w:tr>
        <w:trPr>
          <w:trHeight w:val="159"/>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(TrustHouse Services Group, Inc.)</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406,450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1,101,863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Total Investments in Non-Controlled, Non-Affiliated Portfolio</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1"/>
              </w:rPr>
              <w:t>171,578,009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4"/>
              </w:rPr>
              <w:t>171,834,400</w:t>
            </w:r>
          </w:p>
        </w:tc>
        <w:tc>
          <w:tcPr>
            <w:tcW w:w="0" w:type="dxa"/>
            <w:vAlign w:val="bottom"/>
          </w:tcPr>
          <w:p>
            <w:pPr>
              <w:spacing w:after="0"/>
              <w:rPr>
                <w:sz w:val="1"/>
                <w:szCs w:val="1"/>
                <w:color w:val="auto"/>
              </w:rPr>
            </w:pPr>
          </w:p>
        </w:tc>
      </w:tr>
      <w:tr>
        <w:trPr>
          <w:trHeight w:val="161"/>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3"/>
                <w:szCs w:val="13"/>
                <w:b w:val="1"/>
                <w:bCs w:val="1"/>
                <w:color w:val="auto"/>
              </w:rPr>
              <w:t>Companies</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Cash Equivalents—4.0%</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3,845,803</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3,845,803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Equivalents—183.5%</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175,423,812</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175,680,203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Assets—(83.5)%</w:t>
            </w: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7"/>
              </w:rPr>
              <w:t>(79,936,326)</w:t>
            </w: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95,743,877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1" w:lineRule="exact"/>
        <w:rPr>
          <w:sz w:val="20"/>
          <w:szCs w:val="20"/>
          <w:color w:val="auto"/>
        </w:rPr>
      </w:pPr>
    </w:p>
    <w:p>
      <w:pPr>
        <w:ind w:left="340" w:right="20" w:hanging="332"/>
        <w:spacing w:after="0" w:line="24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540" w:hanging="332"/>
        <w:spacing w:after="0" w:line="25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58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0" w:firstLine="898"/>
        <w:spacing w:after="0" w:line="268"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2"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24" w:lineRule="exact"/>
        <w:rPr>
          <w:sz w:val="20"/>
          <w:szCs w:val="20"/>
          <w:color w:val="auto"/>
        </w:rPr>
      </w:pPr>
    </w:p>
    <w:p>
      <w:pPr>
        <w:ind w:right="80" w:firstLine="898"/>
        <w:spacing w:after="0" w:line="298" w:lineRule="auto"/>
        <w:rPr>
          <w:sz w:val="20"/>
          <w:szCs w:val="20"/>
          <w:color w:val="auto"/>
        </w:rPr>
      </w:pPr>
      <w:r>
        <w:rPr>
          <w:rFonts w:ascii="Arial" w:cs="Arial" w:eastAsia="Arial" w:hAnsi="Arial"/>
          <w:sz w:val="16"/>
          <w:szCs w:val="16"/>
          <w:color w:val="auto"/>
        </w:rPr>
        <w:t>In April 2011, we closed our initial public offering and our common stock trades on the NASDAQ Global Select Market under the symbol “PFLT.” In connection with our April 2011 initial public offering, we issued 6,850,000 shares of common stock, for gross proceeds of $102.8 million, or $97.7 million after deducting the sales load and underwriting expenses. The underwriters agreed to reimburse, and have paid us, $0.4 million of the estimated $1.0 million of offering expenses. In March 2011, we sold 667 shares of common stock for $10,000 ($15.00 per share) to the Investment Adviser. See Note 3.</w:t>
      </w:r>
    </w:p>
    <w:p>
      <w:pPr>
        <w:spacing w:after="0" w:line="112" w:lineRule="exact"/>
        <w:rPr>
          <w:sz w:val="20"/>
          <w:szCs w:val="20"/>
          <w:color w:val="auto"/>
        </w:rPr>
      </w:pPr>
    </w:p>
    <w:p>
      <w:pPr>
        <w:jc w:val="both"/>
        <w:ind w:right="60" w:firstLine="898"/>
        <w:spacing w:after="0" w:line="259" w:lineRule="auto"/>
        <w:rPr>
          <w:sz w:val="20"/>
          <w:szCs w:val="20"/>
          <w:color w:val="auto"/>
        </w:rPr>
      </w:pPr>
      <w:r>
        <w:rPr>
          <w:rFonts w:ascii="Arial" w:cs="Arial" w:eastAsia="Arial" w:hAnsi="Arial"/>
          <w:sz w:val="18"/>
          <w:szCs w:val="18"/>
          <w:color w:val="auto"/>
        </w:rPr>
        <w:t>On March 26, 2013, we completed a follow-on public offering of 3,000,000 shares of common stock at a public offering price of $14.00 per share for gross proceeds of $42.0 million and net proceeds of $41.6 million after offering expenses. Our Investment Adviser paid the entire sales load of $1.3 million in connection with this offering. See Note 11.</w:t>
      </w:r>
    </w:p>
    <w:p>
      <w:pPr>
        <w:spacing w:after="0" w:line="140"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80" w:firstLine="898"/>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 owing with respect to such services are to be paid to us so long as the Investment Adviser remains the collateral manager. This arrangement does not increase our consolidated management fee. The five-year Credit Facility allows Funding I to borrow up to $125.0 million at LIBOR plus 200 basis points during the revolving period. The Credit Facility is secured by all of the assets held by Funding I. See Note 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20" w:lineRule="exact"/>
        <w:rPr>
          <w:sz w:val="20"/>
          <w:szCs w:val="20"/>
          <w:color w:val="auto"/>
        </w:rPr>
      </w:pPr>
    </w:p>
    <w:p>
      <w:pPr>
        <w:ind w:right="260" w:firstLine="898"/>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200" w:firstLine="898"/>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9" w:lineRule="exact"/>
        <w:rPr>
          <w:sz w:val="20"/>
          <w:szCs w:val="20"/>
          <w:color w:val="auto"/>
        </w:rPr>
      </w:pPr>
    </w:p>
    <w:p>
      <w:pPr>
        <w:ind w:right="100" w:firstLine="898"/>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1460" w:hanging="561"/>
        <w:spacing w:after="0" w:line="268"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1460" w:hanging="561"/>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60" w:right="140" w:hanging="561"/>
        <w:spacing w:after="0" w:line="298" w:lineRule="auto"/>
        <w:tabs>
          <w:tab w:leader="none" w:pos="1460" w:val="left"/>
        </w:tabs>
        <w:numPr>
          <w:ilvl w:val="1"/>
          <w:numId w:val="5"/>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60" w:right="40" w:hanging="561"/>
        <w:spacing w:after="0" w:line="259"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8" w:lineRule="exact"/>
        <w:rPr>
          <w:rFonts w:ascii="Arial" w:cs="Arial" w:eastAsia="Arial" w:hAnsi="Arial"/>
          <w:sz w:val="18"/>
          <w:szCs w:val="18"/>
          <w:color w:val="auto"/>
        </w:rPr>
      </w:pPr>
    </w:p>
    <w:p>
      <w:pPr>
        <w:ind w:left="1460" w:right="180" w:hanging="561"/>
        <w:spacing w:after="0" w:line="331" w:lineRule="auto"/>
        <w:tabs>
          <w:tab w:leader="none" w:pos="1460" w:val="left"/>
        </w:tabs>
        <w:numPr>
          <w:ilvl w:val="1"/>
          <w:numId w:val="5"/>
        </w:numPr>
        <w:rPr>
          <w:rFonts w:ascii="Arial" w:cs="Arial" w:eastAsia="Arial" w:hAnsi="Arial"/>
          <w:sz w:val="16"/>
          <w:szCs w:val="16"/>
          <w:color w:val="auto"/>
        </w:rPr>
      </w:pPr>
      <w:r>
        <w:rPr>
          <w:rFonts w:ascii="Arial" w:cs="Arial" w:eastAsia="Arial" w:hAnsi="Arial"/>
          <w:sz w:val="16"/>
          <w:szCs w:val="16"/>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7" w:lineRule="exact"/>
        <w:rPr>
          <w:rFonts w:ascii="Arial" w:cs="Arial" w:eastAsia="Arial" w:hAnsi="Arial"/>
          <w:sz w:val="16"/>
          <w:szCs w:val="16"/>
          <w:color w:val="auto"/>
        </w:rPr>
      </w:pPr>
    </w:p>
    <w:p>
      <w:pPr>
        <w:ind w:left="700" w:hanging="243"/>
        <w:spacing w:after="0"/>
        <w:tabs>
          <w:tab w:leader="none" w:pos="7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898"/>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04" w:lineRule="exact"/>
        <w:rPr>
          <w:sz w:val="20"/>
          <w:szCs w:val="20"/>
          <w:color w:val="auto"/>
        </w:rPr>
      </w:pPr>
    </w:p>
    <w:p>
      <w:pPr>
        <w:jc w:val="both"/>
        <w:ind w:right="240" w:firstLine="898"/>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accrue an excise tax of $0.1 million and less than $0.1 million for the six months ended March 31, 2013 and 2012, respectively.</w:t>
      </w:r>
    </w:p>
    <w:p>
      <w:pPr>
        <w:spacing w:after="0" w:line="120"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 for our federal tax year 2011 remains subject to examination by the Internal Revenue Service and the state department of revenue.</w:t>
      </w:r>
    </w:p>
    <w:p>
      <w:pPr>
        <w:spacing w:after="0" w:line="147"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ratified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60" w:firstLine="898"/>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As permitted under Regulation S-X and as explained by ASC 946-810-45, Financial Services – Investment Companies – 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 Asset Transfers and Servicing</w:t>
      </w:r>
    </w:p>
    <w:p>
      <w:pPr>
        <w:spacing w:after="0" w:line="90" w:lineRule="exact"/>
        <w:rPr>
          <w:sz w:val="20"/>
          <w:szCs w:val="20"/>
          <w:color w:val="auto"/>
        </w:rPr>
      </w:pPr>
    </w:p>
    <w:p>
      <w:pPr>
        <w:ind w:right="240" w:firstLine="898"/>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are not intended to be available to the creditors of PennantPark Floating Rate Capital Ltd. or any affiliate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The Investment Management Agreement with the Investment Adviser was re-approved by our board of directors, including a majority of our independent directors, in February 2013.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0"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 for any partial month or quarter are appropriately pro-rated. For the three and six months ended March 31, 2013, the Investment Adviser earned base management fee of $0.5 million and $0.9 million, respectively, from us. For the three and six months ended March 31, 2012, the Investment Adviser earned base management fee of $0.4 million and $0.7 million, respectively, from us.</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898"/>
        <w:spacing w:after="0" w:line="284"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and six months ended March 31, 2013, the Investment Adviser earned a performance based incentive fee on net investment income as calculated under the Investment Management Agreement of $0.3 million and $0.7 million, respectively. For the three and six months ended March 31, 2012, the Investment Adviser earned a performance based incentive fee on net investment income as calculated under the Investment Management Agreement, which resulted in an accrual of less than $0.1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0" w:firstLine="898"/>
        <w:spacing w:after="0" w:line="254"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For the three and six months ended March 31, 2013 and 2012, the Investment Adviser did not earn a performance based incentive fee on capital gains as calculated under the Investment Management Agreement.</w:t>
      </w:r>
    </w:p>
    <w:p>
      <w:pPr>
        <w:spacing w:after="0" w:line="144"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(losses)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 paid in all prior years. If such amount is negative, then there is no accrual for such year. There can be no assurance that such unrealized capital appreciation will be realized in the future. For the three and six months ended March 31, 2013, the Investment Adviser earned a performance based incentive fee on unrealized and realized capital gains as calculated under GAAP of approximately $0.3 million. For the three and six months ended March 31, 2012, the Investment Adviser earned a performance based incentive fee on unrealized and realized capital gains as calculated under GAAP, which resulted in an accrual of less than $0.1 million.</w:t>
      </w:r>
    </w:p>
    <w:p>
      <w:pPr>
        <w:spacing w:after="0" w:line="126" w:lineRule="exact"/>
        <w:rPr>
          <w:sz w:val="20"/>
          <w:szCs w:val="20"/>
          <w:color w:val="auto"/>
        </w:rPr>
      </w:pPr>
    </w:p>
    <w:p>
      <w:pPr>
        <w:ind w:right="20" w:firstLine="898"/>
        <w:spacing w:after="0" w:line="287"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the independent directors, in February 2013.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six months ended March 31, 2013, the Investment Adviser was reimbursed approximately $0.1 million and $0.2 million, respectively, from us, including expenses it incurred on behalf of the Administrator, for services described above. For the three and six months ended March 31, 2012, the Investment Adviser was reimbursed approximately $0.1 million in total, from us, including expenses it incurred on behalf of the Administrator, for services described above.</w:t>
      </w:r>
    </w:p>
    <w:p>
      <w:pPr>
        <w:spacing w:after="0" w:line="122" w:lineRule="exact"/>
        <w:rPr>
          <w:sz w:val="20"/>
          <w:szCs w:val="20"/>
          <w:color w:val="auto"/>
        </w:rPr>
      </w:pPr>
    </w:p>
    <w:p>
      <w:pPr>
        <w:ind w:right="60" w:firstLine="898"/>
        <w:spacing w:after="0" w:line="291"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purchased shares of our common stock in the secondary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jc w:val="both"/>
        <w:ind w:right="180" w:firstLine="898"/>
        <w:spacing w:after="0" w:line="298" w:lineRule="auto"/>
        <w:rPr>
          <w:sz w:val="20"/>
          <w:szCs w:val="20"/>
          <w:color w:val="auto"/>
        </w:rPr>
      </w:pPr>
      <w:r>
        <w:rPr>
          <w:rFonts w:ascii="Arial" w:cs="Arial" w:eastAsia="Arial" w:hAnsi="Arial"/>
          <w:sz w:val="16"/>
          <w:szCs w:val="16"/>
          <w:color w:val="auto"/>
        </w:rPr>
        <w:t>Purchases of long-term investments, including PIK, for the three and six months ended March 31, 2013 totaled $45.1 million and $84.1 million, respectively. For the same periods in the prior year, purchases of long-term investments, including PIK, totaled $32.9 million and $72.3 million, respectively. Sales and repayments of long-term investments for the three and six months ended March 31, 2013 totaled $43.9 million and $74.2 million, respectively. For the same periods in the prior year, sales and repayments of long-term investments totaled $19.3 million and $41.6 million, respectively.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460" w:right="264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220" w:type="dxa"/>
            <w:vAlign w:val="bottom"/>
          </w:tcPr>
          <w:p>
            <w:pPr>
              <w:spacing w:after="0"/>
              <w:rPr>
                <w:sz w:val="14"/>
                <w:szCs w:val="14"/>
                <w:color w:val="auto"/>
              </w:rPr>
            </w:pPr>
          </w:p>
        </w:tc>
        <w:tc>
          <w:tcPr>
            <w:tcW w:w="2340" w:type="dxa"/>
            <w:vAlign w:val="bottom"/>
            <w:gridSpan w:val="3"/>
          </w:tcPr>
          <w:p>
            <w:pPr>
              <w:jc w:val="right"/>
              <w:ind w:right="656"/>
              <w:spacing w:after="0"/>
              <w:rPr>
                <w:sz w:val="20"/>
                <w:szCs w:val="20"/>
                <w:color w:val="auto"/>
              </w:rPr>
            </w:pPr>
            <w:r>
              <w:rPr>
                <w:rFonts w:ascii="Arial" w:cs="Arial" w:eastAsia="Arial" w:hAnsi="Arial"/>
                <w:sz w:val="13"/>
                <w:szCs w:val="13"/>
                <w:b w:val="1"/>
                <w:bCs w:val="1"/>
                <w:color w:val="auto"/>
              </w:rPr>
              <w:t>March 31, 2013</w:t>
            </w:r>
          </w:p>
        </w:tc>
        <w:tc>
          <w:tcPr>
            <w:tcW w:w="380" w:type="dxa"/>
            <w:vAlign w:val="bottom"/>
          </w:tcPr>
          <w:p>
            <w:pPr>
              <w:spacing w:after="0"/>
              <w:rPr>
                <w:sz w:val="14"/>
                <w:szCs w:val="14"/>
                <w:color w:val="auto"/>
              </w:rPr>
            </w:pPr>
          </w:p>
        </w:tc>
        <w:tc>
          <w:tcPr>
            <w:tcW w:w="2440" w:type="dxa"/>
            <w:vAlign w:val="bottom"/>
            <w:gridSpan w:val="4"/>
          </w:tcPr>
          <w:p>
            <w:pPr>
              <w:ind w:left="600"/>
              <w:spacing w:after="0"/>
              <w:rPr>
                <w:sz w:val="20"/>
                <w:szCs w:val="20"/>
                <w:color w:val="auto"/>
              </w:rPr>
            </w:pPr>
            <w:r>
              <w:rPr>
                <w:rFonts w:ascii="Arial" w:cs="Arial" w:eastAsia="Arial" w:hAnsi="Arial"/>
                <w:sz w:val="13"/>
                <w:szCs w:val="13"/>
                <w:b w:val="1"/>
                <w:bCs w:val="1"/>
                <w:color w:val="auto"/>
              </w:rPr>
              <w:t>September 30, 2012</w:t>
            </w:r>
          </w:p>
        </w:tc>
        <w:tc>
          <w:tcPr>
            <w:tcW w:w="0" w:type="dxa"/>
            <w:vAlign w:val="bottom"/>
          </w:tcPr>
          <w:p>
            <w:pPr>
              <w:spacing w:after="0"/>
              <w:rPr>
                <w:sz w:val="1"/>
                <w:szCs w:val="1"/>
                <w:color w:val="auto"/>
              </w:rPr>
            </w:pPr>
          </w:p>
        </w:tc>
      </w:tr>
      <w:tr>
        <w:trPr>
          <w:trHeight w:val="149"/>
        </w:trPr>
        <w:tc>
          <w:tcPr>
            <w:tcW w:w="396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3"/>
                <w:szCs w:val="13"/>
                <w:b w:val="1"/>
                <w:bCs w:val="1"/>
                <w:color w:val="auto"/>
              </w:rPr>
              <w:t>Cost</w:t>
            </w:r>
          </w:p>
        </w:tc>
        <w:tc>
          <w:tcPr>
            <w:tcW w:w="4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2"/>
                <w:szCs w:val="12"/>
                <w:color w:val="auto"/>
              </w:rPr>
            </w:pPr>
          </w:p>
        </w:tc>
        <w:tc>
          <w:tcPr>
            <w:tcW w:w="98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4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$159,997,444</w:t>
            </w:r>
          </w:p>
        </w:tc>
        <w:tc>
          <w:tcPr>
            <w:tcW w:w="4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$159,682,263</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$150,258,038</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9,997,477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10,347,423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11,608,643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12,025,500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12,858,238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11,904,164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9,194,181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8,296,719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683,814</w:t>
            </w:r>
          </w:p>
        </w:tc>
        <w:tc>
          <w:tcPr>
            <w:tcW w:w="4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1,935,912</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517,147</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183,536,973</w:t>
            </w:r>
          </w:p>
        </w:tc>
        <w:tc>
          <w:tcPr>
            <w:tcW w:w="4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183,869,762</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171,578,009</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171,834,400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12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2,725,248</w:t>
            </w:r>
          </w:p>
        </w:tc>
        <w:tc>
          <w:tcPr>
            <w:tcW w:w="4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2,725,248</w:t>
            </w:r>
          </w:p>
        </w:tc>
        <w:tc>
          <w:tcPr>
            <w:tcW w:w="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186,262,221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186,595,010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175,423,812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175,680,203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898"/>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were as follows:</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Arial" w:cs="Arial" w:eastAsia="Arial" w:hAnsi="Arial"/>
                <w:sz w:val="13"/>
                <w:szCs w:val="13"/>
                <w:b w:val="1"/>
                <w:bCs w:val="1"/>
                <w:color w:val="auto"/>
                <w:w w:val="97"/>
              </w:rPr>
              <w:t>Industry Classification</w:t>
            </w:r>
          </w:p>
        </w:tc>
        <w:tc>
          <w:tcPr>
            <w:tcW w:w="4240" w:type="dxa"/>
            <w:vAlign w:val="bottom"/>
            <w:vMerge w:val="restart"/>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1217"/>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48"/>
        </w:trPr>
        <w:tc>
          <w:tcPr>
            <w:tcW w:w="1380" w:type="dxa"/>
            <w:vAlign w:val="bottom"/>
            <w:tcBorders>
              <w:bottom w:val="single" w:sz="8" w:color="auto"/>
            </w:tcBorders>
            <w:vMerge w:val="continue"/>
          </w:tcPr>
          <w:p>
            <w:pPr>
              <w:spacing w:after="0"/>
              <w:rPr>
                <w:sz w:val="12"/>
                <w:szCs w:val="12"/>
                <w:color w:val="auto"/>
              </w:rPr>
            </w:pPr>
          </w:p>
        </w:tc>
        <w:tc>
          <w:tcPr>
            <w:tcW w:w="4240" w:type="dxa"/>
            <w:vAlign w:val="bottom"/>
            <w:vMerge w:val="continue"/>
          </w:tcPr>
          <w:p>
            <w:pPr>
              <w:spacing w:after="0"/>
              <w:rPr>
                <w:sz w:val="12"/>
                <w:szCs w:val="12"/>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5"/>
              </w:rPr>
              <w:t>March 31, 2013</w:t>
            </w:r>
          </w:p>
        </w:tc>
        <w:tc>
          <w:tcPr>
            <w:tcW w:w="880" w:type="dxa"/>
            <w:vAlign w:val="bottom"/>
          </w:tcPr>
          <w:p>
            <w:pPr>
              <w:spacing w:after="0"/>
              <w:rPr>
                <w:sz w:val="12"/>
                <w:szCs w:val="12"/>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0"/>
              </w:rPr>
              <w:t>September 30, 2012</w:t>
            </w: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Hotel, Gaming and Leisure</w:t>
            </w:r>
          </w:p>
        </w:tc>
        <w:tc>
          <w:tcPr>
            <w:tcW w:w="900" w:type="dxa"/>
            <w:vAlign w:val="bottom"/>
            <w:tcBorders>
              <w:top w:val="single" w:sz="8" w:color="auto"/>
            </w:tcBorders>
            <w:shd w:val="clear" w:color="auto" w:fill="CCEEFF"/>
          </w:tcPr>
          <w:p>
            <w:pPr>
              <w:jc w:val="right"/>
              <w:ind w:right="93"/>
              <w:spacing w:after="0" w:line="203" w:lineRule="exact"/>
              <w:rPr>
                <w:sz w:val="20"/>
                <w:szCs w:val="20"/>
                <w:color w:val="auto"/>
              </w:rPr>
            </w:pPr>
            <w:r>
              <w:rPr>
                <w:rFonts w:ascii="Arial" w:cs="Arial" w:eastAsia="Arial" w:hAnsi="Arial"/>
                <w:sz w:val="18"/>
                <w:szCs w:val="18"/>
                <w:color w:val="auto"/>
              </w:rPr>
              <w:t>13%</w:t>
            </w:r>
          </w:p>
        </w:tc>
        <w:tc>
          <w:tcPr>
            <w:tcW w:w="8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77"/>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9</w:t>
            </w:r>
          </w:p>
        </w:tc>
        <w:tc>
          <w:tcPr>
            <w:tcW w:w="2000" w:type="dxa"/>
            <w:vAlign w:val="bottom"/>
            <w:gridSpan w:val="2"/>
          </w:tcPr>
          <w:p>
            <w:pPr>
              <w:jc w:val="right"/>
              <w:ind w:right="33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w:t>
            </w:r>
          </w:p>
        </w:tc>
        <w:tc>
          <w:tcPr>
            <w:tcW w:w="200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8</w:t>
            </w:r>
          </w:p>
        </w:tc>
        <w:tc>
          <w:tcPr>
            <w:tcW w:w="2000" w:type="dxa"/>
            <w:vAlign w:val="bottom"/>
            <w:gridSpan w:val="2"/>
          </w:tcPr>
          <w:p>
            <w:pPr>
              <w:jc w:val="right"/>
              <w:ind w:right="33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w:t>
            </w:r>
          </w:p>
        </w:tc>
        <w:tc>
          <w:tcPr>
            <w:tcW w:w="200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6</w:t>
            </w:r>
          </w:p>
        </w:tc>
        <w:tc>
          <w:tcPr>
            <w:tcW w:w="2000" w:type="dxa"/>
            <w:vAlign w:val="bottom"/>
            <w:gridSpan w:val="2"/>
          </w:tcPr>
          <w:p>
            <w:pPr>
              <w:jc w:val="right"/>
              <w:ind w:right="33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w:t>
            </w:r>
          </w:p>
        </w:tc>
        <w:tc>
          <w:tcPr>
            <w:tcW w:w="200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6</w:t>
            </w:r>
          </w:p>
        </w:tc>
        <w:tc>
          <w:tcPr>
            <w:tcW w:w="2000" w:type="dxa"/>
            <w:vAlign w:val="bottom"/>
            <w:gridSpan w:val="2"/>
          </w:tcPr>
          <w:p>
            <w:pPr>
              <w:jc w:val="right"/>
              <w:ind w:right="33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w:t>
            </w:r>
          </w:p>
        </w:tc>
        <w:tc>
          <w:tcPr>
            <w:tcW w:w="200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5</w:t>
            </w:r>
          </w:p>
        </w:tc>
        <w:tc>
          <w:tcPr>
            <w:tcW w:w="2000" w:type="dxa"/>
            <w:vAlign w:val="bottom"/>
            <w:gridSpan w:val="2"/>
          </w:tcPr>
          <w:p>
            <w:pPr>
              <w:jc w:val="right"/>
              <w:ind w:right="33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w:t>
            </w:r>
          </w:p>
        </w:tc>
        <w:tc>
          <w:tcPr>
            <w:tcW w:w="200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3</w:t>
            </w:r>
          </w:p>
        </w:tc>
        <w:tc>
          <w:tcPr>
            <w:tcW w:w="2000" w:type="dxa"/>
            <w:vAlign w:val="bottom"/>
            <w:gridSpan w:val="2"/>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w:t>
            </w:r>
          </w:p>
        </w:tc>
        <w:tc>
          <w:tcPr>
            <w:tcW w:w="200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3</w:t>
            </w:r>
          </w:p>
        </w:tc>
        <w:tc>
          <w:tcPr>
            <w:tcW w:w="2000" w:type="dxa"/>
            <w:vAlign w:val="bottom"/>
            <w:gridSpan w:val="2"/>
          </w:tcPr>
          <w:p>
            <w:pPr>
              <w:jc w:val="right"/>
              <w:ind w:right="33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w:t>
            </w:r>
          </w:p>
        </w:tc>
        <w:tc>
          <w:tcPr>
            <w:tcW w:w="200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2</w:t>
            </w:r>
          </w:p>
        </w:tc>
        <w:tc>
          <w:tcPr>
            <w:tcW w:w="2000" w:type="dxa"/>
            <w:vAlign w:val="bottom"/>
            <w:gridSpan w:val="2"/>
          </w:tcPr>
          <w:p>
            <w:pPr>
              <w:jc w:val="right"/>
              <w:ind w:right="33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w:t>
            </w:r>
          </w:p>
        </w:tc>
        <w:tc>
          <w:tcPr>
            <w:tcW w:w="200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Metals and Mining</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2</w:t>
            </w:r>
          </w:p>
        </w:tc>
        <w:tc>
          <w:tcPr>
            <w:tcW w:w="2000" w:type="dxa"/>
            <w:vAlign w:val="bottom"/>
            <w:gridSpan w:val="2"/>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Consumer</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w:t>
            </w: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1</w:t>
            </w:r>
          </w:p>
        </w:tc>
        <w:tc>
          <w:tcPr>
            <w:tcW w:w="2000" w:type="dxa"/>
            <w:vAlign w:val="bottom"/>
            <w:gridSpan w:val="2"/>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w:t>
            </w:r>
          </w:p>
        </w:tc>
        <w:tc>
          <w:tcPr>
            <w:tcW w:w="200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1</w:t>
            </w:r>
          </w:p>
        </w:tc>
        <w:tc>
          <w:tcPr>
            <w:tcW w:w="2000" w:type="dxa"/>
            <w:vAlign w:val="bottom"/>
            <w:gridSpan w:val="2"/>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9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2</w:t>
            </w:r>
          </w:p>
        </w:tc>
        <w:tc>
          <w:tcPr>
            <w:tcW w:w="8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jc w:val="right"/>
              <w:ind w:right="197"/>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898"/>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1660" w:right="152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32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24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20" w:firstLine="898"/>
        <w:spacing w:after="0" w:line="294"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2013, our ability to observe valuation inputs resulted in reclassification of assets from Level 3 to 2 and we had no other transfers between levels. This compares to the six months ended March 31, 2012, which resulted in no reclassification of assets from Levels 1, 2 or 3.</w:t>
      </w:r>
    </w:p>
    <w:p>
      <w:pPr>
        <w:spacing w:after="0" w:line="115"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240" w:firstLine="898"/>
        <w:spacing w:after="0" w:line="256" w:lineRule="auto"/>
        <w:rPr>
          <w:sz w:val="20"/>
          <w:szCs w:val="20"/>
          <w:color w:val="auto"/>
        </w:rPr>
      </w:pPr>
      <w:r>
        <w:rPr>
          <w:rFonts w:ascii="Arial" w:cs="Arial" w:eastAsia="Arial" w:hAnsi="Arial"/>
          <w:sz w:val="18"/>
          <w:szCs w:val="18"/>
          <w:color w:val="auto"/>
        </w:rPr>
        <w:t>Under Accounting Standards Update No. 2011-04, “Fair Value Measurement: Amendments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The remainder of our portfolio, including our long-term Credit Facility, is classified and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w w:val="94"/>
              </w:rPr>
              <w:t>Asset Category</w:t>
            </w:r>
          </w:p>
        </w:tc>
        <w:tc>
          <w:tcPr>
            <w:tcW w:w="288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Fair Value as of</w:t>
            </w: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6"/>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w w:val="92"/>
              </w:rPr>
              <w:t>March 31, 2013</w:t>
            </w:r>
          </w:p>
        </w:tc>
        <w:tc>
          <w:tcPr>
            <w:tcW w:w="20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2"/>
              </w:rPr>
              <w:t>Valuation Technique</w:t>
            </w:r>
          </w:p>
        </w:tc>
        <w:tc>
          <w:tcPr>
            <w:tcW w:w="210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5"/>
              </w:rPr>
              <w:t>Unobservable Input</w:t>
            </w:r>
          </w:p>
        </w:tc>
        <w:tc>
          <w:tcPr>
            <w:tcW w:w="1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81"/>
        </w:trPr>
        <w:tc>
          <w:tcPr>
            <w:tcW w:w="38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3"/>
              </w:rPr>
              <w:t>First lien, second lien, subordinated debt/corporate</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157,963,729</w:t>
            </w:r>
          </w:p>
        </w:tc>
        <w:tc>
          <w:tcPr>
            <w:tcW w:w="20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Market Comparable</w:t>
            </w:r>
          </w:p>
        </w:tc>
        <w:tc>
          <w:tcPr>
            <w:tcW w:w="1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Broker/Dealer bid quotes</w:t>
            </w:r>
          </w:p>
        </w:tc>
        <w:tc>
          <w:tcPr>
            <w:tcW w:w="1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4"/>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notes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00" w:type="dxa"/>
            <w:vAlign w:val="bottom"/>
            <w:gridSpan w:val="2"/>
          </w:tcPr>
          <w:p>
            <w:pPr>
              <w:spacing w:after="0"/>
              <w:rPr>
                <w:sz w:val="20"/>
                <w:szCs w:val="20"/>
                <w:color w:val="auto"/>
              </w:rPr>
            </w:pPr>
            <w:r>
              <w:rPr>
                <w:rFonts w:ascii="Arial" w:cs="Arial" w:eastAsia="Arial" w:hAnsi="Arial"/>
                <w:sz w:val="18"/>
                <w:szCs w:val="18"/>
                <w:color w:val="auto"/>
                <w:w w:val="93"/>
              </w:rPr>
              <w:t>First lien, second lien, subordinated debt/corporate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19,742,871</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Market Comparable</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Market Yield</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7.3% - 14.9%(12.0%)</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notes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1,935,912</w:t>
            </w:r>
          </w:p>
        </w:tc>
        <w:tc>
          <w:tcPr>
            <w:tcW w:w="2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Enterprise Market Value</w:t>
            </w: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EBITDA multiple</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6.8x – 9.5x (8.2x)</w:t>
            </w:r>
          </w:p>
        </w:tc>
        <w:tc>
          <w:tcPr>
            <w:tcW w:w="0" w:type="dxa"/>
            <w:vAlign w:val="bottom"/>
          </w:tcPr>
          <w:p>
            <w:pPr>
              <w:spacing w:after="0"/>
              <w:rPr>
                <w:sz w:val="1"/>
                <w:szCs w:val="1"/>
                <w:color w:val="auto"/>
              </w:rPr>
            </w:pPr>
          </w:p>
        </w:tc>
      </w:tr>
      <w:tr>
        <w:trPr>
          <w:trHeight w:val="222"/>
        </w:trPr>
        <w:tc>
          <w:tcPr>
            <w:tcW w:w="3800" w:type="dxa"/>
            <w:vAlign w:val="bottom"/>
            <w:gridSpan w:val="2"/>
          </w:tcPr>
          <w:p>
            <w:pPr>
              <w:ind w:left="440"/>
              <w:spacing w:after="0"/>
              <w:rPr>
                <w:sz w:val="20"/>
                <w:szCs w:val="20"/>
                <w:color w:val="auto"/>
              </w:rPr>
            </w:pPr>
            <w:r>
              <w:rPr>
                <w:rFonts w:ascii="Arial" w:cs="Arial" w:eastAsia="Arial" w:hAnsi="Arial"/>
                <w:sz w:val="18"/>
                <w:szCs w:val="18"/>
                <w:color w:val="auto"/>
              </w:rPr>
              <w:t>Total Level 3 investments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179,642,512</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34,200,000</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Market Comparable</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Market Yield</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cash equivalents, investments and our long-term Credit Facility were categorized as follows in the fair value hierarchy for ASC 820 purposes: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360" w:type="dxa"/>
            <w:vAlign w:val="bottom"/>
            <w:vMerge w:val="restart"/>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3"/>
                <w:szCs w:val="13"/>
                <w:b w:val="1"/>
                <w:bCs w:val="1"/>
                <w:color w:val="auto"/>
              </w:rPr>
              <w:t>Fair Value Measurements at March 31, 2013</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114"/>
              <w:spacing w:after="0" w:line="129" w:lineRule="exact"/>
              <w:rPr>
                <w:sz w:val="20"/>
                <w:szCs w:val="20"/>
                <w:color w:val="auto"/>
              </w:rPr>
            </w:pPr>
            <w:r>
              <w:rPr>
                <w:rFonts w:ascii="Arial" w:cs="Arial" w:eastAsia="Arial" w:hAnsi="Arial"/>
                <w:sz w:val="13"/>
                <w:szCs w:val="13"/>
                <w:b w:val="1"/>
                <w:bCs w:val="1"/>
                <w:color w:val="auto"/>
              </w:rPr>
              <w:t>Fair Value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15"/>
              <w:spacing w:after="0" w:line="129" w:lineRule="exact"/>
              <w:rPr>
                <w:sz w:val="20"/>
                <w:szCs w:val="20"/>
                <w:color w:val="auto"/>
              </w:rPr>
            </w:pPr>
            <w:r>
              <w:rPr>
                <w:rFonts w:ascii="Arial" w:cs="Arial" w:eastAsia="Arial" w:hAnsi="Arial"/>
                <w:sz w:val="13"/>
                <w:szCs w:val="13"/>
                <w:b w:val="1"/>
                <w:bCs w:val="1"/>
                <w:color w:val="auto"/>
              </w:rPr>
              <w:t>Level 1</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620"/>
              <w:spacing w:after="0" w:line="129" w:lineRule="exact"/>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9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159,682,263</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159,682,263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10,347,423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1,623,750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8,723,673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11,904,164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2,603,500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1,935,912</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1,935,912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9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183,869,762</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4,227,250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179,642,512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2,725,248</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2,725,248</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9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186,595,010</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2,725,248</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4,227,250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179,642,512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gridSpan w:val="2"/>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34,200,000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360" w:type="dxa"/>
            <w:vAlign w:val="bottom"/>
            <w:vMerge w:val="restart"/>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3"/>
                <w:szCs w:val="13"/>
                <w:b w:val="1"/>
                <w:bCs w:val="1"/>
                <w:color w:val="auto"/>
              </w:rPr>
              <w:t>Fair Value Measurements at September 30, 2012</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114"/>
              <w:spacing w:after="0" w:line="129" w:lineRule="exact"/>
              <w:rPr>
                <w:sz w:val="20"/>
                <w:szCs w:val="20"/>
                <w:color w:val="auto"/>
              </w:rPr>
            </w:pPr>
            <w:r>
              <w:rPr>
                <w:rFonts w:ascii="Arial" w:cs="Arial" w:eastAsia="Arial" w:hAnsi="Arial"/>
                <w:sz w:val="13"/>
                <w:szCs w:val="13"/>
                <w:b w:val="1"/>
                <w:bCs w:val="1"/>
                <w:color w:val="auto"/>
              </w:rPr>
              <w:t>Fair Value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15"/>
              <w:spacing w:after="0" w:line="129" w:lineRule="exact"/>
              <w:rPr>
                <w:sz w:val="20"/>
                <w:szCs w:val="20"/>
                <w:color w:val="auto"/>
              </w:rPr>
            </w:pPr>
            <w:r>
              <w:rPr>
                <w:rFonts w:ascii="Arial" w:cs="Arial" w:eastAsia="Arial" w:hAnsi="Arial"/>
                <w:sz w:val="13"/>
                <w:szCs w:val="13"/>
                <w:b w:val="1"/>
                <w:bCs w:val="1"/>
                <w:color w:val="auto"/>
              </w:rPr>
              <w:t>Level 1</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620"/>
              <w:spacing w:after="0" w:line="129" w:lineRule="exact"/>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9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8,296,719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1,302,434</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9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171,834,400</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3,845,803</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3,845,803</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9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175,680,203</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3,845,803</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gridSpan w:val="2"/>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594"/>
              <w:spacing w:after="0"/>
              <w:rPr>
                <w:sz w:val="20"/>
                <w:szCs w:val="20"/>
                <w:color w:val="auto"/>
              </w:rPr>
            </w:pPr>
            <w:r>
              <w:rPr>
                <w:rFonts w:ascii="Arial" w:cs="Arial" w:eastAsia="Arial" w:hAnsi="Arial"/>
                <w:sz w:val="18"/>
                <w:szCs w:val="18"/>
                <w:color w:val="auto"/>
                <w:w w:val="99"/>
              </w:rPr>
              <w:t>17</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20" w:firstLine="898"/>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w w:val="95"/>
              </w:rPr>
              <w:t>Six Months Ended March 31, 2013</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4"/>
          </w:tcPr>
          <w:p>
            <w:pPr>
              <w:jc w:val="center"/>
              <w:ind w:right="80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53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center"/>
              <w:ind w:right="520"/>
              <w:spacing w:after="0"/>
              <w:rPr>
                <w:sz w:val="20"/>
                <w:szCs w:val="20"/>
                <w:color w:val="auto"/>
              </w:rPr>
            </w:pPr>
            <w:r>
              <w:rPr>
                <w:rFonts w:ascii="Arial" w:cs="Arial" w:eastAsia="Arial" w:hAnsi="Arial"/>
                <w:sz w:val="13"/>
                <w:szCs w:val="13"/>
                <w:b w:val="1"/>
                <w:bCs w:val="1"/>
                <w:color w:val="auto"/>
                <w:w w:val="93"/>
              </w:rPr>
              <w:t>subordinated debt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5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6"/>
          </w:tcPr>
          <w:p>
            <w:pPr>
              <w:jc w:val="center"/>
              <w:ind w:right="660"/>
              <w:spacing w:after="0" w:line="148" w:lineRule="exact"/>
              <w:rPr>
                <w:sz w:val="20"/>
                <w:szCs w:val="20"/>
                <w:color w:val="auto"/>
              </w:rPr>
            </w:pPr>
            <w:r>
              <w:rPr>
                <w:rFonts w:ascii="Arial" w:cs="Arial" w:eastAsia="Arial" w:hAnsi="Arial"/>
                <w:sz w:val="13"/>
                <w:szCs w:val="13"/>
                <w:b w:val="1"/>
                <w:bCs w:val="1"/>
                <w:color w:val="auto"/>
                <w:w w:val="95"/>
              </w:rPr>
              <w:t>First Lien</w:t>
            </w:r>
          </w:p>
        </w:tc>
        <w:tc>
          <w:tcPr>
            <w:tcW w:w="100" w:type="dxa"/>
            <w:vAlign w:val="bottom"/>
          </w:tcPr>
          <w:p>
            <w:pPr>
              <w:spacing w:after="0"/>
              <w:rPr>
                <w:sz w:val="14"/>
                <w:szCs w:val="14"/>
                <w:color w:val="auto"/>
              </w:rPr>
            </w:pPr>
          </w:p>
        </w:tc>
        <w:tc>
          <w:tcPr>
            <w:tcW w:w="1860" w:type="dxa"/>
            <w:vAlign w:val="bottom"/>
            <w:gridSpan w:val="5"/>
          </w:tcPr>
          <w:p>
            <w:pPr>
              <w:ind w:left="20"/>
              <w:spacing w:after="0" w:line="148" w:lineRule="exact"/>
              <w:rPr>
                <w:sz w:val="20"/>
                <w:szCs w:val="20"/>
                <w:color w:val="auto"/>
              </w:rPr>
            </w:pPr>
            <w:r>
              <w:rPr>
                <w:rFonts w:ascii="Arial" w:cs="Arial" w:eastAsia="Arial" w:hAnsi="Arial"/>
                <w:sz w:val="13"/>
                <w:szCs w:val="13"/>
                <w:b w:val="1"/>
                <w:bCs w:val="1"/>
                <w:color w:val="auto"/>
              </w:rPr>
              <w:t>and equity investments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6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2012</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150,209,747</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18,836,653</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169,046,400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Realized gains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1,132,985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414,485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1,547,470</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(depreciation) appreciation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62"/>
              <w:spacing w:after="0"/>
              <w:rPr>
                <w:sz w:val="20"/>
                <w:szCs w:val="20"/>
                <w:color w:val="auto"/>
              </w:rPr>
            </w:pPr>
            <w:r>
              <w:rPr>
                <w:rFonts w:ascii="Arial" w:cs="Arial" w:eastAsia="Arial" w:hAnsi="Arial"/>
                <w:sz w:val="18"/>
                <w:szCs w:val="18"/>
                <w:color w:val="auto"/>
              </w:rPr>
              <w:t>(266,886)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272,389</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75,103,378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9,486,250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84,589,628</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 / exchanges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62"/>
              <w:spacing w:after="0"/>
              <w:rPr>
                <w:sz w:val="20"/>
                <w:szCs w:val="20"/>
                <w:color w:val="auto"/>
              </w:rPr>
            </w:pPr>
            <w:r>
              <w:rPr>
                <w:rFonts w:ascii="Arial" w:cs="Arial" w:eastAsia="Arial" w:hAnsi="Arial"/>
                <w:sz w:val="18"/>
                <w:szCs w:val="18"/>
                <w:color w:val="auto"/>
              </w:rPr>
              <w:t>(66,496,961)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(7,730,164)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(74,227,125)</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Transfers in and/or out of Level 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(1,586,250)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(1,586,250)</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March 31, 2013</w:t>
            </w:r>
          </w:p>
        </w:tc>
        <w:tc>
          <w:tcPr>
            <w:tcW w:w="4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159,682,263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19,960,249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179,642,512</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Net change in unrealized appreciation (depreciation) reported within the net</w:t>
            </w: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220"/>
              <w:spacing w:after="0"/>
              <w:rPr>
                <w:sz w:val="20"/>
                <w:szCs w:val="20"/>
                <w:color w:val="auto"/>
              </w:rPr>
            </w:pPr>
            <w:r>
              <w:rPr>
                <w:rFonts w:ascii="Arial" w:cs="Arial" w:eastAsia="Arial" w:hAnsi="Arial"/>
                <w:sz w:val="18"/>
                <w:szCs w:val="18"/>
                <w:color w:val="auto"/>
              </w:rPr>
              <w:t>change in unrealized appreciation on investments in our Consolidated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220"/>
              <w:spacing w:after="0"/>
              <w:rPr>
                <w:sz w:val="20"/>
                <w:szCs w:val="20"/>
                <w:color w:val="auto"/>
              </w:rPr>
            </w:pPr>
            <w:r>
              <w:rPr>
                <w:rFonts w:ascii="Arial" w:cs="Arial" w:eastAsia="Arial" w:hAnsi="Arial"/>
                <w:sz w:val="18"/>
                <w:szCs w:val="18"/>
                <w:color w:val="auto"/>
                <w:w w:val="99"/>
              </w:rPr>
              <w:t>Statement of Operations attributable to our Level 3 assets still held at the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ind w:left="220"/>
              <w:spacing w:after="0"/>
              <w:rPr>
                <w:sz w:val="20"/>
                <w:szCs w:val="20"/>
                <w:color w:val="auto"/>
              </w:rPr>
            </w:pPr>
            <w:r>
              <w:rPr>
                <w:rFonts w:ascii="Arial" w:cs="Arial" w:eastAsia="Arial" w:hAnsi="Arial"/>
                <w:sz w:val="18"/>
                <w:szCs w:val="18"/>
                <w:color w:val="auto"/>
              </w:rPr>
              <w:t>reporting date.</w:t>
            </w:r>
          </w:p>
        </w:tc>
        <w:tc>
          <w:tcPr>
            <w:tcW w:w="4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580,762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(1,973,070)</w:t>
            </w:r>
          </w:p>
        </w:tc>
        <w:tc>
          <w:tcPr>
            <w:tcW w:w="24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(1,392,308)</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right"/>
              <w:ind w:right="92"/>
              <w:spacing w:after="0"/>
              <w:rPr>
                <w:sz w:val="20"/>
                <w:szCs w:val="20"/>
                <w:color w:val="auto"/>
              </w:rPr>
            </w:pPr>
            <w:r>
              <w:rPr>
                <w:rFonts w:ascii="Arial" w:cs="Arial" w:eastAsia="Arial" w:hAnsi="Arial"/>
                <w:sz w:val="13"/>
                <w:szCs w:val="13"/>
                <w:b w:val="1"/>
                <w:bCs w:val="1"/>
                <w:color w:val="auto"/>
                <w:w w:val="97"/>
              </w:rPr>
              <w:t>Six Months Ended March 31, 2012</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34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53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1"/>
              </w:rPr>
              <w:t>subordinated debt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5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320"/>
              <w:spacing w:after="0" w:line="148" w:lineRule="exact"/>
              <w:rPr>
                <w:sz w:val="20"/>
                <w:szCs w:val="20"/>
                <w:color w:val="auto"/>
              </w:rPr>
            </w:pPr>
            <w:r>
              <w:rPr>
                <w:rFonts w:ascii="Arial" w:cs="Arial" w:eastAsia="Arial" w:hAnsi="Arial"/>
                <w:sz w:val="13"/>
                <w:szCs w:val="13"/>
                <w:b w:val="1"/>
                <w:bCs w:val="1"/>
                <w:color w:val="auto"/>
              </w:rPr>
              <w:t>First Lien</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4"/>
          </w:tcPr>
          <w:p>
            <w:pPr>
              <w:jc w:val="center"/>
              <w:ind w:right="240"/>
              <w:spacing w:after="0" w:line="148" w:lineRule="exact"/>
              <w:rPr>
                <w:sz w:val="20"/>
                <w:szCs w:val="20"/>
                <w:color w:val="auto"/>
              </w:rPr>
            </w:pPr>
            <w:r>
              <w:rPr>
                <w:rFonts w:ascii="Arial" w:cs="Arial" w:eastAsia="Arial" w:hAnsi="Arial"/>
                <w:sz w:val="13"/>
                <w:szCs w:val="13"/>
                <w:b w:val="1"/>
                <w:bCs w:val="1"/>
                <w:color w:val="auto"/>
                <w:w w:val="91"/>
              </w:rPr>
              <w:t>and equity investments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18,206,115</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107,535,494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Realized gains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315,366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86,442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401,808</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3,176,684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543,615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3,720,299</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67,494,977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2,868,886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70,363,863</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(34,010,082)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(5,533,750)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(39,543,832)</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Transfers in and/or out of Level 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March 31, 2012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center"/>
              <w:ind w:left="235"/>
              <w:spacing w:after="0"/>
              <w:rPr>
                <w:sz w:val="20"/>
                <w:szCs w:val="20"/>
                <w:color w:val="auto"/>
              </w:rPr>
            </w:pPr>
            <w:r>
              <w:rPr>
                <w:rFonts w:ascii="Arial" w:cs="Arial" w:eastAsia="Arial" w:hAnsi="Arial"/>
                <w:sz w:val="18"/>
                <w:szCs w:val="18"/>
                <w:u w:val="single" w:color="auto"/>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126,306,324</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16,171,308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142,477,632</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w w:val="91"/>
              </w:rPr>
              <w:t>Net change in unrealized appreciation reported within the net change in unrealized</w:t>
            </w: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4"/>
          </w:tcPr>
          <w:p>
            <w:pPr>
              <w:ind w:left="220"/>
              <w:spacing w:after="0"/>
              <w:rPr>
                <w:sz w:val="20"/>
                <w:szCs w:val="20"/>
                <w:color w:val="auto"/>
              </w:rPr>
            </w:pPr>
            <w:r>
              <w:rPr>
                <w:rFonts w:ascii="Arial" w:cs="Arial" w:eastAsia="Arial" w:hAnsi="Arial"/>
                <w:sz w:val="18"/>
                <w:szCs w:val="18"/>
                <w:color w:val="auto"/>
                <w:w w:val="89"/>
              </w:rPr>
              <w:t>appreciation on investments in our Consolidated Statement of Operations attributable to</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ind w:left="220"/>
              <w:spacing w:after="0"/>
              <w:rPr>
                <w:sz w:val="20"/>
                <w:szCs w:val="20"/>
                <w:color w:val="auto"/>
              </w:rPr>
            </w:pPr>
            <w:r>
              <w:rPr>
                <w:rFonts w:ascii="Arial" w:cs="Arial" w:eastAsia="Arial" w:hAnsi="Arial"/>
                <w:sz w:val="18"/>
                <w:szCs w:val="18"/>
                <w:color w:val="auto"/>
              </w:rPr>
              <w:t>our Level 3 assets still held at the reporting date.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gridSpan w:val="3"/>
          </w:tcPr>
          <w:p>
            <w:pPr>
              <w:jc w:val="center"/>
              <w:ind w:left="235"/>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3,638,956</w:t>
            </w:r>
          </w:p>
        </w:tc>
        <w:tc>
          <w:tcPr>
            <w:tcW w:w="1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546,020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4,184,976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898"/>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500" w:type="dxa"/>
            <w:vAlign w:val="bottom"/>
            <w:gridSpan w:val="4"/>
          </w:tcPr>
          <w:p>
            <w:pPr>
              <w:jc w:val="right"/>
              <w:ind w:right="720"/>
              <w:spacing w:after="0"/>
              <w:rPr>
                <w:sz w:val="20"/>
                <w:szCs w:val="20"/>
                <w:color w:val="auto"/>
              </w:rPr>
            </w:pPr>
            <w:r>
              <w:rPr>
                <w:rFonts w:ascii="Arial" w:cs="Arial" w:eastAsia="Arial" w:hAnsi="Arial"/>
                <w:sz w:val="13"/>
                <w:szCs w:val="13"/>
                <w:b w:val="1"/>
                <w:bCs w:val="1"/>
                <w:color w:val="auto"/>
              </w:rPr>
              <w:t>Carrying/Fair Value</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rPr>
                <w:sz w:val="20"/>
                <w:szCs w:val="20"/>
                <w:color w:val="auto"/>
              </w:rPr>
            </w:pPr>
            <w:r>
              <w:rPr>
                <w:rFonts w:ascii="Arial" w:cs="Arial" w:eastAsia="Arial" w:hAnsi="Arial"/>
                <w:sz w:val="13"/>
                <w:szCs w:val="13"/>
                <w:b w:val="1"/>
                <w:bCs w:val="1"/>
                <w:color w:val="auto"/>
              </w:rPr>
              <w:t>Long-Term Credit Facility</w:t>
            </w:r>
          </w:p>
        </w:tc>
        <w:tc>
          <w:tcPr>
            <w:tcW w:w="362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250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8"/>
        </w:trPr>
        <w:tc>
          <w:tcPr>
            <w:tcW w:w="1640" w:type="dxa"/>
            <w:vAlign w:val="bottom"/>
            <w:tcBorders>
              <w:bottom w:val="single" w:sz="8" w:color="auto"/>
            </w:tcBorders>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Borders>
              <w:top w:val="single" w:sz="8" w:color="auto"/>
            </w:tcBorders>
          </w:tcPr>
          <w:p>
            <w:pPr>
              <w:jc w:val="right"/>
              <w:ind w:right="247"/>
              <w:spacing w:after="0" w:line="129" w:lineRule="exact"/>
              <w:rPr>
                <w:sz w:val="20"/>
                <w:szCs w:val="20"/>
                <w:color w:val="auto"/>
              </w:rPr>
            </w:pPr>
            <w:r>
              <w:rPr>
                <w:rFonts w:ascii="Arial" w:cs="Arial" w:eastAsia="Arial" w:hAnsi="Arial"/>
                <w:sz w:val="13"/>
                <w:szCs w:val="13"/>
                <w:b w:val="1"/>
                <w:bCs w:val="1"/>
                <w:color w:val="auto"/>
              </w:rPr>
              <w:t>2013</w:t>
            </w:r>
          </w:p>
        </w:tc>
        <w:tc>
          <w:tcPr>
            <w:tcW w:w="5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2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Beginning Balance, September 30, 2012 and 2011, respectively</w:t>
            </w:r>
          </w:p>
        </w:tc>
        <w:tc>
          <w:tcPr>
            <w:tcW w:w="7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 $75,500,000 and $24,650,000, respectively)</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$ 75,122,500</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$ 24,650,000</w:t>
            </w: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w w:val="93"/>
              </w:rPr>
              <w:t>Total unrealized appreciation (depreciation) included in earnings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377,500</w:t>
            </w: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45,250,000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54,050,000</w:t>
            </w: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Repayments</w:t>
            </w:r>
          </w:p>
        </w:tc>
        <w:tc>
          <w:tcPr>
            <w:tcW w:w="2220" w:type="dxa"/>
            <w:vAlign w:val="bottom"/>
            <w:gridSpan w:val="3"/>
          </w:tcPr>
          <w:p>
            <w:pPr>
              <w:jc w:val="right"/>
              <w:ind w:right="440"/>
              <w:spacing w:after="0"/>
              <w:rPr>
                <w:sz w:val="20"/>
                <w:szCs w:val="20"/>
                <w:color w:val="auto"/>
              </w:rPr>
            </w:pPr>
            <w:r>
              <w:rPr>
                <w:rFonts w:ascii="Arial" w:cs="Arial" w:eastAsia="Arial" w:hAnsi="Arial"/>
                <w:sz w:val="18"/>
                <w:szCs w:val="18"/>
                <w:color w:val="auto"/>
              </w:rPr>
              <w:t>(86,550,000)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(30,900,000)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7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60" w:type="dxa"/>
            <w:vAlign w:val="bottom"/>
            <w:gridSpan w:val="2"/>
          </w:tcPr>
          <w:p>
            <w:pPr>
              <w:spacing w:after="0"/>
              <w:rPr>
                <w:sz w:val="20"/>
                <w:szCs w:val="20"/>
                <w:color w:val="auto"/>
              </w:rPr>
            </w:pPr>
            <w:r>
              <w:rPr>
                <w:rFonts w:ascii="Arial" w:cs="Arial" w:eastAsia="Arial" w:hAnsi="Arial"/>
                <w:sz w:val="18"/>
                <w:szCs w:val="18"/>
                <w:color w:val="auto"/>
              </w:rPr>
              <w:t>Ending Balance, March 31, 2013 and 2012, respectively</w:t>
            </w:r>
          </w:p>
        </w:tc>
        <w:tc>
          <w:tcPr>
            <w:tcW w:w="7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gridSpan w:val="2"/>
          </w:tcPr>
          <w:p>
            <w:pPr>
              <w:ind w:left="220"/>
              <w:spacing w:after="0"/>
              <w:rPr>
                <w:sz w:val="20"/>
                <w:szCs w:val="20"/>
                <w:color w:val="auto"/>
              </w:rPr>
            </w:pPr>
            <w:r>
              <w:rPr>
                <w:rFonts w:ascii="Arial" w:cs="Arial" w:eastAsia="Arial" w:hAnsi="Arial"/>
                <w:sz w:val="18"/>
                <w:szCs w:val="18"/>
                <w:color w:val="auto"/>
              </w:rPr>
              <w:t>(cost – $34,200,000 and $47,800,000, respectively)</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$ 34,200,000</w:t>
            </w:r>
          </w:p>
        </w:tc>
        <w:tc>
          <w:tcPr>
            <w:tcW w:w="5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$ 47,561,000</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vMerge w:val="restart"/>
          </w:tcPr>
          <w:p>
            <w:pPr>
              <w:jc w:val="right"/>
              <w:ind w:right="232"/>
              <w:spacing w:after="0"/>
              <w:rPr>
                <w:sz w:val="20"/>
                <w:szCs w:val="20"/>
                <w:color w:val="auto"/>
              </w:rPr>
            </w:pPr>
            <w:r>
              <w:rPr>
                <w:rFonts w:ascii="Arial" w:cs="Arial" w:eastAsia="Arial" w:hAnsi="Arial"/>
                <w:sz w:val="18"/>
                <w:szCs w:val="18"/>
                <w:color w:val="auto"/>
              </w:rPr>
              <w:t>18</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60" w:right="274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three months ended March 31,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2013, we had a net change in unrealized appreciation of zero and $0.4 million, respectively. For the three and six months ended March 31, 2012, we had a net change in unrealized (appreciation) depreciation of $(0.1) million and $0.2 million, respectively. As of March 31,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Six Months Ended</w:t>
            </w:r>
          </w:p>
        </w:tc>
      </w:tr>
      <w:tr>
        <w:trPr>
          <w:trHeight w:val="161"/>
        </w:trPr>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880"/>
              <w:spacing w:after="0"/>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800"/>
              <w:spacing w:after="0"/>
              <w:rPr>
                <w:sz w:val="20"/>
                <w:szCs w:val="20"/>
                <w:color w:val="auto"/>
              </w:rPr>
            </w:pPr>
            <w:r>
              <w:rPr>
                <w:rFonts w:ascii="Arial" w:cs="Arial" w:eastAsia="Arial" w:hAnsi="Arial"/>
                <w:sz w:val="13"/>
                <w:szCs w:val="13"/>
                <w:b w:val="1"/>
                <w:bCs w:val="1"/>
                <w:color w:val="auto"/>
              </w:rPr>
              <w:t>March 31,</w:t>
            </w:r>
          </w:p>
        </w:tc>
      </w:tr>
      <w:tr>
        <w:trPr>
          <w:trHeight w:val="142"/>
        </w:trPr>
        <w:tc>
          <w:tcPr>
            <w:tcW w:w="53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3"/>
                <w:szCs w:val="13"/>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3"/>
                <w:szCs w:val="13"/>
                <w:b w:val="1"/>
                <w:bCs w:val="1"/>
                <w:color w:val="auto"/>
              </w:rPr>
              <w:t>2012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3"/>
                <w:szCs w:val="13"/>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3,205,735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4,525,075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4,971,166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7,630,240</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Denominator for basic weighted average shares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7,050,833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6,850,667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6,949,650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6,850,667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weighted average shares*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7,080,833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6,850,667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6,964,485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6,850,667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w w:val="99"/>
              </w:rPr>
              <w:t>Basic net increase in net assets per share resulting from operations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6"/>
              </w:rPr>
              <w:t>Diluted net increase in net assets per share resulting from operations*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shares issued in connection with the underwriters’ overallotment option.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right="20" w:firstLine="898"/>
        <w:spacing w:after="0" w:line="287" w:lineRule="auto"/>
        <w:rPr>
          <w:sz w:val="20"/>
          <w:szCs w:val="20"/>
          <w:color w:val="auto"/>
        </w:rPr>
      </w:pPr>
      <w:r>
        <w:rPr>
          <w:rFonts w:ascii="Arial" w:cs="Arial" w:eastAsia="Arial" w:hAnsi="Arial"/>
          <w:sz w:val="16"/>
          <w:szCs w:val="16"/>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2013 and September 30, 2012, cash equivalents consisted of money market funds in the amounts of $2.7 million and $3.8 million, respectively.</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Below are the financial highlights:</w:t>
      </w:r>
    </w:p>
    <w:p>
      <w:pPr>
        <w:spacing w:after="0" w:line="207"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13.98</w:t>
            </w:r>
          </w:p>
        </w:tc>
        <w:tc>
          <w:tcPr>
            <w:tcW w:w="4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(1)</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gain </w:t>
            </w:r>
            <w:r>
              <w:rPr>
                <w:rFonts w:ascii="Arial" w:cs="Arial" w:eastAsia="Arial" w:hAnsi="Arial"/>
                <w:sz w:val="11"/>
                <w:szCs w:val="11"/>
                <w:color w:val="auto"/>
              </w:rPr>
              <w:t>(1)</w:t>
            </w:r>
          </w:p>
        </w:tc>
        <w:tc>
          <w:tcPr>
            <w:tcW w:w="1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1"/>
                <w:szCs w:val="11"/>
                <w:color w:val="auto"/>
              </w:rPr>
              <w:t>(1)</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 xml:space="preserve">Dividends to stockholders </w:t>
            </w:r>
            <w:r>
              <w:rPr>
                <w:rFonts w:ascii="Arial" w:cs="Arial" w:eastAsia="Arial" w:hAnsi="Arial"/>
                <w:sz w:val="11"/>
                <w:szCs w:val="11"/>
                <w:color w:val="auto"/>
              </w:rPr>
              <w:t>(1), (2)</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(0.50)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Effect of common stock issuance and offering costs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Net asset value, end of period</w:t>
            </w:r>
          </w:p>
        </w:tc>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14.10</w:t>
            </w:r>
          </w:p>
        </w:tc>
        <w:tc>
          <w:tcPr>
            <w:tcW w:w="4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1"/>
                <w:szCs w:val="11"/>
                <w:color w:val="auto"/>
              </w:rPr>
              <w:t>(3)</w:t>
            </w:r>
          </w:p>
        </w:tc>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14.34%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9,851,151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6,850,667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b w:val="1"/>
                <w:bCs w:val="1"/>
                <w:color w:val="auto"/>
              </w:rPr>
              <w:t>Ratios / Supplemental Data: **</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operating expenses to average net assets </w:t>
            </w:r>
            <w:r>
              <w:rPr>
                <w:rFonts w:ascii="Arial" w:cs="Arial" w:eastAsia="Arial" w:hAnsi="Arial"/>
                <w:sz w:val="11"/>
                <w:szCs w:val="11"/>
                <w:color w:val="auto"/>
              </w:rPr>
              <w:t>(4)</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 xml:space="preserve">Ratio of Credit Facility related expenses to average net assets </w:t>
            </w:r>
            <w:r>
              <w:rPr>
                <w:rFonts w:ascii="Arial" w:cs="Arial" w:eastAsia="Arial" w:hAnsi="Arial"/>
                <w:sz w:val="11"/>
                <w:szCs w:val="11"/>
                <w:color w:val="auto"/>
              </w:rPr>
              <w:t>(5)</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138,879,485</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96,722,305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Average debt outstanding</w:t>
            </w:r>
          </w:p>
        </w:tc>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73,503,159</w:t>
            </w:r>
          </w:p>
        </w:tc>
        <w:tc>
          <w:tcPr>
            <w:tcW w:w="4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34,512,568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85.12%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1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14" w:lineRule="exact"/>
        <w:rPr>
          <w:sz w:val="20"/>
          <w:szCs w:val="20"/>
          <w:color w:val="auto"/>
        </w:rPr>
      </w:pPr>
    </w:p>
    <w:p>
      <w:pPr>
        <w:ind w:right="7580" w:firstLine="8"/>
        <w:spacing w:after="0" w:line="274" w:lineRule="auto"/>
        <w:tabs>
          <w:tab w:leader="none" w:pos="445"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line="222"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Per share data are calculated based on the weighted average shares outstanding for the respective periods.</w:t>
      </w:r>
    </w:p>
    <w:p>
      <w:pPr>
        <w:spacing w:after="0" w:line="7" w:lineRule="exact"/>
        <w:rPr>
          <w:rFonts w:ascii="Arial" w:cs="Arial" w:eastAsia="Arial" w:hAnsi="Arial"/>
          <w:sz w:val="22"/>
          <w:szCs w:val="22"/>
          <w:color w:val="auto"/>
          <w:vertAlign w:val="superscript"/>
        </w:rPr>
      </w:pPr>
    </w:p>
    <w:p>
      <w:pPr>
        <w:ind w:left="460" w:right="540" w:hanging="452"/>
        <w:spacing w:after="0" w:line="221"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GAAP.</w:t>
      </w:r>
    </w:p>
    <w:p>
      <w:pPr>
        <w:ind w:left="460" w:right="280" w:hanging="452"/>
        <w:spacing w:after="0" w:line="225"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ind w:left="460" w:hanging="452"/>
        <w:spacing w:after="0" w:line="204"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Operating expenses exclude Credit Facility amendment costs.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Ratio does not annualize Credit Facility amendment costs.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96"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On March 29, 2013, we amended Funding I’s Credit Facility with SunTrust Bank, or the Lender, to expand the size of its Credit Facility from $100 million to $125 million, subject to satisfaction of certain conditions and the regulatory restrictions that the 1940 Act imposes on us as a BDC, to reduce the interest rate spread above LIBOR from 225 to 200 basis points, to reduce the undrawn commitment fee and to extend the maturity date to May 2018 and the revolving period (as defined below) to May 2016. As of March 31, 2013 and September 30, 2012, Funding I had $34.2 million and $75.5 million of outstanding borrowings under the Credit Facility, respectively, and carried an interest rate of 2.21% and 2.47%, respectively, excluding the 0.375% undrawn commitment fee.</w:t>
      </w:r>
    </w:p>
    <w:p>
      <w:pPr>
        <w:spacing w:after="0" w:line="144" w:lineRule="exact"/>
        <w:rPr>
          <w:sz w:val="20"/>
          <w:szCs w:val="20"/>
          <w:color w:val="auto"/>
        </w:rPr>
      </w:pPr>
    </w:p>
    <w:p>
      <w:pPr>
        <w:ind w:right="20" w:firstLine="898"/>
        <w:spacing w:after="0" w:line="298" w:lineRule="auto"/>
        <w:rPr>
          <w:sz w:val="20"/>
          <w:szCs w:val="20"/>
          <w:color w:val="auto"/>
        </w:rPr>
      </w:pPr>
      <w:r>
        <w:rPr>
          <w:rFonts w:ascii="Arial" w:cs="Arial" w:eastAsia="Arial" w:hAnsi="Arial"/>
          <w:sz w:val="16"/>
          <w:szCs w:val="16"/>
          <w:color w:val="auto"/>
        </w:rPr>
        <w:t>During the period to and including May 14,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80" w:right="272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47" w:lineRule="exact"/>
        <w:rPr>
          <w:sz w:val="20"/>
          <w:szCs w:val="20"/>
          <w:color w:val="auto"/>
        </w:rPr>
      </w:pPr>
    </w:p>
    <w:p>
      <w:pPr>
        <w:ind w:right="180" w:firstLine="898"/>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0" w:lineRule="exact"/>
        <w:rPr>
          <w:sz w:val="20"/>
          <w:szCs w:val="20"/>
          <w:color w:val="auto"/>
        </w:rPr>
      </w:pPr>
    </w:p>
    <w:p>
      <w:pPr>
        <w:ind w:right="80" w:firstLine="898"/>
        <w:spacing w:after="0" w:line="294"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 owing with respect to such services are to be paid to the Company so long as the Investment Adviser remains the collateral manager.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260" w:firstLine="898"/>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ind w:right="180" w:firstLine="898"/>
        <w:spacing w:after="0" w:line="259" w:lineRule="auto"/>
        <w:rPr>
          <w:sz w:val="20"/>
          <w:szCs w:val="20"/>
          <w:color w:val="auto"/>
        </w:rPr>
      </w:pPr>
      <w:r>
        <w:rPr>
          <w:rFonts w:ascii="Arial" w:cs="Arial" w:eastAsia="Arial" w:hAnsi="Arial"/>
          <w:sz w:val="18"/>
          <w:szCs w:val="18"/>
          <w:color w:val="auto"/>
        </w:rPr>
        <w:t>On April 8, 2013, we sold an additional 450,000 shares of common stock pursuant to the exercise of the underwriters’ overallotment option at a public offering price of $14.00 per share, generating gross proceeds of $6.3 million. Our Investment Adviser paid the entire sales load of $0.2 million in connection with the sale of these shares.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Floating Rate Capital Ltd. and its Subsidiary (the “Company”), including the consolidated schedule of investments, as of March 31, 2013 and the consolidated statement of operations for the three and six months ended March 31, 2013 and 2012, changes in net assets, and cash flows for the six months ended March 31, 2013 and 2012. These consolidated financial statements are the responsibility of the Company’s management.</w:t>
      </w:r>
    </w:p>
    <w:p>
      <w:pPr>
        <w:spacing w:after="0" w:line="143"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ind w:right="400" w:firstLine="898"/>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statement of assets and liabilities of PennantPark Floating Rate Capital Ltd. and its Subsidiary, including the consolidated schedule of investments, as of September 30, 2012 and the related consolidated statements of operations, changes in net assets, and cash flows for the year then ended (not presented herein); and in our report dated November 14, 2012,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668655"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8655" cy="12001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9, 2013</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4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00" w:firstLine="898"/>
        <w:spacing w:after="0" w:line="298"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contains statements that constitute forward-looking statements, which relate to future events or our future performance or future financial condition. These forward-looking statements are not historical facts, but rather are based on current expectations, estimates and projections about our Company, industry, beliefs and assumptions. The forward-looking statements contained in this Report involve risks and uncertainties, including statements as to:</w:t>
      </w:r>
    </w:p>
    <w:p>
      <w:pPr>
        <w:spacing w:after="0" w:line="31" w:lineRule="exact"/>
        <w:rPr>
          <w:sz w:val="20"/>
          <w:szCs w:val="20"/>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211"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ability of the Investment Adviser to locate suitable investments for us and to monitor and administer our investments; and</w:t>
      </w:r>
    </w:p>
    <w:p>
      <w:pPr>
        <w:spacing w:after="0" w:line="113" w:lineRule="exact"/>
        <w:rPr>
          <w:rFonts w:ascii="Arial" w:cs="Arial" w:eastAsia="Arial" w:hAnsi="Arial"/>
          <w:sz w:val="16"/>
          <w:szCs w:val="16"/>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jc w:val="both"/>
        <w:ind w:right="140" w:firstLine="898"/>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6"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47"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2"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140" w:lineRule="exact"/>
        <w:rPr>
          <w:sz w:val="20"/>
          <w:szCs w:val="20"/>
          <w:color w:val="auto"/>
        </w:rPr>
      </w:pPr>
    </w:p>
    <w:p>
      <w:pPr>
        <w:ind w:right="680" w:firstLine="898"/>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Report.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898"/>
        <w:spacing w:after="0" w:line="298" w:lineRule="auto"/>
        <w:rPr>
          <w:sz w:val="20"/>
          <w:szCs w:val="20"/>
          <w:color w:val="auto"/>
        </w:rPr>
      </w:pPr>
      <w:r>
        <w:rPr>
          <w:rFonts w:ascii="Arial" w:cs="Arial" w:eastAsia="Arial" w:hAnsi="Arial"/>
          <w:sz w:val="16"/>
          <w:szCs w:val="16"/>
          <w:color w:val="auto"/>
        </w:rPr>
        <w:t>PennantPark Floating Rate Capital Ltd. is a BDC whose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the London Interbank Offered Rate, or LIBOR, plus a fixed spread.</w:t>
      </w:r>
    </w:p>
    <w:p>
      <w:pPr>
        <w:spacing w:after="0" w:line="112" w:lineRule="exact"/>
        <w:rPr>
          <w:sz w:val="20"/>
          <w:szCs w:val="20"/>
          <w:color w:val="auto"/>
        </w:rPr>
      </w:pPr>
    </w:p>
    <w:p>
      <w:pPr>
        <w:jc w:val="both"/>
        <w:ind w:right="240" w:firstLine="898"/>
        <w:spacing w:after="0" w:line="284" w:lineRule="auto"/>
        <w:rPr>
          <w:sz w:val="20"/>
          <w:szCs w:val="20"/>
          <w:color w:val="auto"/>
        </w:rPr>
      </w:pPr>
      <w:r>
        <w:rPr>
          <w:rFonts w:ascii="Arial" w:cs="Arial" w:eastAsia="Arial" w:hAnsi="Arial"/>
          <w:sz w:val="16"/>
          <w:szCs w:val="16"/>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18"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will be invested in Floating Rate Loans and other investments bearing a variable-rate of interest which may, from time to time, include variable-rate derivative instruments.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Floating Rate Capital Ltd.</w:t>
      </w:r>
    </w:p>
    <w:p>
      <w:pPr>
        <w:spacing w:after="0" w:line="90"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intend to continue to be treated and qualify annually as a RIC under the Code.</w:t>
      </w:r>
    </w:p>
    <w:p>
      <w:pPr>
        <w:spacing w:after="0" w:line="144" w:lineRule="exact"/>
        <w:rPr>
          <w:sz w:val="20"/>
          <w:szCs w:val="20"/>
          <w:color w:val="auto"/>
        </w:rPr>
      </w:pPr>
    </w:p>
    <w:p>
      <w:pPr>
        <w:ind w:right="120" w:firstLine="898"/>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or the Investment Management Agreement, we have agreed to pay our Investment Adviser an annual base management fee based on our average adjusted gross total assets as well as an incentive fee based on our investment performance. We have also entered into an administration agreement, or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60" w:firstLine="898"/>
        <w:spacing w:after="0" w:line="291" w:lineRule="auto"/>
        <w:rPr>
          <w:sz w:val="20"/>
          <w:szCs w:val="20"/>
          <w:color w:val="auto"/>
        </w:rPr>
      </w:pPr>
      <w:r>
        <w:rPr>
          <w:rFonts w:ascii="Arial" w:cs="Arial" w:eastAsia="Arial" w:hAnsi="Arial"/>
          <w:sz w:val="16"/>
          <w:szCs w:val="16"/>
          <w:color w:val="auto"/>
        </w:rPr>
        <w:t>We generate revenue in the form of interest income on the debt securities we hold. Capital gains, if any, are recorded on a trade date basis upon existing investments.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payment-in-kind, or PIK, interest. The principal amount of the debt securities and any accrued but unpaid interest generally becomes due at the maturity date. In addition, we may generate revenue in the form of original issue discount, or OID, or commitment, origination, structuring or diligence fees, fees for providing managerial assistance and possibly consulting fees.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Our primary operating expenses include the payment of management fee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commitment fees on the unfunded debt under our Credit Facility. We bear all other direct or indirect costs and expenses of our operations and transactions, including:</w:t>
      </w:r>
    </w:p>
    <w:p>
      <w:pPr>
        <w:spacing w:after="0" w:line="31" w:lineRule="exact"/>
        <w:rPr>
          <w:sz w:val="20"/>
          <w:szCs w:val="20"/>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1440" w:right="200" w:hanging="433"/>
        <w:spacing w:after="0" w:line="268" w:lineRule="auto"/>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jc w:val="both"/>
        <w:ind w:left="1440" w:right="60" w:hanging="433"/>
        <w:spacing w:after="0" w:line="298" w:lineRule="auto"/>
        <w:tabs>
          <w:tab w:leader="none" w:pos="1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2" w:lineRule="exact"/>
        <w:rPr>
          <w:sz w:val="20"/>
          <w:szCs w:val="20"/>
          <w:color w:val="auto"/>
        </w:rPr>
      </w:pPr>
    </w:p>
    <w:p>
      <w:pPr>
        <w:ind w:right="180" w:firstLine="898"/>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60" w:firstLine="898"/>
        <w:spacing w:after="0" w:line="294" w:lineRule="auto"/>
        <w:rPr>
          <w:sz w:val="20"/>
          <w:szCs w:val="20"/>
          <w:color w:val="auto"/>
        </w:rPr>
      </w:pPr>
      <w:r>
        <w:rPr>
          <w:rFonts w:ascii="Arial" w:cs="Arial" w:eastAsia="Arial" w:hAnsi="Arial"/>
          <w:sz w:val="16"/>
          <w:szCs w:val="16"/>
          <w:color w:val="auto"/>
        </w:rPr>
        <w:t>As of March 31, 2013, our portfolio totaled $183.9 million and consisted of $159.7 million of senior secured loans, $10.4 million of second lien secured debt and $13.8 million of subordinated debt, preferred and common equity investments. Our debt portfolio consisted of 88% variable-rate investments (including 83% with a LIBOR or prime floor) and 12% fixed-rate investments. Overall, the portfolio had unrealized appreciation of $0.3 million. Our overall portfolio consisted of 63 companies with an average investment size of $2.9 million, had a weighted average yield on debt investments of 8.8%, and was invested 87% in senior secured loans, 6% in second lien secured debt and 7% in subordinated debt, preferred and common equity investments.</w:t>
      </w:r>
    </w:p>
    <w:p>
      <w:pPr>
        <w:spacing w:after="0" w:line="115" w:lineRule="exact"/>
        <w:rPr>
          <w:sz w:val="20"/>
          <w:szCs w:val="20"/>
          <w:color w:val="auto"/>
        </w:rPr>
      </w:pPr>
    </w:p>
    <w:p>
      <w:pPr>
        <w:ind w:right="80" w:firstLine="898"/>
        <w:spacing w:after="0" w:line="317" w:lineRule="auto"/>
        <w:rPr>
          <w:sz w:val="20"/>
          <w:szCs w:val="20"/>
          <w:color w:val="auto"/>
        </w:rPr>
      </w:pPr>
      <w:r>
        <w:rPr>
          <w:rFonts w:ascii="Arial" w:cs="Arial" w:eastAsia="Arial" w:hAnsi="Arial"/>
          <w:sz w:val="15"/>
          <w:szCs w:val="15"/>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had a weighted average yield on debt investments of 8.6%, and was invested 87% in senior secured loans, 7% in second lien secured debt and 6% in subordinated debt, preferred and common equity investments.</w:t>
      </w:r>
    </w:p>
    <w:p>
      <w:pPr>
        <w:spacing w:after="0" w:line="103" w:lineRule="exact"/>
        <w:rPr>
          <w:sz w:val="20"/>
          <w:szCs w:val="20"/>
          <w:color w:val="auto"/>
        </w:rPr>
      </w:pPr>
    </w:p>
    <w:p>
      <w:pPr>
        <w:jc w:val="both"/>
        <w:ind w:right="120" w:firstLine="898"/>
        <w:spacing w:after="0" w:line="298" w:lineRule="auto"/>
        <w:rPr>
          <w:sz w:val="20"/>
          <w:szCs w:val="20"/>
          <w:color w:val="auto"/>
        </w:rPr>
      </w:pPr>
      <w:r>
        <w:rPr>
          <w:rFonts w:ascii="Arial" w:cs="Arial" w:eastAsia="Arial" w:hAnsi="Arial"/>
          <w:sz w:val="16"/>
          <w:szCs w:val="16"/>
          <w:color w:val="auto"/>
        </w:rPr>
        <w:t>For the three months ended March 31, 2013, we invested $45.1 million in 16 new and four existing portfolio companies with a weighted average yield on debt investments of 7.9%. Sales and repayments of investments for the three months ended March 31, 2013 totaled $43.9 million. For the six months ended March 31, 2013, we invested $84.0 million in 28 new portfolio companies and six existing portfolio companies with a weighted average yield on debt investments of 8.8%. Sales and repayments of investments for the six months ended March 31, 2013 totaled $74.2 million.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40" w:firstLine="898"/>
        <w:spacing w:after="0" w:line="298" w:lineRule="auto"/>
        <w:rPr>
          <w:sz w:val="20"/>
          <w:szCs w:val="20"/>
          <w:color w:val="auto"/>
        </w:rPr>
      </w:pPr>
      <w:r>
        <w:rPr>
          <w:rFonts w:ascii="Arial" w:cs="Arial" w:eastAsia="Arial" w:hAnsi="Arial"/>
          <w:sz w:val="16"/>
          <w:szCs w:val="16"/>
          <w:color w:val="auto"/>
        </w:rPr>
        <w:t>For the three months ended March 31, 2012, we invested $32.9 million in 12 new portfolio companies with a weighted average yield on debt investments of 8.9%. Sales and repayments of investments for the three months ended March 31, 2012 totaled $19.3 million. For the six months ended March 31, 2012, we invested $72.2 million in 25 new portfolio companies and two existing portfolio companies with a weighted average yield on debt investments of 9.2%. Sales and repayments of investments for the six months ended March 31, 2012 totaled $41.6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898"/>
        <w:spacing w:after="0" w:line="314" w:lineRule="auto"/>
        <w:rPr>
          <w:sz w:val="20"/>
          <w:szCs w:val="20"/>
          <w:color w:val="auto"/>
        </w:rPr>
      </w:pPr>
      <w:r>
        <w:rPr>
          <w:rFonts w:ascii="Arial" w:cs="Arial" w:eastAsia="Arial" w:hAnsi="Arial"/>
          <w:sz w:val="15"/>
          <w:szCs w:val="15"/>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4"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from our valuations and the differences may be material.</w:t>
      </w:r>
    </w:p>
    <w:p>
      <w:pPr>
        <w:spacing w:after="0" w:line="119" w:lineRule="exact"/>
        <w:rPr>
          <w:sz w:val="20"/>
          <w:szCs w:val="20"/>
          <w:color w:val="auto"/>
        </w:rPr>
      </w:pPr>
    </w:p>
    <w:p>
      <w:pPr>
        <w:ind w:right="100" w:firstLine="898"/>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1460" w:hanging="561"/>
        <w:spacing w:after="0" w:line="268"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1460" w:hanging="561"/>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60" w:right="200" w:hanging="561"/>
        <w:spacing w:after="0" w:line="298" w:lineRule="auto"/>
        <w:tabs>
          <w:tab w:leader="none" w:pos="1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460" w:right="20" w:hanging="561"/>
        <w:spacing w:after="0" w:line="259"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8" w:lineRule="exact"/>
        <w:rPr>
          <w:rFonts w:ascii="Arial" w:cs="Arial" w:eastAsia="Arial" w:hAnsi="Arial"/>
          <w:sz w:val="18"/>
          <w:szCs w:val="18"/>
          <w:color w:val="auto"/>
        </w:rPr>
      </w:pPr>
    </w:p>
    <w:p>
      <w:pPr>
        <w:ind w:left="1460" w:hanging="561"/>
        <w:spacing w:after="0" w:line="268"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120" w:firstLine="898"/>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1660" w:right="152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32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24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12"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right="20" w:firstLine="898"/>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three months ended March 31,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2013, we had a net change in unrealized appreciation of zero and $0.4 million, respectively. For the three and six months ended March 31, 2012, we had a net change in unrealized (appreciation) depreciation of $(0.1) million and $0.2 million, respectively. As of March 31,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or expense, as applicable, using the effective interest method. We record contractual prepayment premiums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280" w:firstLine="898"/>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40" w:firstLine="898"/>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of at least 90% of the sum of our net ordinary income and realized net short-term capital gains in excess of net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22"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 forth below are the results of operations for the three and six months ended March 31, 2013 and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80" w:firstLine="898"/>
        <w:spacing w:after="0" w:line="290" w:lineRule="auto"/>
        <w:rPr>
          <w:sz w:val="20"/>
          <w:szCs w:val="20"/>
          <w:color w:val="auto"/>
        </w:rPr>
      </w:pPr>
      <w:r>
        <w:rPr>
          <w:rFonts w:ascii="Arial" w:cs="Arial" w:eastAsia="Arial" w:hAnsi="Arial"/>
          <w:sz w:val="16"/>
          <w:szCs w:val="16"/>
          <w:color w:val="auto"/>
        </w:rPr>
        <w:t>Investment income for the three and six months ended March 31, 2013 was $4.1 million and $8.1 million, respectively, and was attributable to $3.6 million and $6.9 million from senior secured loans, $0.2 million and $0.5 million from second lien secured debt investments and $0.3 million and $0.7 million from subordinated debt investments, respectively. This compares to investment income for the three and six months ended March 31, 2012, which was $2.9 million and $5.4 million, respectively, and was attributable to $2.3 million and $4.3 million from senior secured loans, $0.3 million and $0.6 million from second lien secured debt investments and $0.3 million and $0.5 million from subordinated debt investments, respectively. The increase in investment income was due to a larger portfolio which was funded through both our Credit Facility and rotation out of lower yielding assets. We intend to grow our portfolio with the proceeds of our recent offering of common stock and our increased borrowing capacity under our Credit Facility.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Expenses for the three and six months ended March 31, 2013 totaled $2.5 million and $4.4 million, respectively. Base management fee for the same periods totaled $0.5 million and $0.9 million, performance-based incentive fee totaled $0.6 million and $1.0 million (including $0.3 million of non-payable incentive fee), Credit Facility expenses totaled $0.5 million and $1.0 million (excluding $0.5 million of Credit Facility amendment expenses), general and administrative expenses totaled $0.4 million and $0.9 million and excise taxes were $0.1 million, respectively. This compares to expenses for the three and six months ended March 31, 2012, which totaled $1.4 million and $2.5 million, respectively. Base management fee for the same periods in the prior year totaled $0.4 million and $0.7 million, performance-based incentive fee totaled $0.2 million and $0.2 million, Credit Facility expenses totaled $0.3 million and $0.6 million and general and administrative expenses totaled $0.5 million and $1.0 million, respectively. The increase in management fee, incentive fee and Credit Facility expenses was due to the growth of our portfolio and expanding our borrowing capacity under our Credit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240" w:firstLine="898"/>
        <w:spacing w:after="0" w:line="256" w:lineRule="auto"/>
        <w:rPr>
          <w:sz w:val="20"/>
          <w:szCs w:val="20"/>
          <w:color w:val="auto"/>
        </w:rPr>
      </w:pPr>
      <w:r>
        <w:rPr>
          <w:rFonts w:ascii="Arial" w:cs="Arial" w:eastAsia="Arial" w:hAnsi="Arial"/>
          <w:sz w:val="18"/>
          <w:szCs w:val="18"/>
          <w:color w:val="auto"/>
        </w:rPr>
        <w:t>Net investment income totaled $1.7 million and $3.7 million, or $0.24 and $0.54 per share, for the three and six months ended March 31, 2013, respectively. Net investment income totaled $1.5 million and $2.9 million, or $0.23 and $0.43 per share, for the three and six months ended March 31, 2012, respectively. The increase in net investment income was due to a larger portfolio and higher yielding assets offset by higher Credit Facility expenses and management and incentive fee.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Sales and repayments of investments for the three and six months ended March 31, 2013 totaled $43.9 million and $74.2 million and realized gains totaled $1.1 million and $1.5 million, respectively. Sales and repayments of investments for the three and six months ended March 31, 2012 totaled $19.3 million and $41.6 million and realized gains totaled $0.1 million and $0.4 million, respectively. The increase in realized gains was driven by a higher volume of sales and early repayments than the comparable periods in the prior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For the three and six months ended March 31, 2013, we reported unrealized appreciation on investments of $0.4 million and $0.1 million, respectively. For the three and six months ended March 31, 2012, we reported unrealized appreciation on investments of $3.0 million and $4.1 million, respectively. As of March 31, 2013 and September 30, 2012, net unrealized appreciation on investments totaled $0.3 million and $0.3 million, respectively. The decrease in unrealized appreciation for current periods compared to prior periods was the result of the reversal of unrealized gains upon exiting our investments and changes in market values.</w:t>
      </w:r>
    </w:p>
    <w:p>
      <w:pPr>
        <w:spacing w:after="0" w:line="147"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For the three and six months ended March 31, 2013, our long-term Credit Facility had a change in unrealized (appreciation) of zero and $(0.4) million, respectively. For the three and six months ended March 31, 2012, our long-term Credit Facility had a change in unrealized (appreciation) depreciation of $(0.1) million and $0.2 million, respectively. As of March 31, 2013 and September 30, 2012, net unrealized depreciation on our long-term Credit Facility totaled zero and $0.4 million, respectively. The change in unrealized appreciation for current periods compared to prior periods was the result of changes in the leveraged credit markets.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jc w:val="both"/>
        <w:ind w:right="160" w:firstLine="898"/>
        <w:spacing w:after="0" w:line="298" w:lineRule="auto"/>
        <w:rPr>
          <w:sz w:val="20"/>
          <w:szCs w:val="20"/>
          <w:color w:val="auto"/>
        </w:rPr>
      </w:pPr>
      <w:r>
        <w:rPr>
          <w:rFonts w:ascii="Arial" w:cs="Arial" w:eastAsia="Arial" w:hAnsi="Arial"/>
          <w:sz w:val="16"/>
          <w:szCs w:val="16"/>
          <w:color w:val="auto"/>
        </w:rPr>
        <w:t>Net increase in net assets resulting from operations totaled $3.2 million and $5.0 million, or $0.45 and $0.72 per share, respectively, for the three and six months ended March 31, 2013. This compares to a net increase in net assets resulting from operations which totaled $4.5 million and $7.6 million, or $0.66 and $1.12 per share, respectively, for the three and six months ended March 31, 2012. The decrease in net assets resulting from operations compared to last year was due to changes in fair value of our investments due to changes in the market values of our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On March 29, 2013, we amended Funding I’s Credit Facility with SunTrust Bank, or the Lender, to expand the size of its Credit Facility from $100 million to $125 million, subject to satisfaction of certain conditions and the regulatory restrictions that the 1940 Act imposes on us as a BDC, to reduce the interest rate spread above LIBOR from 225 to 200 basis points, to reduce the undrawn commitment fee and to extend the maturity date to May 2018 and the revolving period (as defined below) to May 2016. As of March 31, 2013 and September 30, 2012, Funding I had $34.2 million and $75.5 million of outstanding borrowings under the Credit Facility, respectively, and carried an interest rate of 2.21% and 2.47%, respectively, excluding the 0.375% undrawn commitment fee.</w:t>
      </w:r>
    </w:p>
    <w:p>
      <w:pPr>
        <w:spacing w:after="0" w:line="144" w:lineRule="exact"/>
        <w:rPr>
          <w:sz w:val="20"/>
          <w:szCs w:val="20"/>
          <w:color w:val="auto"/>
        </w:rPr>
      </w:pPr>
    </w:p>
    <w:p>
      <w:pPr>
        <w:ind w:right="20" w:firstLine="898"/>
        <w:spacing w:after="0" w:line="298" w:lineRule="auto"/>
        <w:rPr>
          <w:sz w:val="20"/>
          <w:szCs w:val="20"/>
          <w:color w:val="auto"/>
        </w:rPr>
      </w:pPr>
      <w:r>
        <w:rPr>
          <w:rFonts w:ascii="Arial" w:cs="Arial" w:eastAsia="Arial" w:hAnsi="Arial"/>
          <w:sz w:val="16"/>
          <w:szCs w:val="16"/>
          <w:color w:val="auto"/>
        </w:rPr>
        <w:t>During the period to and including May 14,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2" w:lineRule="exact"/>
        <w:rPr>
          <w:sz w:val="20"/>
          <w:szCs w:val="20"/>
          <w:color w:val="auto"/>
        </w:rPr>
      </w:pPr>
    </w:p>
    <w:p>
      <w:pPr>
        <w:ind w:right="60" w:firstLine="898"/>
        <w:spacing w:after="0" w:line="291" w:lineRule="auto"/>
        <w:rPr>
          <w:sz w:val="20"/>
          <w:szCs w:val="20"/>
          <w:color w:val="auto"/>
        </w:rPr>
      </w:pPr>
      <w:r>
        <w:rPr>
          <w:rFonts w:ascii="Arial" w:cs="Arial" w:eastAsia="Arial" w:hAnsi="Arial"/>
          <w:sz w:val="16"/>
          <w:szCs w:val="16"/>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a complete list of such covenants see the amended and restated revolving credit and security agreement filed as an exhibit to Form 10-Q filed on August 9, 2012. As of March 31, 2013, we were in compliance with the covenants relating to our Credit Facility.</w:t>
      </w:r>
    </w:p>
    <w:p>
      <w:pPr>
        <w:spacing w:after="0" w:line="120" w:lineRule="exact"/>
        <w:rPr>
          <w:sz w:val="20"/>
          <w:szCs w:val="20"/>
          <w:color w:val="auto"/>
        </w:rPr>
      </w:pPr>
    </w:p>
    <w:p>
      <w:pPr>
        <w:ind w:right="240" w:firstLine="898"/>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0" w:lineRule="exact"/>
        <w:rPr>
          <w:sz w:val="20"/>
          <w:szCs w:val="20"/>
          <w:color w:val="auto"/>
        </w:rPr>
      </w:pPr>
    </w:p>
    <w:p>
      <w:pPr>
        <w:ind w:right="60" w:firstLine="898"/>
        <w:spacing w:after="0" w:line="291"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all management fee owed with respect to such services are to be paid to the Company so long as the Investment Adviser remains the collateral manager.</w:t>
      </w:r>
    </w:p>
    <w:p>
      <w:pPr>
        <w:spacing w:after="0" w:line="120" w:lineRule="exact"/>
        <w:rPr>
          <w:sz w:val="20"/>
          <w:szCs w:val="20"/>
          <w:color w:val="auto"/>
        </w:rPr>
      </w:pPr>
    </w:p>
    <w:p>
      <w:pPr>
        <w:ind w:right="380" w:firstLine="898"/>
        <w:spacing w:after="0" w:line="291" w:lineRule="auto"/>
        <w:rPr>
          <w:sz w:val="20"/>
          <w:szCs w:val="20"/>
          <w:color w:val="auto"/>
        </w:rPr>
      </w:pPr>
      <w:r>
        <w:rPr>
          <w:rFonts w:ascii="Arial" w:cs="Arial" w:eastAsia="Arial" w:hAnsi="Arial"/>
          <w:sz w:val="16"/>
          <w:szCs w:val="16"/>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 On March 26, 2013, we completed a follow-on public offering of 3,000,000 shares of common stock at a public offering price of $14.00 per share for gross proceeds of $42.0 million and net proceeds of $41.6 million after offering expenses. Our Investment Adviser paid the entire sales load of $1.3 million in connection with this offering.</w:t>
      </w:r>
    </w:p>
    <w:p>
      <w:pPr>
        <w:spacing w:after="0" w:line="120" w:lineRule="exact"/>
        <w:rPr>
          <w:sz w:val="20"/>
          <w:szCs w:val="20"/>
          <w:color w:val="auto"/>
        </w:rPr>
      </w:pPr>
    </w:p>
    <w:p>
      <w:pPr>
        <w:ind w:right="200" w:firstLine="898"/>
        <w:spacing w:after="0" w:line="268" w:lineRule="auto"/>
        <w:rPr>
          <w:sz w:val="20"/>
          <w:szCs w:val="20"/>
          <w:color w:val="auto"/>
        </w:rPr>
      </w:pPr>
      <w:r>
        <w:rPr>
          <w:rFonts w:ascii="Arial" w:cs="Arial" w:eastAsia="Arial" w:hAnsi="Arial"/>
          <w:sz w:val="18"/>
          <w:szCs w:val="18"/>
          <w:color w:val="auto"/>
        </w:rPr>
        <w:t>At March 31, 2013, we had cash equivalents of $2.7 million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160" w:firstLine="898"/>
        <w:spacing w:after="0" w:line="306" w:lineRule="auto"/>
        <w:rPr>
          <w:sz w:val="20"/>
          <w:szCs w:val="20"/>
          <w:color w:val="auto"/>
        </w:rPr>
      </w:pPr>
      <w:r>
        <w:rPr>
          <w:rFonts w:ascii="Arial" w:cs="Arial" w:eastAsia="Arial" w:hAnsi="Arial"/>
          <w:sz w:val="16"/>
          <w:szCs w:val="16"/>
          <w:color w:val="auto"/>
        </w:rPr>
        <w:t>Our operating activities provided cash of $4.0 million for the six months ended March 31, 2013, and our financing activities used cash of $5.1 million for the same period. Our operating activities provided cash primarily from our investment activity that offset our financing activities, which used cash primarily to pay the deferred sales load and net repayments under the Credit Facility that was partially financed by the proceeds of our offering.</w:t>
      </w:r>
    </w:p>
    <w:p>
      <w:pPr>
        <w:spacing w:after="0" w:line="106" w:lineRule="exact"/>
        <w:rPr>
          <w:sz w:val="20"/>
          <w:szCs w:val="20"/>
          <w:color w:val="auto"/>
        </w:rPr>
      </w:pPr>
    </w:p>
    <w:p>
      <w:pPr>
        <w:jc w:val="both"/>
        <w:ind w:right="180" w:firstLine="898"/>
        <w:spacing w:after="0" w:line="331" w:lineRule="auto"/>
        <w:rPr>
          <w:sz w:val="20"/>
          <w:szCs w:val="20"/>
          <w:color w:val="auto"/>
        </w:rPr>
      </w:pPr>
      <w:r>
        <w:rPr>
          <w:rFonts w:ascii="Arial" w:cs="Arial" w:eastAsia="Arial" w:hAnsi="Arial"/>
          <w:sz w:val="16"/>
          <w:szCs w:val="16"/>
          <w:color w:val="auto"/>
        </w:rPr>
        <w:t>Our operating activities used cash of $23.3 million for the six months ended March 31, 2012, and our financing activities provided cash of $20.2 million for the same period. Our operating activities used cash primarily for our investment activity that was financed by net draws under the Credit Facility.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320" w:firstLine="898"/>
        <w:spacing w:after="0" w:line="268" w:lineRule="auto"/>
        <w:rPr>
          <w:sz w:val="20"/>
          <w:szCs w:val="20"/>
          <w:color w:val="auto"/>
        </w:rPr>
      </w:pPr>
      <w:r>
        <w:rPr>
          <w:rFonts w:ascii="Arial" w:cs="Arial" w:eastAsia="Arial" w:hAnsi="Arial"/>
          <w:sz w:val="18"/>
          <w:szCs w:val="18"/>
          <w:color w:val="auto"/>
        </w:rPr>
        <w:t>A summary of our significant contractual payment obligations as of March 31, 2013, including borrowings under our Credit Facility and other contractual obligations,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9"/>
          </w:tcPr>
          <w:p>
            <w:pPr>
              <w:jc w:val="center"/>
              <w:spacing w:after="0"/>
              <w:rPr>
                <w:sz w:val="20"/>
                <w:szCs w:val="20"/>
                <w:color w:val="auto"/>
              </w:rPr>
            </w:pPr>
            <w:r>
              <w:rPr>
                <w:rFonts w:ascii="Arial" w:cs="Arial" w:eastAsia="Arial" w:hAnsi="Arial"/>
                <w:sz w:val="13"/>
                <w:szCs w:val="13"/>
                <w:b w:val="1"/>
                <w:bCs w:val="1"/>
                <w:color w:val="auto"/>
                <w:w w:val="93"/>
              </w:rPr>
              <w:t>Payments due by period (millions)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4"/>
          </w:tcPr>
          <w:p>
            <w:pPr>
              <w:spacing w:after="0" w:line="129" w:lineRule="exact"/>
              <w:rPr>
                <w:sz w:val="20"/>
                <w:szCs w:val="20"/>
                <w:color w:val="auto"/>
              </w:rPr>
            </w:pPr>
            <w:r>
              <w:rPr>
                <w:rFonts w:ascii="Arial" w:cs="Arial" w:eastAsia="Arial" w:hAnsi="Arial"/>
                <w:sz w:val="13"/>
                <w:szCs w:val="13"/>
                <w:b w:val="1"/>
                <w:bCs w:val="1"/>
                <w:color w:val="auto"/>
              </w:rPr>
              <w:t>Less than</w:t>
            </w:r>
          </w:p>
        </w:tc>
        <w:tc>
          <w:tcPr>
            <w:tcW w:w="480" w:type="dxa"/>
            <w:vAlign w:val="bottom"/>
          </w:tcPr>
          <w:p>
            <w:pPr>
              <w:jc w:val="center"/>
              <w:ind w:right="66"/>
              <w:spacing w:after="0" w:line="129" w:lineRule="exact"/>
              <w:rPr>
                <w:sz w:val="20"/>
                <w:szCs w:val="20"/>
                <w:color w:val="auto"/>
              </w:rPr>
            </w:pPr>
            <w:r>
              <w:rPr>
                <w:rFonts w:ascii="Arial" w:cs="Arial" w:eastAsia="Arial" w:hAnsi="Arial"/>
                <w:sz w:val="13"/>
                <w:szCs w:val="13"/>
                <w:b w:val="1"/>
                <w:bCs w:val="1"/>
                <w:color w:val="auto"/>
                <w:w w:val="95"/>
              </w:rPr>
              <w:t>1-3</w:t>
            </w:r>
          </w:p>
        </w:tc>
        <w:tc>
          <w:tcPr>
            <w:tcW w:w="80" w:type="dxa"/>
            <w:vAlign w:val="bottom"/>
          </w:tcPr>
          <w:p>
            <w:pPr>
              <w:spacing w:after="0"/>
              <w:rPr>
                <w:sz w:val="11"/>
                <w:szCs w:val="11"/>
                <w:color w:val="auto"/>
              </w:rPr>
            </w:pPr>
          </w:p>
        </w:tc>
        <w:tc>
          <w:tcPr>
            <w:tcW w:w="500" w:type="dxa"/>
            <w:vAlign w:val="bottom"/>
            <w:gridSpan w:val="2"/>
          </w:tcPr>
          <w:p>
            <w:pPr>
              <w:jc w:val="right"/>
              <w:ind w:right="42"/>
              <w:spacing w:after="0" w:line="129" w:lineRule="exact"/>
              <w:rPr>
                <w:sz w:val="20"/>
                <w:szCs w:val="20"/>
                <w:color w:val="auto"/>
              </w:rPr>
            </w:pPr>
            <w:r>
              <w:rPr>
                <w:rFonts w:ascii="Arial" w:cs="Arial" w:eastAsia="Arial" w:hAnsi="Arial"/>
                <w:sz w:val="13"/>
                <w:szCs w:val="13"/>
                <w:b w:val="1"/>
                <w:bCs w:val="1"/>
                <w:color w:val="auto"/>
              </w:rPr>
              <w:t>3-5</w:t>
            </w:r>
          </w:p>
        </w:tc>
        <w:tc>
          <w:tcPr>
            <w:tcW w:w="1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6"/>
              </w:rPr>
              <w:t>More than</w:t>
            </w:r>
          </w:p>
        </w:tc>
        <w:tc>
          <w:tcPr>
            <w:tcW w:w="100" w:type="dxa"/>
            <w:vAlign w:val="bottom"/>
          </w:tcPr>
          <w:p>
            <w:pPr>
              <w:spacing w:after="0"/>
              <w:rPr>
                <w:sz w:val="11"/>
                <w:szCs w:val="11"/>
                <w:color w:val="auto"/>
              </w:rPr>
            </w:pPr>
          </w:p>
        </w:tc>
      </w:tr>
      <w:tr>
        <w:trPr>
          <w:trHeight w:val="161"/>
        </w:trPr>
        <w:tc>
          <w:tcPr>
            <w:tcW w:w="50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343"/>
              <w:spacing w:after="0"/>
              <w:rPr>
                <w:sz w:val="20"/>
                <w:szCs w:val="20"/>
                <w:color w:val="auto"/>
              </w:rPr>
            </w:pPr>
            <w:r>
              <w:rPr>
                <w:rFonts w:ascii="Arial" w:cs="Arial" w:eastAsia="Arial" w:hAnsi="Arial"/>
                <w:sz w:val="13"/>
                <w:szCs w:val="13"/>
                <w:b w:val="1"/>
                <w:bCs w:val="1"/>
                <w:color w:val="auto"/>
                <w:w w:val="90"/>
              </w:rPr>
              <w:t>1 year</w:t>
            </w:r>
          </w:p>
        </w:tc>
        <w:tc>
          <w:tcPr>
            <w:tcW w:w="5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years</w:t>
            </w:r>
          </w:p>
        </w:tc>
        <w:tc>
          <w:tcPr>
            <w:tcW w:w="10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years</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5 years</w:t>
            </w:r>
          </w:p>
        </w:tc>
      </w:tr>
      <w:tr>
        <w:trPr>
          <w:trHeight w:val="209"/>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898"/>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re-approved by our board of directors, including a majority of our independent directors, in February 2013,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2" w:lineRule="exact"/>
        <w:rPr>
          <w:sz w:val="20"/>
          <w:szCs w:val="20"/>
          <w:color w:val="auto"/>
        </w:rPr>
      </w:pPr>
    </w:p>
    <w:p>
      <w:pPr>
        <w:ind w:right="100" w:firstLine="898"/>
        <w:spacing w:after="0" w:line="254"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independent directors, in February 2013,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44" w:lineRule="exact"/>
        <w:rPr>
          <w:sz w:val="20"/>
          <w:szCs w:val="20"/>
          <w:color w:val="auto"/>
        </w:rPr>
      </w:pPr>
    </w:p>
    <w:p>
      <w:pPr>
        <w:jc w:val="both"/>
        <w:ind w:right="80" w:firstLine="898"/>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88" w:lineRule="exact"/>
        <w:rPr>
          <w:sz w:val="20"/>
          <w:szCs w:val="20"/>
          <w:color w:val="auto"/>
        </w:rPr>
      </w:pPr>
    </w:p>
    <w:p>
      <w:pPr>
        <w:ind w:right="60" w:firstLine="898"/>
        <w:spacing w:after="0" w:line="291"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purchased shares of our common stock in the secondary market.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40" w:firstLine="898"/>
        <w:spacing w:after="0" w:line="291" w:lineRule="auto"/>
        <w:rPr>
          <w:sz w:val="20"/>
          <w:szCs w:val="20"/>
          <w:color w:val="auto"/>
        </w:rPr>
      </w:pPr>
      <w:r>
        <w:rPr>
          <w:rFonts w:ascii="Arial" w:cs="Arial" w:eastAsia="Arial" w:hAnsi="Arial"/>
          <w:sz w:val="16"/>
          <w:szCs w:val="16"/>
          <w:color w:val="auto"/>
        </w:rPr>
        <w:t>During the three and six months ended March 31, 2013, we declared to stockholders distributions of $0.255 and $0.503 per share, for total distributions of $1.7 million and $3.4 million, respectively. For the same periods in the prior year, we declared distributions of $0.225 and $0.435 per share, respectively, for total distributions of $1.5 million and $3.0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20" w:lineRule="exact"/>
        <w:rPr>
          <w:sz w:val="20"/>
          <w:szCs w:val="20"/>
          <w:color w:val="auto"/>
        </w:rPr>
      </w:pPr>
    </w:p>
    <w:p>
      <w:pPr>
        <w:ind w:right="260" w:firstLine="898"/>
        <w:spacing w:after="0" w:line="268" w:lineRule="auto"/>
        <w:rPr>
          <w:sz w:val="20"/>
          <w:szCs w:val="20"/>
          <w:color w:val="auto"/>
        </w:rPr>
      </w:pPr>
      <w:r>
        <w:rPr>
          <w:rFonts w:ascii="Arial" w:cs="Arial" w:eastAsia="Arial" w:hAnsi="Arial"/>
          <w:sz w:val="18"/>
          <w:szCs w:val="18"/>
          <w:color w:val="auto"/>
        </w:rPr>
        <w:t>We intend to continue to distribute monthly distributions to our stockholders. Our monthly distributions, if any, are determined by our board of directors quarterly.</w:t>
      </w:r>
    </w:p>
    <w:p>
      <w:pPr>
        <w:spacing w:after="0" w:line="132" w:lineRule="exact"/>
        <w:rPr>
          <w:sz w:val="20"/>
          <w:szCs w:val="20"/>
          <w:color w:val="auto"/>
        </w:rPr>
      </w:pPr>
    </w:p>
    <w:p>
      <w:pPr>
        <w:jc w:val="both"/>
        <w:ind w:right="60" w:firstLine="898"/>
        <w:spacing w:after="0" w:line="306" w:lineRule="auto"/>
        <w:rPr>
          <w:sz w:val="20"/>
          <w:szCs w:val="20"/>
          <w:color w:val="auto"/>
        </w:rPr>
      </w:pPr>
      <w:r>
        <w:rPr>
          <w:rFonts w:ascii="Arial" w:cs="Arial" w:eastAsia="Arial" w:hAnsi="Arial"/>
          <w:sz w:val="16"/>
          <w:szCs w:val="16"/>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We cannot assure stockholders that they will receive any dividends and distributions at a particular level.</w:t>
      </w:r>
    </w:p>
    <w:p>
      <w:pPr>
        <w:spacing w:after="0" w:line="106"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220" w:firstLine="898"/>
        <w:spacing w:after="0" w:line="259" w:lineRule="auto"/>
        <w:rPr>
          <w:sz w:val="20"/>
          <w:szCs w:val="20"/>
          <w:color w:val="auto"/>
        </w:rPr>
      </w:pPr>
      <w:r>
        <w:rPr>
          <w:rFonts w:ascii="Arial" w:cs="Arial" w:eastAsia="Arial" w:hAnsi="Arial"/>
          <w:sz w:val="18"/>
          <w:szCs w:val="18"/>
          <w:color w:val="auto"/>
        </w:rPr>
        <w:t>On April 8, 2013, we sold an additional 450,000 shares of common stock pursuant to the exercise of the underwriters’ overallotment option at a public offering price of $14.00 per share, generating gross proceeds of $6.3 million. Our Investment Adviser paid the entire sales load of $0.2 million in connection with the sale of these shares.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March 31, 2013, our debt portfolio consisted of 88% variable-rate investments (including 83% with a LIBOR or prime floor) and 12%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20"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144" w:lineRule="exact"/>
        <w:rPr>
          <w:sz w:val="20"/>
          <w:szCs w:val="20"/>
          <w:color w:val="auto"/>
        </w:rPr>
      </w:pPr>
    </w:p>
    <w:p>
      <w:pPr>
        <w:ind w:firstLine="898"/>
        <w:spacing w:after="0" w:line="306" w:lineRule="auto"/>
        <w:rPr>
          <w:sz w:val="20"/>
          <w:szCs w:val="20"/>
          <w:color w:val="auto"/>
        </w:rPr>
      </w:pPr>
      <w:r>
        <w:rPr>
          <w:rFonts w:ascii="Arial" w:cs="Arial" w:eastAsia="Arial" w:hAnsi="Arial"/>
          <w:sz w:val="16"/>
          <w:szCs w:val="16"/>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06"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898"/>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9" w:lineRule="exact"/>
        <w:rPr>
          <w:sz w:val="20"/>
          <w:szCs w:val="20"/>
          <w:color w:val="auto"/>
        </w:rPr>
      </w:pPr>
    </w:p>
    <w:p>
      <w:pPr>
        <w:ind w:right="480" w:firstLine="898"/>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March 31, 2013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20" w:firstLine="898"/>
        <w:spacing w:after="0" w:line="294" w:lineRule="auto"/>
        <w:rPr>
          <w:sz w:val="20"/>
          <w:szCs w:val="20"/>
          <w:color w:val="auto"/>
        </w:rPr>
      </w:pPr>
      <w:r>
        <w:rPr>
          <w:rFonts w:ascii="Arial" w:cs="Arial" w:eastAsia="Arial" w:hAnsi="Arial"/>
          <w:sz w:val="16"/>
          <w:szCs w:val="16"/>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7"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net asset value and the trading price of our common stock, or any securities we may issue, could decline, and you may lose all or part of your investment.</w:t>
      </w:r>
    </w:p>
    <w:p>
      <w:pPr>
        <w:spacing w:after="0" w:line="120"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 and adverse effect on debt and equity capital markets in the United States, which could have a materially negative impact on our business, financial condition and results of operations.</w:t>
      </w:r>
    </w:p>
    <w:p>
      <w:pPr>
        <w:spacing w:after="0" w:line="140"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again or materially worsen in the future, including as a result of the U.S. government spending cuts that took effect March 1, 2013. We may in the future have difficulty accessing debt and equity capital, and a severe disruption and instability in the global financial markets or deterioration in credit and financing conditions could have a material adverse effect on our business, financial condition and results of operations.</w:t>
      </w:r>
    </w:p>
    <w:p>
      <w:pPr>
        <w:spacing w:after="0" w:line="144" w:lineRule="exact"/>
        <w:rPr>
          <w:sz w:val="20"/>
          <w:szCs w:val="20"/>
          <w:color w:val="auto"/>
        </w:rPr>
      </w:pPr>
    </w:p>
    <w:p>
      <w:pPr>
        <w:ind w:right="440" w:firstLine="898"/>
        <w:spacing w:after="0" w:line="259" w:lineRule="auto"/>
        <w:rPr>
          <w:sz w:val="20"/>
          <w:szCs w:val="20"/>
          <w:color w:val="auto"/>
        </w:rPr>
      </w:pPr>
      <w:r>
        <w:rPr>
          <w:rFonts w:ascii="Arial" w:cs="Arial" w:eastAsia="Arial" w:hAnsi="Arial"/>
          <w:sz w:val="18"/>
          <w:szCs w:val="18"/>
          <w:color w:val="auto"/>
        </w:rPr>
        <w:t>In addition to the risk factor above and other information set forth in this Report, you should consider carefully the factors discussed in Part I “Item 1A. Risk Factors” in our Annual Report on Form 10-K for the fiscal year ended September 30, 2012, which could materially affect our business, financial condition and/or operating results.</w:t>
      </w:r>
    </w:p>
    <w:p>
      <w:pPr>
        <w:spacing w:after="0" w:line="25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198" w:lineRule="exact"/>
        <w:rPr>
          <w:sz w:val="20"/>
          <w:szCs w:val="20"/>
          <w:color w:val="auto"/>
        </w:rPr>
      </w:pPr>
    </w:p>
    <w:p>
      <w:pPr>
        <w:ind w:left="880" w:right="240" w:hanging="789"/>
        <w:spacing w:after="0" w:line="268" w:lineRule="auto"/>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Amendment and Restatement of the Registrant (Incorporated by reference to the Registrant’s Pre-Effective Amendment No. 3 to the Registration Statement on Form N-2 (File No. 333-170243), filed on March 29, 2011).</w:t>
      </w:r>
    </w:p>
    <w:p>
      <w:pPr>
        <w:spacing w:after="0" w:line="78"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of the Registrant (Incorporated by reference to the Registrant’s Quarterly Report on Form 10-Q (File No. 814-</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00891), filed on May 3, 2012).</w:t>
      </w:r>
    </w:p>
    <w:p>
      <w:pPr>
        <w:spacing w:after="0" w:line="111"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the Registrant’s Pre-Effective Amendment No. 5 to the Registration Statement on Form 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 (File No. 333-170243), filed on April 5, 2011).</w:t>
      </w:r>
    </w:p>
    <w:p>
      <w:pPr>
        <w:spacing w:after="0" w:line="111" w:lineRule="exact"/>
        <w:rPr>
          <w:sz w:val="20"/>
          <w:szCs w:val="20"/>
          <w:color w:val="auto"/>
        </w:rPr>
      </w:pPr>
    </w:p>
    <w:p>
      <w:pPr>
        <w:ind w:left="880" w:right="20" w:hanging="876"/>
        <w:spacing w:after="0" w:line="335" w:lineRule="auto"/>
        <w:tabs>
          <w:tab w:leader="none" w:pos="86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5"/>
          <w:szCs w:val="15"/>
          <w:color w:val="auto"/>
        </w:rPr>
        <w:t>Third Amendment to Amended and Restated Revolving Credit and Security Agreement, dated as of March 29, 2013, among PennantPark Floating Rate Funding I, LLC, as borrower, PennantPark Investment Advisers LLC, as collateral manager, the lenders from time to time parties thereto, SunTrust Bank, as administrative agent and U.S. Bank National Association, as collateral agent, as backup collateral manager and as custodian.</w:t>
      </w:r>
    </w:p>
    <w:p>
      <w:pPr>
        <w:spacing w:after="0" w:line="34" w:lineRule="exact"/>
        <w:rPr>
          <w:sz w:val="20"/>
          <w:szCs w:val="20"/>
          <w:color w:val="auto"/>
        </w:rPr>
      </w:pPr>
    </w:p>
    <w:p>
      <w:pPr>
        <w:ind w:left="880" w:hanging="87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Consolidated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880" w:right="540" w:hanging="876"/>
        <w:spacing w:after="0" w:line="268"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45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spacing w:after="0"/>
        <w:tabs>
          <w:tab w:leader="none" w:pos="5380" w:val="left"/>
          <w:tab w:leader="none" w:pos="7700" w:val="left"/>
          <w:tab w:leader="none" w:pos="804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6"/>
          <w:szCs w:val="16"/>
          <w:b w:val="1"/>
          <w:bCs w:val="1"/>
          <w:color w:val="auto"/>
        </w:rPr>
        <w:t>Chairman of the Board of Directors and Chief Executive Officer</w:t>
      </w:r>
    </w:p>
    <w:p>
      <w:pPr>
        <w:spacing w:after="0" w:line="3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Executive Officer)</w:t>
      </w:r>
    </w:p>
    <w:p>
      <w:pPr>
        <w:spacing w:after="0" w:line="232" w:lineRule="exact"/>
        <w:rPr>
          <w:sz w:val="20"/>
          <w:szCs w:val="20"/>
          <w:color w:val="auto"/>
        </w:rPr>
      </w:pPr>
    </w:p>
    <w:p>
      <w:pPr>
        <w:spacing w:after="0"/>
        <w:tabs>
          <w:tab w:leader="none" w:pos="5380" w:val="left"/>
          <w:tab w:leader="none" w:pos="7880" w:val="left"/>
          <w:tab w:leader="none" w:pos="820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Aviv Efrat</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16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HIS</w:t>
      </w:r>
      <w:r>
        <w:rPr>
          <w:rFonts w:ascii="Arial" w:cs="Arial" w:eastAsia="Arial" w:hAnsi="Arial"/>
          <w:sz w:val="18"/>
          <w:szCs w:val="18"/>
          <w:color w:val="auto"/>
        </w:rPr>
        <w:t xml:space="preserve"> T</w:t>
      </w:r>
      <w:r>
        <w:rPr>
          <w:rFonts w:ascii="Arial" w:cs="Arial" w:eastAsia="Arial" w:hAnsi="Arial"/>
          <w:sz w:val="14"/>
          <w:szCs w:val="14"/>
          <w:color w:val="auto"/>
        </w:rPr>
        <w:t>HIRD</w:t>
      </w:r>
      <w:r>
        <w:rPr>
          <w:rFonts w:ascii="Arial" w:cs="Arial" w:eastAsia="Arial" w:hAnsi="Arial"/>
          <w:sz w:val="18"/>
          <w:szCs w:val="18"/>
          <w:color w:val="auto"/>
        </w:rPr>
        <w:t xml:space="preserve"> A</w:t>
      </w:r>
      <w:r>
        <w:rPr>
          <w:rFonts w:ascii="Arial" w:cs="Arial" w:eastAsia="Arial" w:hAnsi="Arial"/>
          <w:sz w:val="14"/>
          <w:szCs w:val="14"/>
          <w:color w:val="auto"/>
        </w:rPr>
        <w:t>MENDMENT TO</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 AND</w:t>
      </w:r>
      <w:r>
        <w:rPr>
          <w:rFonts w:ascii="Arial" w:cs="Arial" w:eastAsia="Arial" w:hAnsi="Arial"/>
          <w:sz w:val="18"/>
          <w:szCs w:val="18"/>
          <w:color w:val="auto"/>
        </w:rPr>
        <w:t xml:space="preserve"> 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dated as of March 29, 2013 (the</w:t>
      </w:r>
    </w:p>
    <w:p>
      <w:pPr>
        <w:spacing w:after="0" w:line="1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“Amendment”</w:t>
      </w:r>
      <w:r>
        <w:rPr>
          <w:rFonts w:ascii="Arial" w:cs="Arial" w:eastAsia="Arial" w:hAnsi="Arial"/>
          <w:sz w:val="16"/>
          <w:szCs w:val="16"/>
          <w:color w:val="auto"/>
        </w:rPr>
        <w:t>), is made pursuant to that certain Amended and Restated Revolving Credit and Security Agreement dated as of May 14, 2012 (as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restated, modified or supplemented from time to time, the </w:t>
      </w:r>
      <w:r>
        <w:rPr>
          <w:rFonts w:ascii="Arial" w:cs="Arial" w:eastAsia="Arial" w:hAnsi="Arial"/>
          <w:sz w:val="16"/>
          <w:szCs w:val="16"/>
          <w:i w:val="1"/>
          <w:iCs w:val="1"/>
          <w:color w:val="auto"/>
        </w:rPr>
        <w:t>“Agreement”</w:t>
      </w:r>
      <w:r>
        <w:rPr>
          <w:rFonts w:ascii="Arial" w:cs="Arial" w:eastAsia="Arial" w:hAnsi="Arial"/>
          <w:sz w:val="16"/>
          <w:szCs w:val="16"/>
          <w:color w:val="auto"/>
        </w:rPr>
        <w:t>), among P</w:t>
      </w:r>
      <w:r>
        <w:rPr>
          <w:rFonts w:ascii="Arial" w:cs="Arial" w:eastAsia="Arial" w:hAnsi="Arial"/>
          <w:sz w:val="13"/>
          <w:szCs w:val="13"/>
          <w:color w:val="auto"/>
        </w:rPr>
        <w:t>ENNANT</w:t>
      </w:r>
      <w:r>
        <w:rPr>
          <w:rFonts w:ascii="Arial" w:cs="Arial" w:eastAsia="Arial" w:hAnsi="Arial"/>
          <w:sz w:val="16"/>
          <w:szCs w:val="16"/>
          <w:color w:val="auto"/>
        </w:rPr>
        <w:t>P</w:t>
      </w:r>
      <w:r>
        <w:rPr>
          <w:rFonts w:ascii="Arial" w:cs="Arial" w:eastAsia="Arial" w:hAnsi="Arial"/>
          <w:sz w:val="13"/>
          <w:szCs w:val="13"/>
          <w:color w:val="auto"/>
        </w:rPr>
        <w:t>ARK</w:t>
      </w:r>
      <w:r>
        <w:rPr>
          <w:rFonts w:ascii="Arial" w:cs="Arial" w:eastAsia="Arial" w:hAnsi="Arial"/>
          <w:sz w:val="16"/>
          <w:szCs w:val="16"/>
          <w:color w:val="auto"/>
        </w:rPr>
        <w:t xml:space="preserve"> F</w:t>
      </w:r>
      <w:r>
        <w:rPr>
          <w:rFonts w:ascii="Arial" w:cs="Arial" w:eastAsia="Arial" w:hAnsi="Arial"/>
          <w:sz w:val="13"/>
          <w:szCs w:val="13"/>
          <w:color w:val="auto"/>
        </w:rPr>
        <w:t>LOATING</w:t>
      </w:r>
      <w:r>
        <w:rPr>
          <w:rFonts w:ascii="Arial" w:cs="Arial" w:eastAsia="Arial" w:hAnsi="Arial"/>
          <w:sz w:val="16"/>
          <w:szCs w:val="16"/>
          <w:color w:val="auto"/>
        </w:rPr>
        <w:t xml:space="preserve"> R</w:t>
      </w:r>
      <w:r>
        <w:rPr>
          <w:rFonts w:ascii="Arial" w:cs="Arial" w:eastAsia="Arial" w:hAnsi="Arial"/>
          <w:sz w:val="13"/>
          <w:szCs w:val="13"/>
          <w:color w:val="auto"/>
        </w:rPr>
        <w:t>ATE</w:t>
      </w:r>
      <w:r>
        <w:rPr>
          <w:rFonts w:ascii="Arial" w:cs="Arial" w:eastAsia="Arial" w:hAnsi="Arial"/>
          <w:sz w:val="16"/>
          <w:szCs w:val="16"/>
          <w:color w:val="auto"/>
        </w:rPr>
        <w:t xml:space="preserve"> F</w:t>
      </w:r>
      <w:r>
        <w:rPr>
          <w:rFonts w:ascii="Arial" w:cs="Arial" w:eastAsia="Arial" w:hAnsi="Arial"/>
          <w:sz w:val="13"/>
          <w:szCs w:val="13"/>
          <w:color w:val="auto"/>
        </w:rPr>
        <w:t>UNDING</w:t>
      </w:r>
      <w:r>
        <w:rPr>
          <w:rFonts w:ascii="Arial" w:cs="Arial" w:eastAsia="Arial" w:hAnsi="Arial"/>
          <w:sz w:val="16"/>
          <w:szCs w:val="16"/>
          <w:color w:val="auto"/>
        </w:rPr>
        <w:t xml:space="preserve"> I, LLC, a Delaware limited liability company, as borrower (together with its permitted successors and assigns, the </w:t>
      </w:r>
      <w:r>
        <w:rPr>
          <w:rFonts w:ascii="Arial" w:cs="Arial" w:eastAsia="Arial" w:hAnsi="Arial"/>
          <w:sz w:val="16"/>
          <w:szCs w:val="16"/>
          <w:i w:val="1"/>
          <w:iCs w:val="1"/>
          <w:color w:val="auto"/>
        </w:rPr>
        <w:t>“Borrower”</w:t>
      </w:r>
      <w:r>
        <w:rPr>
          <w:rFonts w:ascii="Arial" w:cs="Arial" w:eastAsia="Arial" w:hAnsi="Arial"/>
          <w:sz w:val="16"/>
          <w:szCs w:val="16"/>
          <w:color w:val="auto"/>
        </w:rPr>
        <w:t>); P</w:t>
      </w:r>
      <w:r>
        <w:rPr>
          <w:rFonts w:ascii="Arial" w:cs="Arial" w:eastAsia="Arial" w:hAnsi="Arial"/>
          <w:sz w:val="13"/>
          <w:szCs w:val="13"/>
          <w:color w:val="auto"/>
        </w:rPr>
        <w:t>ENNANT</w:t>
      </w:r>
      <w:r>
        <w:rPr>
          <w:rFonts w:ascii="Arial" w:cs="Arial" w:eastAsia="Arial" w:hAnsi="Arial"/>
          <w:sz w:val="16"/>
          <w:szCs w:val="16"/>
          <w:color w:val="auto"/>
        </w:rPr>
        <w:t>P</w:t>
      </w:r>
      <w:r>
        <w:rPr>
          <w:rFonts w:ascii="Arial" w:cs="Arial" w:eastAsia="Arial" w:hAnsi="Arial"/>
          <w:sz w:val="13"/>
          <w:szCs w:val="13"/>
          <w:color w:val="auto"/>
        </w:rPr>
        <w:t>ARK</w:t>
      </w:r>
      <w:r>
        <w:rPr>
          <w:rFonts w:ascii="Arial" w:cs="Arial" w:eastAsia="Arial" w:hAnsi="Arial"/>
          <w:sz w:val="16"/>
          <w:szCs w:val="16"/>
          <w:color w:val="auto"/>
        </w:rPr>
        <w:t xml:space="preserve"> I</w:t>
      </w:r>
      <w:r>
        <w:rPr>
          <w:rFonts w:ascii="Arial" w:cs="Arial" w:eastAsia="Arial" w:hAnsi="Arial"/>
          <w:sz w:val="13"/>
          <w:szCs w:val="13"/>
          <w:color w:val="auto"/>
        </w:rPr>
        <w:t>NVESTMENT</w:t>
      </w:r>
      <w:r>
        <w:rPr>
          <w:rFonts w:ascii="Arial" w:cs="Arial" w:eastAsia="Arial" w:hAnsi="Arial"/>
          <w:sz w:val="16"/>
          <w:szCs w:val="16"/>
          <w:color w:val="auto"/>
        </w:rPr>
        <w:t xml:space="preserve"> A</w:t>
      </w:r>
      <w:r>
        <w:rPr>
          <w:rFonts w:ascii="Arial" w:cs="Arial" w:eastAsia="Arial" w:hAnsi="Arial"/>
          <w:sz w:val="13"/>
          <w:szCs w:val="13"/>
          <w:color w:val="auto"/>
        </w:rPr>
        <w:t>DVISERS</w:t>
      </w:r>
      <w:r>
        <w:rPr>
          <w:rFonts w:ascii="Arial" w:cs="Arial" w:eastAsia="Arial" w:hAnsi="Arial"/>
          <w:sz w:val="16"/>
          <w:szCs w:val="16"/>
          <w:color w:val="auto"/>
        </w:rPr>
        <w:t xml:space="preserve">, LLC, a Delaware limited liability company, as the collateral manager (together with its permitted successors and assigns, the </w:t>
      </w:r>
      <w:r>
        <w:rPr>
          <w:rFonts w:ascii="Arial" w:cs="Arial" w:eastAsia="Arial" w:hAnsi="Arial"/>
          <w:sz w:val="16"/>
          <w:szCs w:val="16"/>
          <w:i w:val="1"/>
          <w:iCs w:val="1"/>
          <w:color w:val="auto"/>
        </w:rPr>
        <w:t>“Collateral Manager”</w:t>
      </w:r>
      <w:r>
        <w:rPr>
          <w:rFonts w:ascii="Arial" w:cs="Arial" w:eastAsia="Arial" w:hAnsi="Arial"/>
          <w:sz w:val="16"/>
          <w:szCs w:val="16"/>
          <w:color w:val="auto"/>
        </w:rPr>
        <w:t>); the L</w:t>
      </w:r>
      <w:r>
        <w:rPr>
          <w:rFonts w:ascii="Arial" w:cs="Arial" w:eastAsia="Arial" w:hAnsi="Arial"/>
          <w:sz w:val="13"/>
          <w:szCs w:val="13"/>
          <w:color w:val="auto"/>
        </w:rPr>
        <w:t>ENDERS</w:t>
      </w:r>
      <w:r>
        <w:rPr>
          <w:rFonts w:ascii="Arial" w:cs="Arial" w:eastAsia="Arial" w:hAnsi="Arial"/>
          <w:sz w:val="16"/>
          <w:szCs w:val="16"/>
          <w:color w:val="auto"/>
        </w:rPr>
        <w:t xml:space="preserve"> from time to time party thereto; S</w:t>
      </w:r>
      <w:r>
        <w:rPr>
          <w:rFonts w:ascii="Arial" w:cs="Arial" w:eastAsia="Arial" w:hAnsi="Arial"/>
          <w:sz w:val="13"/>
          <w:szCs w:val="13"/>
          <w:color w:val="auto"/>
        </w:rPr>
        <w:t>UN</w:t>
      </w:r>
      <w:r>
        <w:rPr>
          <w:rFonts w:ascii="Arial" w:cs="Arial" w:eastAsia="Arial" w:hAnsi="Arial"/>
          <w:sz w:val="16"/>
          <w:szCs w:val="16"/>
          <w:color w:val="auto"/>
        </w:rPr>
        <w:t>T</w:t>
      </w:r>
      <w:r>
        <w:rPr>
          <w:rFonts w:ascii="Arial" w:cs="Arial" w:eastAsia="Arial" w:hAnsi="Arial"/>
          <w:sz w:val="13"/>
          <w:szCs w:val="13"/>
          <w:color w:val="auto"/>
        </w:rPr>
        <w:t>RUST</w:t>
      </w:r>
      <w:r>
        <w:rPr>
          <w:rFonts w:ascii="Arial" w:cs="Arial" w:eastAsia="Arial" w:hAnsi="Arial"/>
          <w:sz w:val="16"/>
          <w:szCs w:val="16"/>
          <w:color w:val="auto"/>
        </w:rPr>
        <w:t xml:space="preserve"> B</w:t>
      </w:r>
      <w:r>
        <w:rPr>
          <w:rFonts w:ascii="Arial" w:cs="Arial" w:eastAsia="Arial" w:hAnsi="Arial"/>
          <w:sz w:val="13"/>
          <w:szCs w:val="13"/>
          <w:color w:val="auto"/>
        </w:rPr>
        <w:t>ANK</w:t>
      </w:r>
      <w:r>
        <w:rPr>
          <w:rFonts w:ascii="Arial" w:cs="Arial" w:eastAsia="Arial" w:hAnsi="Arial"/>
          <w:sz w:val="16"/>
          <w:szCs w:val="16"/>
          <w:color w:val="auto"/>
        </w:rPr>
        <w:t xml:space="preserve"> (</w:t>
      </w:r>
      <w:r>
        <w:rPr>
          <w:rFonts w:ascii="Arial" w:cs="Arial" w:eastAsia="Arial" w:hAnsi="Arial"/>
          <w:sz w:val="16"/>
          <w:szCs w:val="16"/>
          <w:i w:val="1"/>
          <w:iCs w:val="1"/>
          <w:color w:val="auto"/>
        </w:rPr>
        <w:t>“SunTrust Bank”</w:t>
      </w:r>
      <w:r>
        <w:rPr>
          <w:rFonts w:ascii="Arial" w:cs="Arial" w:eastAsia="Arial" w:hAnsi="Arial"/>
          <w:sz w:val="16"/>
          <w:szCs w:val="16"/>
          <w:color w:val="auto"/>
        </w:rPr>
        <w:t xml:space="preserve">), as administrative agent for the Secured Parties (in such 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U.S. B</w:t>
      </w:r>
      <w:r>
        <w:rPr>
          <w:rFonts w:ascii="Arial" w:cs="Arial" w:eastAsia="Arial" w:hAnsi="Arial"/>
          <w:sz w:val="13"/>
          <w:szCs w:val="13"/>
          <w:color w:val="auto"/>
        </w:rPr>
        <w:t>ANK</w:t>
      </w:r>
      <w:r>
        <w:rPr>
          <w:rFonts w:ascii="Arial" w:cs="Arial" w:eastAsia="Arial" w:hAnsi="Arial"/>
          <w:sz w:val="16"/>
          <w:szCs w:val="16"/>
          <w:color w:val="auto"/>
        </w:rPr>
        <w:t xml:space="preserve"> N</w:t>
      </w:r>
      <w:r>
        <w:rPr>
          <w:rFonts w:ascii="Arial" w:cs="Arial" w:eastAsia="Arial" w:hAnsi="Arial"/>
          <w:sz w:val="13"/>
          <w:szCs w:val="13"/>
          <w:color w:val="auto"/>
        </w:rPr>
        <w:t>ATIONAL</w:t>
      </w:r>
      <w:r>
        <w:rPr>
          <w:rFonts w:ascii="Arial" w:cs="Arial" w:eastAsia="Arial" w:hAnsi="Arial"/>
          <w:sz w:val="16"/>
          <w:szCs w:val="16"/>
          <w:color w:val="auto"/>
        </w:rPr>
        <w:t xml:space="preserve"> A</w:t>
      </w:r>
      <w:r>
        <w:rPr>
          <w:rFonts w:ascii="Arial" w:cs="Arial" w:eastAsia="Arial" w:hAnsi="Arial"/>
          <w:sz w:val="13"/>
          <w:szCs w:val="13"/>
          <w:color w:val="auto"/>
        </w:rPr>
        <w:t>SSOCIATION</w:t>
      </w:r>
      <w:r>
        <w:rPr>
          <w:rFonts w:ascii="Arial" w:cs="Arial" w:eastAsia="Arial" w:hAnsi="Arial"/>
          <w:sz w:val="16"/>
          <w:szCs w:val="16"/>
          <w:color w:val="auto"/>
        </w:rPr>
        <w:t xml:space="preserve">, as collateral agent for the Secured Parties (in such capacity, together with its successors and assigns, the </w:t>
      </w:r>
      <w:r>
        <w:rPr>
          <w:rFonts w:ascii="Arial" w:cs="Arial" w:eastAsia="Arial" w:hAnsi="Arial"/>
          <w:sz w:val="16"/>
          <w:szCs w:val="16"/>
          <w:i w:val="1"/>
          <w:iCs w:val="1"/>
          <w:color w:val="auto"/>
        </w:rPr>
        <w:t>“Collateral Agent”</w:t>
      </w:r>
      <w:r>
        <w:rPr>
          <w:rFonts w:ascii="Arial" w:cs="Arial" w:eastAsia="Arial" w:hAnsi="Arial"/>
          <w:sz w:val="16"/>
          <w:szCs w:val="16"/>
          <w:color w:val="auto"/>
        </w:rPr>
        <w:t>); U.S. B</w:t>
      </w:r>
      <w:r>
        <w:rPr>
          <w:rFonts w:ascii="Arial" w:cs="Arial" w:eastAsia="Arial" w:hAnsi="Arial"/>
          <w:sz w:val="13"/>
          <w:szCs w:val="13"/>
          <w:color w:val="auto"/>
        </w:rPr>
        <w:t>ANK</w:t>
      </w:r>
      <w:r>
        <w:rPr>
          <w:rFonts w:ascii="Arial" w:cs="Arial" w:eastAsia="Arial" w:hAnsi="Arial"/>
          <w:sz w:val="16"/>
          <w:szCs w:val="16"/>
          <w:color w:val="auto"/>
        </w:rPr>
        <w:t xml:space="preserve"> N</w:t>
      </w:r>
      <w:r>
        <w:rPr>
          <w:rFonts w:ascii="Arial" w:cs="Arial" w:eastAsia="Arial" w:hAnsi="Arial"/>
          <w:sz w:val="13"/>
          <w:szCs w:val="13"/>
          <w:color w:val="auto"/>
        </w:rPr>
        <w:t>ATIONAL</w:t>
      </w:r>
      <w:r>
        <w:rPr>
          <w:rFonts w:ascii="Arial" w:cs="Arial" w:eastAsia="Arial" w:hAnsi="Arial"/>
          <w:sz w:val="16"/>
          <w:szCs w:val="16"/>
          <w:color w:val="auto"/>
        </w:rPr>
        <w:t xml:space="preserve"> A</w:t>
      </w:r>
      <w:r>
        <w:rPr>
          <w:rFonts w:ascii="Arial" w:cs="Arial" w:eastAsia="Arial" w:hAnsi="Arial"/>
          <w:sz w:val="13"/>
          <w:szCs w:val="13"/>
          <w:color w:val="auto"/>
        </w:rPr>
        <w:t>SSOCIATION</w:t>
      </w:r>
      <w:r>
        <w:rPr>
          <w:rFonts w:ascii="Arial" w:cs="Arial" w:eastAsia="Arial" w:hAnsi="Arial"/>
          <w:sz w:val="16"/>
          <w:szCs w:val="16"/>
          <w:color w:val="auto"/>
        </w:rPr>
        <w:t xml:space="preserve">, as custodian (in such capacity, together with its successors and assigns, the </w:t>
      </w:r>
      <w:r>
        <w:rPr>
          <w:rFonts w:ascii="Arial" w:cs="Arial" w:eastAsia="Arial" w:hAnsi="Arial"/>
          <w:sz w:val="16"/>
          <w:szCs w:val="16"/>
          <w:i w:val="1"/>
          <w:iCs w:val="1"/>
          <w:color w:val="auto"/>
        </w:rPr>
        <w:t>“Custodian”</w:t>
      </w:r>
      <w:r>
        <w:rPr>
          <w:rFonts w:ascii="Arial" w:cs="Arial" w:eastAsia="Arial" w:hAnsi="Arial"/>
          <w:sz w:val="16"/>
          <w:szCs w:val="16"/>
          <w:color w:val="auto"/>
        </w:rPr>
        <w:t>); U.S. B</w:t>
      </w:r>
      <w:r>
        <w:rPr>
          <w:rFonts w:ascii="Arial" w:cs="Arial" w:eastAsia="Arial" w:hAnsi="Arial"/>
          <w:sz w:val="13"/>
          <w:szCs w:val="13"/>
          <w:color w:val="auto"/>
        </w:rPr>
        <w:t>ANK</w:t>
      </w:r>
      <w:r>
        <w:rPr>
          <w:rFonts w:ascii="Arial" w:cs="Arial" w:eastAsia="Arial" w:hAnsi="Arial"/>
          <w:sz w:val="16"/>
          <w:szCs w:val="16"/>
          <w:color w:val="auto"/>
        </w:rPr>
        <w:t xml:space="preserve"> N</w:t>
      </w:r>
      <w:r>
        <w:rPr>
          <w:rFonts w:ascii="Arial" w:cs="Arial" w:eastAsia="Arial" w:hAnsi="Arial"/>
          <w:sz w:val="13"/>
          <w:szCs w:val="13"/>
          <w:color w:val="auto"/>
        </w:rPr>
        <w:t>ATIONAL</w:t>
      </w:r>
      <w:r>
        <w:rPr>
          <w:rFonts w:ascii="Arial" w:cs="Arial" w:eastAsia="Arial" w:hAnsi="Arial"/>
          <w:sz w:val="16"/>
          <w:szCs w:val="16"/>
          <w:color w:val="auto"/>
        </w:rPr>
        <w:t xml:space="preserve"> A</w:t>
      </w:r>
      <w:r>
        <w:rPr>
          <w:rFonts w:ascii="Arial" w:cs="Arial" w:eastAsia="Arial" w:hAnsi="Arial"/>
          <w:sz w:val="13"/>
          <w:szCs w:val="13"/>
          <w:color w:val="auto"/>
        </w:rPr>
        <w:t>SSOCIATION</w:t>
      </w:r>
      <w:r>
        <w:rPr>
          <w:rFonts w:ascii="Arial" w:cs="Arial" w:eastAsia="Arial" w:hAnsi="Arial"/>
          <w:sz w:val="16"/>
          <w:szCs w:val="16"/>
          <w:color w:val="auto"/>
        </w:rPr>
        <w:t xml:space="preserve">, as collateral administrator (in such capacity, together with its successors and assigns, the </w:t>
      </w:r>
      <w:r>
        <w:rPr>
          <w:rFonts w:ascii="Arial" w:cs="Arial" w:eastAsia="Arial" w:hAnsi="Arial"/>
          <w:sz w:val="16"/>
          <w:szCs w:val="16"/>
          <w:i w:val="1"/>
          <w:iCs w:val="1"/>
          <w:color w:val="auto"/>
        </w:rPr>
        <w:t>“Collateral Administrator”</w:t>
      </w:r>
      <w:r>
        <w:rPr>
          <w:rFonts w:ascii="Arial" w:cs="Arial" w:eastAsia="Arial" w:hAnsi="Arial"/>
          <w:sz w:val="16"/>
          <w:szCs w:val="16"/>
          <w:color w:val="auto"/>
        </w:rPr>
        <w:t>); and U.S. B</w:t>
      </w:r>
      <w:r>
        <w:rPr>
          <w:rFonts w:ascii="Arial" w:cs="Arial" w:eastAsia="Arial" w:hAnsi="Arial"/>
          <w:sz w:val="13"/>
          <w:szCs w:val="13"/>
          <w:color w:val="auto"/>
        </w:rPr>
        <w:t>ANK</w:t>
      </w:r>
      <w:r>
        <w:rPr>
          <w:rFonts w:ascii="Arial" w:cs="Arial" w:eastAsia="Arial" w:hAnsi="Arial"/>
          <w:sz w:val="16"/>
          <w:szCs w:val="16"/>
          <w:color w:val="auto"/>
        </w:rPr>
        <w:t xml:space="preserve"> N</w:t>
      </w:r>
      <w:r>
        <w:rPr>
          <w:rFonts w:ascii="Arial" w:cs="Arial" w:eastAsia="Arial" w:hAnsi="Arial"/>
          <w:sz w:val="13"/>
          <w:szCs w:val="13"/>
          <w:color w:val="auto"/>
        </w:rPr>
        <w:t>ATIONAL</w:t>
      </w:r>
      <w:r>
        <w:rPr>
          <w:rFonts w:ascii="Arial" w:cs="Arial" w:eastAsia="Arial" w:hAnsi="Arial"/>
          <w:sz w:val="16"/>
          <w:szCs w:val="16"/>
          <w:color w:val="auto"/>
        </w:rPr>
        <w:t xml:space="preserve"> A</w:t>
      </w:r>
      <w:r>
        <w:rPr>
          <w:rFonts w:ascii="Arial" w:cs="Arial" w:eastAsia="Arial" w:hAnsi="Arial"/>
          <w:sz w:val="13"/>
          <w:szCs w:val="13"/>
          <w:color w:val="auto"/>
        </w:rPr>
        <w:t>SSOCIATION</w:t>
      </w:r>
      <w:r>
        <w:rPr>
          <w:rFonts w:ascii="Arial" w:cs="Arial" w:eastAsia="Arial" w:hAnsi="Arial"/>
          <w:sz w:val="16"/>
          <w:szCs w:val="16"/>
          <w:color w:val="auto"/>
        </w:rPr>
        <w:t xml:space="preserve">, as backup collateral manager (in such capacity, together with its successors and assigns, the </w:t>
      </w:r>
      <w:r>
        <w:rPr>
          <w:rFonts w:ascii="Arial" w:cs="Arial" w:eastAsia="Arial" w:hAnsi="Arial"/>
          <w:sz w:val="16"/>
          <w:szCs w:val="16"/>
          <w:i w:val="1"/>
          <w:iCs w:val="1"/>
          <w:color w:val="auto"/>
        </w:rPr>
        <w:t>“Backup Collateral Manager”</w:t>
      </w:r>
      <w:r>
        <w:rPr>
          <w:rFonts w:ascii="Arial" w:cs="Arial" w:eastAsia="Arial" w:hAnsi="Arial"/>
          <w:sz w:val="16"/>
          <w:szCs w:val="16"/>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ITNESSETH</w:t>
      </w:r>
      <w:r>
        <w:rPr>
          <w:rFonts w:ascii="Arial" w:cs="Arial" w:eastAsia="Arial" w:hAnsi="Arial"/>
          <w:sz w:val="18"/>
          <w:szCs w:val="18"/>
          <w:b w:val="1"/>
          <w:bCs w:val="1"/>
          <w:color w:val="auto"/>
        </w:rPr>
        <w:t>:</w:t>
      </w:r>
    </w:p>
    <w:p>
      <w:pPr>
        <w:spacing w:after="0" w:line="177" w:lineRule="exact"/>
        <w:rPr>
          <w:sz w:val="20"/>
          <w:szCs w:val="20"/>
          <w:color w:val="auto"/>
        </w:rPr>
      </w:pPr>
    </w:p>
    <w:p>
      <w:pPr>
        <w:ind w:right="1020" w:firstLine="449"/>
        <w:spacing w:after="0" w:line="268" w:lineRule="auto"/>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HEREAS</w:t>
      </w:r>
      <w:r>
        <w:rPr>
          <w:rFonts w:ascii="Arial" w:cs="Arial" w:eastAsia="Arial" w:hAnsi="Arial"/>
          <w:sz w:val="18"/>
          <w:szCs w:val="18"/>
          <w:color w:val="auto"/>
        </w:rPr>
        <w:t>, the Borrower, the Collateral Manager, the Lenders, the Collateral Agent, the Backup Collateral Manager, the Custodian and the Administrative Agent have previously entered into and are currently party to the Agreement;</w:t>
      </w:r>
    </w:p>
    <w:p>
      <w:pPr>
        <w:spacing w:after="0" w:line="132" w:lineRule="exact"/>
        <w:rPr>
          <w:sz w:val="20"/>
          <w:szCs w:val="20"/>
          <w:color w:val="auto"/>
        </w:rPr>
      </w:pPr>
    </w:p>
    <w:p>
      <w:pPr>
        <w:ind w:right="180" w:firstLine="449"/>
        <w:spacing w:after="0" w:line="268" w:lineRule="auto"/>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OW</w:t>
      </w:r>
      <w:r>
        <w:rPr>
          <w:rFonts w:ascii="Arial" w:cs="Arial" w:eastAsia="Arial" w:hAnsi="Arial"/>
          <w:sz w:val="18"/>
          <w:szCs w:val="18"/>
          <w:color w:val="auto"/>
        </w:rPr>
        <w:t>, T</w:t>
      </w:r>
      <w:r>
        <w:rPr>
          <w:rFonts w:ascii="Arial" w:cs="Arial" w:eastAsia="Arial" w:hAnsi="Arial"/>
          <w:sz w:val="14"/>
          <w:szCs w:val="14"/>
          <w:color w:val="auto"/>
        </w:rPr>
        <w:t>HEREFORE</w:t>
      </w:r>
      <w:r>
        <w:rPr>
          <w:rFonts w:ascii="Arial" w:cs="Arial" w:eastAsia="Arial" w:hAnsi="Arial"/>
          <w:sz w:val="18"/>
          <w:szCs w:val="18"/>
          <w:color w:val="auto"/>
        </w:rPr>
        <w:t>, for good and valuable consideration, the receipt and sufficiency of which are hereby acknowledged, the parties hereto, intending to be legally bound, agree as follows:</w:t>
      </w:r>
    </w:p>
    <w:p>
      <w:pPr>
        <w:spacing w:after="0" w:line="132" w:lineRule="exact"/>
        <w:rPr>
          <w:sz w:val="20"/>
          <w:szCs w:val="20"/>
          <w:color w:val="auto"/>
        </w:rPr>
      </w:pPr>
    </w:p>
    <w:p>
      <w:pPr>
        <w:ind w:right="340" w:firstLine="898"/>
        <w:spacing w:after="0" w:line="268" w:lineRule="auto"/>
        <w:rPr>
          <w:sz w:val="20"/>
          <w:szCs w:val="20"/>
          <w:color w:val="auto"/>
        </w:rPr>
      </w:pPr>
      <w:r>
        <w:rPr>
          <w:rFonts w:ascii="Arial" w:cs="Arial" w:eastAsia="Arial" w:hAnsi="Arial"/>
          <w:sz w:val="18"/>
          <w:szCs w:val="18"/>
          <w:i w:val="1"/>
          <w:iCs w:val="1"/>
          <w:color w:val="auto"/>
        </w:rPr>
        <w:t xml:space="preserve">Section 1. Defined Terms. </w:t>
      </w:r>
      <w:r>
        <w:rPr>
          <w:rFonts w:ascii="Arial" w:cs="Arial" w:eastAsia="Arial" w:hAnsi="Arial"/>
          <w:sz w:val="18"/>
          <w:szCs w:val="18"/>
          <w:color w:val="auto"/>
        </w:rPr>
        <w:t>Unless otherwise amended by the terms of this Amendment, terms used in this Amendment shall have the meanings</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in the Agreement.</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Section 2. Amendments.</w:t>
      </w:r>
    </w:p>
    <w:p>
      <w:pPr>
        <w:spacing w:after="0" w:line="90" w:lineRule="exact"/>
        <w:rPr>
          <w:sz w:val="20"/>
          <w:szCs w:val="20"/>
          <w:color w:val="auto"/>
        </w:rPr>
      </w:pPr>
    </w:p>
    <w:p>
      <w:pPr>
        <w:ind w:left="460" w:right="20" w:firstLine="863"/>
        <w:spacing w:after="0" w:line="268" w:lineRule="auto"/>
        <w:rPr>
          <w:sz w:val="20"/>
          <w:szCs w:val="20"/>
          <w:color w:val="auto"/>
        </w:rPr>
      </w:pPr>
      <w:r>
        <w:rPr>
          <w:rFonts w:ascii="Arial" w:cs="Arial" w:eastAsia="Arial" w:hAnsi="Arial"/>
          <w:sz w:val="18"/>
          <w:szCs w:val="18"/>
          <w:color w:val="auto"/>
        </w:rPr>
        <w:t xml:space="preserve">2.1. The defined term </w:t>
      </w:r>
      <w:r>
        <w:rPr>
          <w:rFonts w:ascii="Arial" w:cs="Arial" w:eastAsia="Arial" w:hAnsi="Arial"/>
          <w:sz w:val="18"/>
          <w:szCs w:val="18"/>
          <w:i w:val="1"/>
          <w:iCs w:val="1"/>
          <w:color w:val="auto"/>
        </w:rPr>
        <w:t>“Applicable Margin”</w:t>
      </w:r>
      <w:r>
        <w:rPr>
          <w:rFonts w:ascii="Arial" w:cs="Arial" w:eastAsia="Arial" w:hAnsi="Arial"/>
          <w:sz w:val="18"/>
          <w:szCs w:val="18"/>
          <w:color w:val="auto"/>
        </w:rPr>
        <w:t xml:space="preserve"> appearing in Section 1.01 of the Agreement is hereby amended and restated in its entirety and as so amended and restated shall read as follows:</w:t>
      </w:r>
    </w:p>
    <w:p>
      <w:pPr>
        <w:spacing w:after="0" w:line="51" w:lineRule="exact"/>
        <w:rPr>
          <w:sz w:val="20"/>
          <w:szCs w:val="20"/>
          <w:color w:val="auto"/>
        </w:rPr>
      </w:pPr>
    </w:p>
    <w:p>
      <w:pPr>
        <w:ind w:left="1860"/>
        <w:spacing w:after="0"/>
        <w:rPr>
          <w:sz w:val="20"/>
          <w:szCs w:val="20"/>
          <w:color w:val="auto"/>
        </w:rPr>
      </w:pPr>
      <w:r>
        <w:rPr>
          <w:rFonts w:ascii="Arial" w:cs="Arial" w:eastAsia="Arial" w:hAnsi="Arial"/>
          <w:sz w:val="16"/>
          <w:szCs w:val="16"/>
          <w:i w:val="1"/>
          <w:iCs w:val="1"/>
          <w:color w:val="auto"/>
        </w:rPr>
        <w:t xml:space="preserve">“Applicable Margin” </w:t>
      </w:r>
      <w:r>
        <w:rPr>
          <w:rFonts w:ascii="Arial" w:cs="Arial" w:eastAsia="Arial" w:hAnsi="Arial"/>
          <w:sz w:val="16"/>
          <w:szCs w:val="16"/>
          <w:color w:val="auto"/>
        </w:rPr>
        <w:t>means (a) during the Reinvestment Period, 2.00%</w:t>
      </w:r>
      <w:r>
        <w:rPr>
          <w:rFonts w:ascii="Arial" w:cs="Arial" w:eastAsia="Arial" w:hAnsi="Arial"/>
          <w:sz w:val="16"/>
          <w:szCs w:val="16"/>
          <w:i w:val="1"/>
          <w:iCs w:val="1"/>
          <w:color w:val="auto"/>
        </w:rPr>
        <w:t xml:space="preserve"> per annum</w:t>
      </w:r>
      <w:r>
        <w:rPr>
          <w:rFonts w:ascii="Arial" w:cs="Arial" w:eastAsia="Arial" w:hAnsi="Arial"/>
          <w:sz w:val="16"/>
          <w:szCs w:val="16"/>
          <w:color w:val="auto"/>
        </w:rPr>
        <w:t>; and (b) after the Reinvestment Period,</w:t>
      </w:r>
    </w:p>
    <w:p>
      <w:pPr>
        <w:spacing w:after="0" w:line="3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upon the occurrence and continuation of an Event of Default, the Applicable Margin shall be</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4.75%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84"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 xml:space="preserve">2.2. The defined term </w:t>
      </w:r>
      <w:r>
        <w:rPr>
          <w:rFonts w:ascii="Arial" w:cs="Arial" w:eastAsia="Arial" w:hAnsi="Arial"/>
          <w:sz w:val="18"/>
          <w:szCs w:val="18"/>
          <w:i w:val="1"/>
          <w:iCs w:val="1"/>
          <w:color w:val="auto"/>
        </w:rPr>
        <w:t>“Facility Amount”</w:t>
      </w:r>
      <w:r>
        <w:rPr>
          <w:rFonts w:ascii="Arial" w:cs="Arial" w:eastAsia="Arial" w:hAnsi="Arial"/>
          <w:sz w:val="18"/>
          <w:szCs w:val="18"/>
          <w:color w:val="auto"/>
        </w:rPr>
        <w:t xml:space="preserve"> appearing in Section 1.01 of the Agreement is hereby amended and restated in its entirety and as so amended and restated shall read as follows:</w:t>
      </w:r>
    </w:p>
    <w:p>
      <w:pPr>
        <w:spacing w:after="0" w:line="51" w:lineRule="exact"/>
        <w:rPr>
          <w:sz w:val="20"/>
          <w:szCs w:val="20"/>
          <w:color w:val="auto"/>
        </w:rPr>
      </w:pPr>
    </w:p>
    <w:p>
      <w:pPr>
        <w:ind w:left="1460" w:right="40" w:firstLine="391"/>
        <w:spacing w:after="0" w:line="306" w:lineRule="auto"/>
        <w:rPr>
          <w:sz w:val="20"/>
          <w:szCs w:val="20"/>
          <w:color w:val="auto"/>
        </w:rPr>
      </w:pPr>
      <w:r>
        <w:rPr>
          <w:rFonts w:ascii="Arial" w:cs="Arial" w:eastAsia="Arial" w:hAnsi="Arial"/>
          <w:sz w:val="16"/>
          <w:szCs w:val="16"/>
          <w:i w:val="1"/>
          <w:iCs w:val="1"/>
          <w:color w:val="auto"/>
        </w:rPr>
        <w:t xml:space="preserve">“Facility Amount” </w:t>
      </w:r>
      <w:r>
        <w:rPr>
          <w:rFonts w:ascii="Arial" w:cs="Arial" w:eastAsia="Arial" w:hAnsi="Arial"/>
          <w:sz w:val="16"/>
          <w:szCs w:val="16"/>
          <w:color w:val="auto"/>
        </w:rPr>
        <w:t>means (a) on or prior to the Commitment Termination Date, $125,000,000 (as such amount may be reduced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time to time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and (b) following the Commitment Termination Date, the outstanding principal balance of all the Advances;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Facility Amount may be increased by the Borrower from time to time in accordance with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hereof.</w:t>
      </w:r>
    </w:p>
    <w:p>
      <w:pPr>
        <w:sectPr>
          <w:pgSz w:w="11900" w:h="16838" w:orient="portrait"/>
          <w:cols w:equalWidth="0" w:num="1">
            <w:col w:w="11240"/>
          </w:cols>
          <w:pgMar w:left="320" w:top="125" w:right="339" w:bottom="1440" w:gutter="0" w:footer="0" w:header="0"/>
        </w:sectPr>
      </w:pPr>
    </w:p>
    <w:bookmarkStart w:id="39" w:name="page40"/>
    <w:bookmarkEnd w:id="39"/>
    <w:p>
      <w:pPr>
        <w:ind w:left="460" w:right="80" w:firstLine="86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2.3. The defined term </w:t>
      </w:r>
      <w:r>
        <w:rPr>
          <w:rFonts w:ascii="Arial" w:cs="Arial" w:eastAsia="Arial" w:hAnsi="Arial"/>
          <w:sz w:val="18"/>
          <w:szCs w:val="18"/>
          <w:i w:val="1"/>
          <w:iCs w:val="1"/>
          <w:color w:val="auto"/>
        </w:rPr>
        <w:t>“Reinvestment Period”</w:t>
      </w:r>
      <w:r>
        <w:rPr>
          <w:rFonts w:ascii="Arial" w:cs="Arial" w:eastAsia="Arial" w:hAnsi="Arial"/>
          <w:sz w:val="18"/>
          <w:szCs w:val="18"/>
          <w:color w:val="auto"/>
        </w:rPr>
        <w:t xml:space="preserve"> appearing in Section 1.01 of the Agreement is hereby amended and restated in its entirety and as so amended and restated shall read as follows:</w:t>
      </w:r>
    </w:p>
    <w:p>
      <w:pPr>
        <w:spacing w:after="0" w:line="51" w:lineRule="exact"/>
        <w:rPr>
          <w:sz w:val="20"/>
          <w:szCs w:val="20"/>
          <w:color w:val="auto"/>
        </w:rPr>
      </w:pPr>
    </w:p>
    <w:p>
      <w:pPr>
        <w:ind w:left="1460" w:right="240" w:firstLine="391"/>
        <w:spacing w:after="0" w:line="259" w:lineRule="auto"/>
        <w:rPr>
          <w:sz w:val="20"/>
          <w:szCs w:val="20"/>
          <w:color w:val="auto"/>
        </w:rPr>
      </w:pPr>
      <w:r>
        <w:rPr>
          <w:rFonts w:ascii="Arial" w:cs="Arial" w:eastAsia="Arial" w:hAnsi="Arial"/>
          <w:sz w:val="18"/>
          <w:szCs w:val="18"/>
          <w:i w:val="1"/>
          <w:iCs w:val="1"/>
          <w:color w:val="auto"/>
        </w:rPr>
        <w:t xml:space="preserve">“Reinvestment Period” </w:t>
      </w:r>
      <w:r>
        <w:rPr>
          <w:rFonts w:ascii="Arial" w:cs="Arial" w:eastAsia="Arial" w:hAnsi="Arial"/>
          <w:sz w:val="18"/>
          <w:szCs w:val="18"/>
          <w:color w:val="auto"/>
        </w:rPr>
        <w:t>means the period from and including the Closing Date to and including the earlier of (a) May 14, 2016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later date as may be agreed by the Borrower and each of the Lenders and notified in writing to the Agents) or (b) the date of the termination of the Commitments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59" w:lineRule="exact"/>
        <w:rPr>
          <w:sz w:val="20"/>
          <w:szCs w:val="20"/>
          <w:color w:val="auto"/>
        </w:rPr>
      </w:pPr>
    </w:p>
    <w:p>
      <w:pPr>
        <w:ind w:right="100" w:firstLine="898"/>
        <w:spacing w:after="0" w:line="268" w:lineRule="auto"/>
        <w:rPr>
          <w:sz w:val="20"/>
          <w:szCs w:val="20"/>
          <w:color w:val="auto"/>
        </w:rPr>
      </w:pPr>
      <w:r>
        <w:rPr>
          <w:rFonts w:ascii="Arial" w:cs="Arial" w:eastAsia="Arial" w:hAnsi="Arial"/>
          <w:sz w:val="18"/>
          <w:szCs w:val="18"/>
          <w:i w:val="1"/>
          <w:iCs w:val="1"/>
          <w:color w:val="auto"/>
        </w:rPr>
        <w:t>Section 3. Conditions Precedent</w:t>
      </w:r>
      <w:r>
        <w:rPr>
          <w:rFonts w:ascii="Arial" w:cs="Arial" w:eastAsia="Arial" w:hAnsi="Arial"/>
          <w:sz w:val="18"/>
          <w:szCs w:val="18"/>
          <w:color w:val="auto"/>
        </w:rPr>
        <w:t>. The effectiveness of this Amendment is subject to the satisfaction (or waiver by the Administrative Agent) of all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following conditions precedent:</w:t>
      </w:r>
    </w:p>
    <w:p>
      <w:pPr>
        <w:spacing w:after="0" w:line="51" w:lineRule="exact"/>
        <w:rPr>
          <w:sz w:val="20"/>
          <w:szCs w:val="20"/>
          <w:color w:val="auto"/>
        </w:rPr>
      </w:pPr>
    </w:p>
    <w:p>
      <w:pPr>
        <w:ind w:left="460" w:firstLine="863"/>
        <w:spacing w:after="0" w:line="288" w:lineRule="auto"/>
        <w:rPr>
          <w:sz w:val="20"/>
          <w:szCs w:val="20"/>
          <w:color w:val="auto"/>
        </w:rPr>
      </w:pPr>
      <w:r>
        <w:rPr>
          <w:rFonts w:ascii="Arial" w:cs="Arial" w:eastAsia="Arial" w:hAnsi="Arial"/>
          <w:sz w:val="16"/>
          <w:szCs w:val="16"/>
          <w:color w:val="auto"/>
        </w:rPr>
        <w:t>3.1. The Borrower shall have provided to the Administrative Agent a secretary’s certificate of the Borrower certifying (i) as to its Constituent Documents, (ii) as to its resolutions or other action of its board of directors or members approving this Amendment, the Agreement and the other Facility Documents to which it is a party and the transactions contemplated thereby, (iii) that its representations and warranties set forth in the Facility Documents to which it is a party are true and correct in all material respects as of the date first set forth above (except to the extent such representations and warranties expressly relate to any earlier date, in which case such representations and warranties shall be true and correct in all material respects as of such earlier date), (iv) no Default or Event of Default has occurred nor is continuing or shall result after giving effect hereto, and (v) as to the incumbency and specimen signature of each of its Responsible Officers authorized to execute the Facility Documents (and any subsequent amendments to such documents) to which it is a party.</w:t>
      </w:r>
    </w:p>
    <w:p>
      <w:pPr>
        <w:spacing w:after="0" w:line="43" w:lineRule="exact"/>
        <w:rPr>
          <w:sz w:val="20"/>
          <w:szCs w:val="20"/>
          <w:color w:val="auto"/>
        </w:rPr>
      </w:pPr>
    </w:p>
    <w:p>
      <w:pPr>
        <w:ind w:left="460" w:right="460" w:firstLine="863"/>
        <w:spacing w:after="0" w:line="331" w:lineRule="auto"/>
        <w:rPr>
          <w:sz w:val="20"/>
          <w:szCs w:val="20"/>
          <w:color w:val="auto"/>
        </w:rPr>
      </w:pPr>
      <w:r>
        <w:rPr>
          <w:rFonts w:ascii="Arial" w:cs="Arial" w:eastAsia="Arial" w:hAnsi="Arial"/>
          <w:sz w:val="16"/>
          <w:szCs w:val="16"/>
          <w:color w:val="auto"/>
        </w:rPr>
        <w:t>3.2. The Borrower shall have provided an executed legal opinion (addressed to each of the Secured Parties) of Dechert LLP, New York counsel to the Borrower covering such matters as the Administrative Agent and its counsel shall reasonably request.</w:t>
      </w:r>
    </w:p>
    <w:p>
      <w:pPr>
        <w:spacing w:after="0" w:line="6" w:lineRule="exact"/>
        <w:rPr>
          <w:sz w:val="20"/>
          <w:szCs w:val="20"/>
          <w:color w:val="auto"/>
        </w:rPr>
      </w:pPr>
    </w:p>
    <w:p>
      <w:pPr>
        <w:ind w:left="460" w:right="260" w:firstLine="863"/>
        <w:spacing w:after="0" w:line="259" w:lineRule="auto"/>
        <w:rPr>
          <w:sz w:val="20"/>
          <w:szCs w:val="20"/>
          <w:color w:val="auto"/>
        </w:rPr>
      </w:pPr>
      <w:r>
        <w:rPr>
          <w:rFonts w:ascii="Arial" w:cs="Arial" w:eastAsia="Arial" w:hAnsi="Arial"/>
          <w:sz w:val="18"/>
          <w:szCs w:val="18"/>
          <w:color w:val="auto"/>
        </w:rPr>
        <w:t>3.3. The Administrative Agent shall have received a copy of this Amendment and the Lender Fee Letter dated as of the date first set forth above. In each case, such document shall have been duly executed and delivered by the parties thereto, and such document shall be in full force and effect.</w:t>
      </w:r>
    </w:p>
    <w:p>
      <w:pPr>
        <w:spacing w:after="0" w:line="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 The Borrower shall have paid to the Lenders in immediately available funds all fees called for by the Lender Fee Letter.</w:t>
      </w:r>
    </w:p>
    <w:p>
      <w:pPr>
        <w:spacing w:after="0" w:line="171"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i w:val="1"/>
          <w:iCs w:val="1"/>
          <w:color w:val="auto"/>
        </w:rPr>
        <w:t xml:space="preserve">Section 4. Representations of the Borrower and Collateral Manager. </w:t>
      </w:r>
      <w:r>
        <w:rPr>
          <w:rFonts w:ascii="Arial" w:cs="Arial" w:eastAsia="Arial" w:hAnsi="Arial"/>
          <w:sz w:val="16"/>
          <w:szCs w:val="16"/>
          <w:color w:val="auto"/>
        </w:rPr>
        <w:t>Each of Borrower and Collateral Manager hereby represent and warrant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hereto that as of the date hereof each of their respective representations and warranties contained in Article IV of the Agreement and any other Facility Documents to which it is a party are true and correct in all material respects as of the date hereof and after giving effect to this Amendment (except to the extent that such representations and warranties relate solely to an earlier date, and then are true and correct as of such earlier date).</w:t>
      </w:r>
    </w:p>
    <w:p>
      <w:pPr>
        <w:spacing w:after="0" w:line="112" w:lineRule="exact"/>
        <w:rPr>
          <w:sz w:val="20"/>
          <w:szCs w:val="20"/>
          <w:color w:val="auto"/>
        </w:rPr>
      </w:pPr>
    </w:p>
    <w:p>
      <w:pPr>
        <w:ind w:right="160" w:firstLine="898"/>
        <w:spacing w:after="0" w:line="268" w:lineRule="auto"/>
        <w:rPr>
          <w:sz w:val="20"/>
          <w:szCs w:val="20"/>
          <w:color w:val="auto"/>
        </w:rPr>
      </w:pPr>
      <w:r>
        <w:rPr>
          <w:rFonts w:ascii="Arial" w:cs="Arial" w:eastAsia="Arial" w:hAnsi="Arial"/>
          <w:sz w:val="18"/>
          <w:szCs w:val="18"/>
          <w:i w:val="1"/>
          <w:iCs w:val="1"/>
          <w:color w:val="auto"/>
        </w:rPr>
        <w:t xml:space="preserve">Section 5. Agreement in Full Force and Effect. </w:t>
      </w:r>
      <w:r>
        <w:rPr>
          <w:rFonts w:ascii="Arial" w:cs="Arial" w:eastAsia="Arial" w:hAnsi="Arial"/>
          <w:sz w:val="18"/>
          <w:szCs w:val="18"/>
          <w:color w:val="auto"/>
        </w:rPr>
        <w:t>Except as expressly set forth herein, all terms and conditions of the Agreement, as amended, shall</w:t>
      </w:r>
      <w:r>
        <w:rPr>
          <w:rFonts w:ascii="Arial" w:cs="Arial" w:eastAsia="Arial" w:hAnsi="Arial"/>
          <w:sz w:val="18"/>
          <w:szCs w:val="18"/>
          <w:i w:val="1"/>
          <w:iCs w:val="1"/>
          <w:color w:val="auto"/>
        </w:rPr>
        <w:t xml:space="preserve"> </w:t>
      </w:r>
      <w:r>
        <w:rPr>
          <w:rFonts w:ascii="Arial" w:cs="Arial" w:eastAsia="Arial" w:hAnsi="Arial"/>
          <w:sz w:val="18"/>
          <w:szCs w:val="18"/>
          <w:color w:val="auto"/>
        </w:rPr>
        <w:t>remain in full force and effect.</w:t>
      </w:r>
    </w:p>
    <w:p>
      <w:pPr>
        <w:spacing w:after="0" w:line="132" w:lineRule="exact"/>
        <w:rPr>
          <w:sz w:val="20"/>
          <w:szCs w:val="20"/>
          <w:color w:val="auto"/>
        </w:rPr>
      </w:pPr>
    </w:p>
    <w:p>
      <w:pPr>
        <w:ind w:right="220" w:firstLine="898"/>
        <w:spacing w:after="0" w:line="256" w:lineRule="auto"/>
        <w:rPr>
          <w:sz w:val="20"/>
          <w:szCs w:val="20"/>
          <w:color w:val="auto"/>
        </w:rPr>
      </w:pPr>
      <w:r>
        <w:rPr>
          <w:rFonts w:ascii="Arial" w:cs="Arial" w:eastAsia="Arial" w:hAnsi="Arial"/>
          <w:sz w:val="18"/>
          <w:szCs w:val="18"/>
          <w:i w:val="1"/>
          <w:iCs w:val="1"/>
          <w:color w:val="auto"/>
        </w:rPr>
        <w:t xml:space="preserve">Section 6. Execution in Counterparts. </w:t>
      </w:r>
      <w:r>
        <w:rPr>
          <w:rFonts w:ascii="Arial" w:cs="Arial" w:eastAsia="Arial" w:hAnsi="Arial"/>
          <w:sz w:val="18"/>
          <w:szCs w:val="18"/>
          <w:color w:val="auto"/>
        </w:rPr>
        <w:t>This Amendment may be executed by the parties hereto in several counterparts, each of which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by the parties hereto and be deemed an original and all of which shall constitute together but one and the same agreement. Delivery of an executed counterpart of a signature page of this Amendment by telecopy or other electronic means shall be effective as delivery of a manually executed counterpart of this Amendment.</w:t>
      </w:r>
    </w:p>
    <w:p>
      <w:pPr>
        <w:spacing w:after="0" w:line="143" w:lineRule="exact"/>
        <w:rPr>
          <w:sz w:val="20"/>
          <w:szCs w:val="20"/>
          <w:color w:val="auto"/>
        </w:rPr>
      </w:pPr>
    </w:p>
    <w:p>
      <w:pPr>
        <w:ind w:right="40" w:firstLine="898"/>
        <w:spacing w:after="0" w:line="266" w:lineRule="auto"/>
        <w:rPr>
          <w:sz w:val="20"/>
          <w:szCs w:val="20"/>
          <w:color w:val="auto"/>
        </w:rPr>
      </w:pPr>
      <w:r>
        <w:rPr>
          <w:rFonts w:ascii="Arial" w:cs="Arial" w:eastAsia="Arial" w:hAnsi="Arial"/>
          <w:sz w:val="18"/>
          <w:szCs w:val="18"/>
          <w:i w:val="1"/>
          <w:iCs w:val="1"/>
          <w:color w:val="auto"/>
        </w:rPr>
        <w:t xml:space="preserve">Section 7. Governing Law. </w:t>
      </w:r>
      <w:r>
        <w:rPr>
          <w:rFonts w:ascii="Arial" w:cs="Arial" w:eastAsia="Arial" w:hAnsi="Arial"/>
          <w:sz w:val="18"/>
          <w:szCs w:val="18"/>
          <w:color w:val="auto"/>
        </w:rPr>
        <w:t>T</w:t>
      </w:r>
      <w:r>
        <w:rPr>
          <w:rFonts w:ascii="Arial" w:cs="Arial" w:eastAsia="Arial" w:hAnsi="Arial"/>
          <w:sz w:val="14"/>
          <w:szCs w:val="14"/>
          <w:color w:val="auto"/>
        </w:rPr>
        <w:t>HIS</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4"/>
          <w:szCs w:val="14"/>
          <w:color w:val="auto"/>
        </w:rPr>
        <w:t>MENDMENT SHALL BE CONSTRUED IN ACCORDANCE WITH THE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w:t>
      </w:r>
      <w:r>
        <w:rPr>
          <w:rFonts w:ascii="Arial" w:cs="Arial" w:eastAsia="Arial" w:hAnsi="Arial"/>
          <w:sz w:val="14"/>
          <w:szCs w:val="14"/>
          <w:color w:val="auto"/>
        </w:rPr>
        <w:t>TATE OF</w:t>
      </w:r>
      <w:r>
        <w:rPr>
          <w:rFonts w:ascii="Arial" w:cs="Arial" w:eastAsia="Arial" w:hAnsi="Arial"/>
          <w:sz w:val="18"/>
          <w:szCs w:val="18"/>
          <w:i w:val="1"/>
          <w:iCs w:val="1"/>
          <w:color w:val="auto"/>
        </w:rPr>
        <w:t xml:space="preserve"> </w:t>
      </w: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i w:val="1"/>
          <w:iCs w:val="1"/>
          <w:color w:val="auto"/>
        </w:rPr>
        <w:t xml:space="preserve"> </w:t>
      </w:r>
      <w:r>
        <w:rPr>
          <w:rFonts w:ascii="Arial" w:cs="Arial" w:eastAsia="Arial" w:hAnsi="Arial"/>
          <w:sz w:val="18"/>
          <w:szCs w:val="18"/>
          <w:color w:val="auto"/>
        </w:rPr>
        <w:t>Y</w:t>
      </w:r>
      <w:r>
        <w:rPr>
          <w:rFonts w:ascii="Arial" w:cs="Arial" w:eastAsia="Arial" w:hAnsi="Arial"/>
          <w:sz w:val="14"/>
          <w:szCs w:val="14"/>
          <w:color w:val="auto"/>
        </w:rPr>
        <w:t>ORK</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4"/>
          <w:szCs w:val="14"/>
          <w:color w:val="auto"/>
        </w:rPr>
        <w:t>WITHOUT</w:t>
      </w:r>
      <w:r>
        <w:rPr>
          <w:rFonts w:ascii="Arial" w:cs="Arial" w:eastAsia="Arial" w:hAnsi="Arial"/>
          <w:sz w:val="18"/>
          <w:szCs w:val="18"/>
          <w:i w:val="1"/>
          <w:iCs w:val="1"/>
          <w:color w:val="auto"/>
        </w:rPr>
        <w:t xml:space="preserve"> </w:t>
      </w:r>
      <w:r>
        <w:rPr>
          <w:rFonts w:ascii="Arial" w:cs="Arial" w:eastAsia="Arial" w:hAnsi="Arial"/>
          <w:sz w:val="14"/>
          <w:szCs w:val="14"/>
          <w:color w:val="auto"/>
        </w:rPr>
        <w:t>REFERENCE TO CONFLICT OF LAW PRINCIPLES</w:t>
      </w:r>
      <w:r>
        <w:rPr>
          <w:rFonts w:ascii="Arial" w:cs="Arial" w:eastAsia="Arial" w:hAnsi="Arial"/>
          <w:sz w:val="17"/>
          <w:szCs w:val="17"/>
          <w:color w:val="auto"/>
        </w:rPr>
        <w:t>,</w:t>
      </w:r>
      <w:r>
        <w:rPr>
          <w:rFonts w:ascii="Arial" w:cs="Arial" w:eastAsia="Arial" w:hAnsi="Arial"/>
          <w:sz w:val="14"/>
          <w:szCs w:val="14"/>
          <w:color w:val="auto"/>
        </w:rPr>
        <w:t xml:space="preserve"> AND THE OBLIGATIONS</w:t>
      </w:r>
      <w:r>
        <w:rPr>
          <w:rFonts w:ascii="Arial" w:cs="Arial" w:eastAsia="Arial" w:hAnsi="Arial"/>
          <w:sz w:val="17"/>
          <w:szCs w:val="17"/>
          <w:color w:val="auto"/>
        </w:rPr>
        <w:t>,</w:t>
      </w:r>
      <w:r>
        <w:rPr>
          <w:rFonts w:ascii="Arial" w:cs="Arial" w:eastAsia="Arial" w:hAnsi="Arial"/>
          <w:sz w:val="14"/>
          <w:szCs w:val="14"/>
          <w:color w:val="auto"/>
        </w:rPr>
        <w:t xml:space="preserve"> RIGHTS AND REMEDIES OF THE PARTIES HEREUNDER SHALL BE DETERMINED IN ACCORDANCE WITH THE LAWS OF THE </w:t>
      </w:r>
      <w:r>
        <w:rPr>
          <w:rFonts w:ascii="Arial" w:cs="Arial" w:eastAsia="Arial" w:hAnsi="Arial"/>
          <w:sz w:val="17"/>
          <w:szCs w:val="17"/>
          <w:color w:val="auto"/>
        </w:rPr>
        <w:t>S</w:t>
      </w:r>
      <w:r>
        <w:rPr>
          <w:rFonts w:ascii="Arial" w:cs="Arial" w:eastAsia="Arial" w:hAnsi="Arial"/>
          <w:sz w:val="14"/>
          <w:szCs w:val="14"/>
          <w:color w:val="auto"/>
        </w:rPr>
        <w:t xml:space="preserve">TATE OF </w:t>
      </w:r>
      <w:r>
        <w:rPr>
          <w:rFonts w:ascii="Arial" w:cs="Arial" w:eastAsia="Arial" w:hAnsi="Arial"/>
          <w:sz w:val="17"/>
          <w:szCs w:val="17"/>
          <w:color w:val="auto"/>
        </w:rPr>
        <w:t>N</w:t>
      </w:r>
      <w:r>
        <w:rPr>
          <w:rFonts w:ascii="Arial" w:cs="Arial" w:eastAsia="Arial" w:hAnsi="Arial"/>
          <w:sz w:val="14"/>
          <w:szCs w:val="14"/>
          <w:color w:val="auto"/>
        </w:rPr>
        <w:t xml:space="preserve">EW </w:t>
      </w:r>
      <w:r>
        <w:rPr>
          <w:rFonts w:ascii="Arial" w:cs="Arial" w:eastAsia="Arial" w:hAnsi="Arial"/>
          <w:sz w:val="17"/>
          <w:szCs w:val="17"/>
          <w:color w:val="auto"/>
        </w:rPr>
        <w:t>Y</w:t>
      </w:r>
      <w:r>
        <w:rPr>
          <w:rFonts w:ascii="Arial" w:cs="Arial" w:eastAsia="Arial" w:hAnsi="Arial"/>
          <w:sz w:val="14"/>
          <w:szCs w:val="14"/>
          <w:color w:val="auto"/>
        </w:rPr>
        <w:t>ORK</w:t>
      </w:r>
      <w:r>
        <w:rPr>
          <w:rFonts w:ascii="Arial" w:cs="Arial" w:eastAsia="Arial" w:hAnsi="Arial"/>
          <w:sz w:val="17"/>
          <w:szCs w:val="17"/>
          <w:color w:val="auto"/>
        </w:rPr>
        <w:t>.</w:t>
      </w:r>
    </w:p>
    <w:p>
      <w:pPr>
        <w:spacing w:after="0" w:line="135" w:lineRule="exact"/>
        <w:rPr>
          <w:sz w:val="20"/>
          <w:szCs w:val="20"/>
          <w:color w:val="auto"/>
        </w:rPr>
      </w:pPr>
    </w:p>
    <w:p>
      <w:pPr>
        <w:ind w:right="420" w:firstLine="898"/>
        <w:spacing w:after="0" w:line="268" w:lineRule="auto"/>
        <w:rPr>
          <w:sz w:val="20"/>
          <w:szCs w:val="20"/>
          <w:color w:val="auto"/>
        </w:rPr>
      </w:pPr>
      <w:r>
        <w:rPr>
          <w:rFonts w:ascii="Arial" w:cs="Arial" w:eastAsia="Arial" w:hAnsi="Arial"/>
          <w:sz w:val="18"/>
          <w:szCs w:val="18"/>
          <w:i w:val="1"/>
          <w:iCs w:val="1"/>
          <w:color w:val="auto"/>
        </w:rPr>
        <w:t xml:space="preserve">Section 8. Authorization. </w:t>
      </w:r>
      <w:r>
        <w:rPr>
          <w:rFonts w:ascii="Arial" w:cs="Arial" w:eastAsia="Arial" w:hAnsi="Arial"/>
          <w:sz w:val="18"/>
          <w:szCs w:val="18"/>
          <w:color w:val="auto"/>
        </w:rPr>
        <w:t>The Administrative Agent (on behalf of the Lenders) hereby authorizes and directs the Collateral Agent, Custodian,</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Administrator and Backup Collateral Manager to enter into this Amendment.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AGES</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ectPr>
          <w:pgSz w:w="11900" w:h="16838" w:orient="portrait"/>
          <w:cols w:equalWidth="0" w:num="1">
            <w:col w:w="11240"/>
          </w:cols>
          <w:pgMar w:left="320" w:top="280" w:right="339" w:bottom="1440" w:gutter="0" w:footer="0" w:header="0"/>
        </w:sectPr>
      </w:pPr>
    </w:p>
    <w:bookmarkStart w:id="40" w:name="page41"/>
    <w:bookmarkEnd w:id="40"/>
    <w:p>
      <w:pPr>
        <w:ind w:firstLine="44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4"/>
          <w:szCs w:val="14"/>
          <w:color w:val="auto"/>
        </w:rPr>
        <w:t>N</w:t>
      </w:r>
      <w:r>
        <w:rPr>
          <w:rFonts w:ascii="Arial" w:cs="Arial" w:eastAsia="Arial" w:hAnsi="Arial"/>
          <w:sz w:val="18"/>
          <w:szCs w:val="18"/>
          <w:color w:val="auto"/>
        </w:rPr>
        <w:t xml:space="preserve"> W</w:t>
      </w:r>
      <w:r>
        <w:rPr>
          <w:rFonts w:ascii="Arial" w:cs="Arial" w:eastAsia="Arial" w:hAnsi="Arial"/>
          <w:sz w:val="14"/>
          <w:szCs w:val="14"/>
          <w:color w:val="auto"/>
        </w:rPr>
        <w:t>ITNESS</w:t>
      </w:r>
      <w:r>
        <w:rPr>
          <w:rFonts w:ascii="Arial" w:cs="Arial" w:eastAsia="Arial" w:hAnsi="Arial"/>
          <w:sz w:val="18"/>
          <w:szCs w:val="18"/>
          <w:color w:val="auto"/>
        </w:rPr>
        <w:t xml:space="preserve"> W</w:t>
      </w:r>
      <w:r>
        <w:rPr>
          <w:rFonts w:ascii="Arial" w:cs="Arial" w:eastAsia="Arial" w:hAnsi="Arial"/>
          <w:sz w:val="14"/>
          <w:szCs w:val="14"/>
          <w:color w:val="auto"/>
        </w:rPr>
        <w:t>HEREOF</w:t>
      </w:r>
      <w:r>
        <w:rPr>
          <w:rFonts w:ascii="Arial" w:cs="Arial" w:eastAsia="Arial" w:hAnsi="Arial"/>
          <w:sz w:val="18"/>
          <w:szCs w:val="18"/>
          <w:color w:val="auto"/>
        </w:rPr>
        <w:t>, the parties hereto have caused this Third Amendment to the Amended and Restated Revolving Credit and Security Agreement to be executed and delivered by their duly authorized officers as of the date hereof.</w:t>
      </w:r>
    </w:p>
    <w:p>
      <w:pPr>
        <w:spacing w:after="0" w:line="17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Borrower</w:t>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L</w:t>
      </w:r>
      <w:r>
        <w:rPr>
          <w:rFonts w:ascii="Arial" w:cs="Arial" w:eastAsia="Arial" w:hAnsi="Arial"/>
          <w:sz w:val="14"/>
          <w:szCs w:val="14"/>
          <w:color w:val="auto"/>
        </w:rPr>
        <w:t>TD</w:t>
      </w:r>
      <w:r>
        <w:rPr>
          <w:rFonts w:ascii="Arial" w:cs="Arial" w:eastAsia="Arial" w:hAnsi="Arial"/>
          <w:sz w:val="18"/>
          <w:szCs w:val="18"/>
          <w:color w:val="auto"/>
        </w:rPr>
        <w:t>., its</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Designated Manager</w:t>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10795</wp:posOffset>
            </wp:positionV>
            <wp:extent cx="26403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10795</wp:posOffset>
            </wp:positionV>
            <wp:extent cx="22713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2"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6985</wp:posOffset>
            </wp:positionV>
            <wp:extent cx="22713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2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Collateral Manager</w:t>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10795</wp:posOffset>
            </wp:positionV>
            <wp:extent cx="26403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10795</wp:posOffset>
            </wp:positionV>
            <wp:extent cx="22713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2"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6985</wp:posOffset>
            </wp:positionV>
            <wp:extent cx="22713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Arthur H. Penn, Chief Executive Officer of PennantPark Floating Rate Capital Ltd., certify that:</w:t>
      </w:r>
    </w:p>
    <w:p>
      <w:pPr>
        <w:spacing w:after="0" w:line="171" w:lineRule="exact"/>
        <w:rPr>
          <w:sz w:val="20"/>
          <w:szCs w:val="20"/>
          <w:color w:val="auto"/>
        </w:rPr>
      </w:pPr>
    </w:p>
    <w:p>
      <w:pPr>
        <w:ind w:left="640" w:hanging="18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right="100" w:firstLine="457"/>
        <w:spacing w:after="0" w:line="259" w:lineRule="auto"/>
        <w:tabs>
          <w:tab w:leader="none" w:pos="6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8"/>
          <w:szCs w:val="18"/>
          <w:color w:val="auto"/>
        </w:rPr>
      </w:pPr>
    </w:p>
    <w:p>
      <w:pPr>
        <w:ind w:right="80" w:firstLine="906"/>
        <w:spacing w:after="0" w:line="259" w:lineRule="auto"/>
        <w:tabs>
          <w:tab w:leader="none" w:pos="107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40" w:firstLine="906"/>
        <w:spacing w:after="0" w:line="331" w:lineRule="auto"/>
        <w:tabs>
          <w:tab w:leader="none" w:pos="1079"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40" w:firstLine="906"/>
        <w:spacing w:after="0" w:line="331" w:lineRule="auto"/>
        <w:tabs>
          <w:tab w:leader="none" w:pos="108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6"/>
          <w:szCs w:val="16"/>
          <w:color w:val="auto"/>
        </w:rPr>
      </w:pPr>
    </w:p>
    <w:p>
      <w:pPr>
        <w:ind w:right="280" w:firstLine="457"/>
        <w:spacing w:after="0" w:line="331" w:lineRule="auto"/>
        <w:tabs>
          <w:tab w:leader="none" w:pos="6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Aviv Efrat, Chief Financial Officer of PennantPark Floating Rate Capital Ltd., certify that:</w:t>
      </w:r>
    </w:p>
    <w:p>
      <w:pPr>
        <w:spacing w:after="0" w:line="171" w:lineRule="exact"/>
        <w:rPr>
          <w:sz w:val="20"/>
          <w:szCs w:val="20"/>
          <w:color w:val="auto"/>
        </w:rPr>
      </w:pPr>
    </w:p>
    <w:p>
      <w:pPr>
        <w:ind w:left="640" w:hanging="18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right="400" w:firstLine="457"/>
        <w:spacing w:after="0" w:line="259" w:lineRule="auto"/>
        <w:tabs>
          <w:tab w:leader="none" w:pos="6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139" w:lineRule="exact"/>
        <w:rPr>
          <w:rFonts w:ascii="Arial" w:cs="Arial" w:eastAsia="Arial" w:hAnsi="Arial"/>
          <w:sz w:val="18"/>
          <w:szCs w:val="18"/>
          <w:color w:val="auto"/>
        </w:rPr>
      </w:pPr>
    </w:p>
    <w:p>
      <w:pPr>
        <w:ind w:right="80" w:firstLine="906"/>
        <w:spacing w:after="0" w:line="259" w:lineRule="auto"/>
        <w:tabs>
          <w:tab w:leader="none" w:pos="107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40" w:firstLine="906"/>
        <w:spacing w:after="0" w:line="331" w:lineRule="auto"/>
        <w:tabs>
          <w:tab w:leader="none" w:pos="107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40" w:firstLine="906"/>
        <w:spacing w:after="0" w:line="331" w:lineRule="auto"/>
        <w:tabs>
          <w:tab w:leader="none" w:pos="108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6"/>
          <w:szCs w:val="16"/>
          <w:color w:val="auto"/>
        </w:rPr>
      </w:pPr>
    </w:p>
    <w:p>
      <w:pPr>
        <w:ind w:right="280" w:firstLine="457"/>
        <w:spacing w:after="0" w:line="331" w:lineRule="auto"/>
        <w:tabs>
          <w:tab w:leader="none" w:pos="6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connection with this Report on Form 10-Q for the three and six months ended March 31, 2013,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9, 2013</w:t>
      </w:r>
    </w:p>
    <w:p>
      <w:pPr>
        <w:sectPr>
          <w:pgSz w:w="11900" w:h="16838" w:orient="portrait"/>
          <w:cols w:equalWidth="0" w:num="1">
            <w:col w:w="11240"/>
          </w:cols>
          <w:pgMar w:left="320" w:top="125" w:right="339" w:bottom="1440" w:gutter="0" w:footer="0" w:header="0"/>
        </w:sectPr>
      </w:pPr>
    </w:p>
    <w:bookmarkStart w:id="44" w:name="page45"/>
    <w:bookmarkEnd w:id="44"/>
    <w:p>
      <w:pPr>
        <w:ind w:left="10140"/>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connection with this Report on Form 10-Q for the three and six months ended March 31, 2013,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9, 2013</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lvl w:ilvl="1">
      <w:lvlJc w:val="left"/>
      <w:lvlText w:val="(%2)"/>
      <w:numFmt w:val="decimal"/>
      <w:start w:val="1"/>
    </w:lvl>
  </w:abstractNum>
  <w:abstractNum w:abstractNumId="5">
    <w:nsid w:val="66EF438D"/>
    <w:multiLevelType w:val="hybridMultilevel"/>
    <w:lvl w:ilvl="0">
      <w:lvlJc w:val="left"/>
      <w:lvlText w:val="(%1)"/>
      <w:numFmt w:val="lowerLetter"/>
      <w:start w:val="2"/>
    </w:lvl>
    <w:lvl w:ilvl="1">
      <w:lvlJc w:val="left"/>
      <w:lvlText w:val="%2"/>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4"/>
    </w:lvl>
  </w:abstractNum>
  <w:abstractNum w:abstractNumId="13">
    <w:nsid w:val="6B68079A"/>
    <w:multiLevelType w:val="hybridMultilevel"/>
    <w:lvl w:ilvl="0">
      <w:lvlJc w:val="left"/>
      <w:lvlText w:val="%1"/>
      <w:numFmt w:val="decimal"/>
      <w:start w:val="1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2020-05-05T12:06:02Z</dcterms:created>
  <dcterms:modified xsi:type="dcterms:W3CDTF">2020-05-05T12:06:02Z</dcterms:modified>
</cp:coreProperties>
</file>