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4" w:lineRule="exact"/>
        <w:rPr>
          <w:sz w:val="24"/>
          <w:szCs w:val="24"/>
          <w:color w:val="auto"/>
        </w:rPr>
      </w:pPr>
    </w:p>
    <w:p>
      <w:pPr>
        <w:ind w:left="3280" w:right="1840" w:hanging="3259"/>
        <w:spacing w:after="0" w:line="456" w:lineRule="auto"/>
        <w:tabs>
          <w:tab w:leader="none" w:pos="25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DECEMBER 31, 2022</w:t>
      </w:r>
    </w:p>
    <w:p>
      <w:pPr>
        <w:spacing w:after="0" w:line="318" w:lineRule="exact"/>
        <w:rPr>
          <w:sz w:val="24"/>
          <w:szCs w:val="24"/>
          <w:color w:val="auto"/>
        </w:rPr>
      </w:pPr>
    </w:p>
    <w:p>
      <w:pPr>
        <w:ind w:left="260" w:hanging="239"/>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385"/>
        </w:trPr>
        <w:tc>
          <w:tcPr>
            <w:tcW w:w="7400" w:type="dxa"/>
            <w:vAlign w:val="bottom"/>
            <w:gridSpan w:val="2"/>
          </w:tcPr>
          <w:p>
            <w:pPr>
              <w:jc w:val="center"/>
              <w:ind w:left="3741"/>
              <w:spacing w:after="0"/>
              <w:rPr>
                <w:sz w:val="20"/>
                <w:szCs w:val="20"/>
                <w:color w:val="auto"/>
              </w:rPr>
            </w:pPr>
            <w:r>
              <w:rPr>
                <w:rFonts w:ascii="Times New Roman" w:cs="Times New Roman" w:eastAsia="Times New Roman" w:hAnsi="Times New Roman"/>
                <w:sz w:val="18"/>
                <w:szCs w:val="18"/>
                <w:b w:val="1"/>
                <w:bCs w:val="1"/>
                <w:color w:val="auto"/>
              </w:rPr>
              <w:t>COMMISSION FILE NUMBER: 814-00891</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860" w:type="dxa"/>
            <w:vAlign w:val="bottom"/>
            <w:tcBorders>
              <w:bottom w:val="single" w:sz="8" w:color="auto"/>
            </w:tcBorders>
          </w:tcPr>
          <w:p>
            <w:pPr>
              <w:spacing w:after="0"/>
              <w:rPr>
                <w:sz w:val="12"/>
                <w:szCs w:val="12"/>
                <w:color w:val="auto"/>
              </w:rPr>
            </w:pPr>
          </w:p>
        </w:tc>
        <w:tc>
          <w:tcPr>
            <w:tcW w:w="438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68"/>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31"/>
                <w:szCs w:val="31"/>
                <w:b w:val="1"/>
                <w:bCs w:val="1"/>
                <w:color w:val="auto"/>
                <w:w w:val="97"/>
              </w:rPr>
              <w:t>PENNANTPARK FLOATING RATE CAPITAL LTD.</w:t>
            </w:r>
          </w:p>
        </w:tc>
        <w:tc>
          <w:tcPr>
            <w:tcW w:w="0" w:type="dxa"/>
            <w:vAlign w:val="bottom"/>
          </w:tcPr>
          <w:p>
            <w:pPr>
              <w:spacing w:after="0"/>
              <w:rPr>
                <w:sz w:val="1"/>
                <w:szCs w:val="1"/>
                <w:color w:val="auto"/>
              </w:rPr>
            </w:pPr>
          </w:p>
        </w:tc>
      </w:tr>
      <w:tr>
        <w:trPr>
          <w:trHeight w:val="190"/>
        </w:trPr>
        <w:tc>
          <w:tcPr>
            <w:tcW w:w="7400" w:type="dxa"/>
            <w:vAlign w:val="bottom"/>
            <w:gridSpan w:val="2"/>
          </w:tcPr>
          <w:p>
            <w:pPr>
              <w:jc w:val="center"/>
              <w:ind w:left="378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740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3840" w:type="dxa"/>
            <w:vAlign w:val="bottom"/>
          </w:tcPr>
          <w:p>
            <w:pPr>
              <w:jc w:val="right"/>
              <w:ind w:right="2270"/>
              <w:spacing w:after="0"/>
              <w:rPr>
                <w:sz w:val="20"/>
                <w:szCs w:val="20"/>
                <w:color w:val="auto"/>
              </w:rPr>
            </w:pPr>
            <w:r>
              <w:rPr>
                <w:rFonts w:ascii="Times New Roman" w:cs="Times New Roman" w:eastAsia="Times New Roman" w:hAnsi="Times New Roman"/>
                <w:sz w:val="14"/>
                <w:szCs w:val="14"/>
                <w:b w:val="1"/>
                <w:bCs w:val="1"/>
                <w:color w:val="auto"/>
              </w:rPr>
              <w:t>27-3794690</w:t>
            </w:r>
          </w:p>
        </w:tc>
        <w:tc>
          <w:tcPr>
            <w:tcW w:w="0" w:type="dxa"/>
            <w:vAlign w:val="bottom"/>
          </w:tcPr>
          <w:p>
            <w:pPr>
              <w:spacing w:after="0"/>
              <w:rPr>
                <w:sz w:val="1"/>
                <w:szCs w:val="1"/>
                <w:color w:val="auto"/>
              </w:rPr>
            </w:pPr>
          </w:p>
        </w:tc>
      </w:tr>
      <w:tr>
        <w:trPr>
          <w:trHeight w:val="152"/>
        </w:trPr>
        <w:tc>
          <w:tcPr>
            <w:tcW w:w="7400" w:type="dxa"/>
            <w:vAlign w:val="bottom"/>
            <w:gridSpan w:val="2"/>
          </w:tcPr>
          <w:p>
            <w:pPr>
              <w:jc w:val="center"/>
              <w:ind w:right="1740"/>
              <w:spacing w:after="0"/>
              <w:rPr>
                <w:sz w:val="20"/>
                <w:szCs w:val="20"/>
                <w:color w:val="auto"/>
              </w:rPr>
            </w:pPr>
            <w:r>
              <w:rPr>
                <w:rFonts w:ascii="Times New Roman" w:cs="Times New Roman" w:eastAsia="Times New Roman" w:hAnsi="Times New Roman"/>
                <w:sz w:val="12"/>
                <w:szCs w:val="12"/>
                <w:b w:val="1"/>
                <w:bCs w:val="1"/>
                <w:color w:val="auto"/>
                <w:w w:val="97"/>
              </w:rPr>
              <w:t>(State or other jurisdiction of incorporation or organization)</w:t>
            </w:r>
          </w:p>
        </w:tc>
        <w:tc>
          <w:tcPr>
            <w:tcW w:w="3840" w:type="dxa"/>
            <w:vAlign w:val="bottom"/>
          </w:tcPr>
          <w:p>
            <w:pPr>
              <w:jc w:val="center"/>
              <w:ind w:right="1470"/>
              <w:spacing w:after="0"/>
              <w:rPr>
                <w:sz w:val="20"/>
                <w:szCs w:val="20"/>
                <w:color w:val="auto"/>
              </w:rPr>
            </w:pPr>
            <w:r>
              <w:rPr>
                <w:rFonts w:ascii="Times New Roman" w:cs="Times New Roman" w:eastAsia="Times New Roman" w:hAnsi="Times New Roman"/>
                <w:sz w:val="12"/>
                <w:szCs w:val="12"/>
                <w:b w:val="1"/>
                <w:bCs w:val="1"/>
                <w:color w:val="auto"/>
                <w:w w:val="96"/>
              </w:rPr>
              <w:t>(I.R.S. Employer Identification No.)</w:t>
            </w:r>
          </w:p>
        </w:tc>
        <w:tc>
          <w:tcPr>
            <w:tcW w:w="0" w:type="dxa"/>
            <w:vAlign w:val="bottom"/>
          </w:tcPr>
          <w:p>
            <w:pPr>
              <w:spacing w:after="0"/>
              <w:rPr>
                <w:sz w:val="1"/>
                <w:szCs w:val="1"/>
                <w:color w:val="auto"/>
              </w:rPr>
            </w:pPr>
          </w:p>
        </w:tc>
      </w:tr>
      <w:tr>
        <w:trPr>
          <w:trHeight w:val="481"/>
        </w:trPr>
        <w:tc>
          <w:tcPr>
            <w:tcW w:w="740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1691 Michigan Avenue</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40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Miami Beach, Florida</w:t>
            </w:r>
          </w:p>
        </w:tc>
        <w:tc>
          <w:tcPr>
            <w:tcW w:w="3840" w:type="dxa"/>
            <w:vAlign w:val="bottom"/>
            <w:vMerge w:val="restart"/>
          </w:tcPr>
          <w:p>
            <w:pPr>
              <w:jc w:val="right"/>
              <w:ind w:right="2450"/>
              <w:spacing w:after="0"/>
              <w:rPr>
                <w:sz w:val="20"/>
                <w:szCs w:val="20"/>
                <w:color w:val="auto"/>
              </w:rPr>
            </w:pPr>
            <w:r>
              <w:rPr>
                <w:rFonts w:ascii="Times New Roman" w:cs="Times New Roman" w:eastAsia="Times New Roman" w:hAnsi="Times New Roman"/>
                <w:sz w:val="14"/>
                <w:szCs w:val="14"/>
                <w:b w:val="1"/>
                <w:bCs w:val="1"/>
                <w:color w:val="auto"/>
              </w:rPr>
              <w:t>33139</w:t>
            </w:r>
          </w:p>
        </w:tc>
        <w:tc>
          <w:tcPr>
            <w:tcW w:w="0" w:type="dxa"/>
            <w:vAlign w:val="bottom"/>
          </w:tcPr>
          <w:p>
            <w:pPr>
              <w:spacing w:after="0"/>
              <w:rPr>
                <w:sz w:val="1"/>
                <w:szCs w:val="1"/>
                <w:color w:val="auto"/>
              </w:rPr>
            </w:pPr>
          </w:p>
        </w:tc>
      </w:tr>
      <w:tr>
        <w:trPr>
          <w:trHeight w:val="67"/>
        </w:trPr>
        <w:tc>
          <w:tcPr>
            <w:tcW w:w="6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7400" w:type="dxa"/>
            <w:vAlign w:val="bottom"/>
            <w:gridSpan w:val="2"/>
          </w:tcPr>
          <w:p>
            <w:pPr>
              <w:jc w:val="center"/>
              <w:ind w:right="1760"/>
              <w:spacing w:after="0"/>
              <w:rPr>
                <w:sz w:val="20"/>
                <w:szCs w:val="20"/>
                <w:color w:val="auto"/>
              </w:rPr>
            </w:pPr>
            <w:r>
              <w:rPr>
                <w:rFonts w:ascii="Times New Roman" w:cs="Times New Roman" w:eastAsia="Times New Roman" w:hAnsi="Times New Roman"/>
                <w:sz w:val="12"/>
                <w:szCs w:val="12"/>
                <w:b w:val="1"/>
                <w:bCs w:val="1"/>
                <w:color w:val="auto"/>
                <w:w w:val="96"/>
              </w:rPr>
              <w:t>(Address of principal executive offices)</w:t>
            </w:r>
          </w:p>
        </w:tc>
        <w:tc>
          <w:tcPr>
            <w:tcW w:w="3840" w:type="dxa"/>
            <w:vAlign w:val="bottom"/>
          </w:tcPr>
          <w:p>
            <w:pPr>
              <w:jc w:val="center"/>
              <w:ind w:right="1470"/>
              <w:spacing w:after="0"/>
              <w:rPr>
                <w:sz w:val="20"/>
                <w:szCs w:val="20"/>
                <w:color w:val="auto"/>
              </w:rPr>
            </w:pPr>
            <w:r>
              <w:rPr>
                <w:rFonts w:ascii="Times New Roman" w:cs="Times New Roman" w:eastAsia="Times New Roman" w:hAnsi="Times New Roman"/>
                <w:sz w:val="12"/>
                <w:szCs w:val="12"/>
                <w:b w:val="1"/>
                <w:bCs w:val="1"/>
                <w:color w:val="auto"/>
                <w:w w:val="96"/>
              </w:rPr>
              <w:t>(Zip Code)</w:t>
            </w:r>
          </w:p>
        </w:tc>
        <w:tc>
          <w:tcPr>
            <w:tcW w:w="0" w:type="dxa"/>
            <w:vAlign w:val="bottom"/>
          </w:tcPr>
          <w:p>
            <w:pPr>
              <w:spacing w:after="0"/>
              <w:rPr>
                <w:sz w:val="1"/>
                <w:szCs w:val="1"/>
                <w:color w:val="auto"/>
              </w:rPr>
            </w:pPr>
          </w:p>
        </w:tc>
      </w:tr>
      <w:tr>
        <w:trPr>
          <w:trHeight w:val="280"/>
        </w:trPr>
        <w:tc>
          <w:tcPr>
            <w:tcW w:w="6860" w:type="dxa"/>
            <w:vAlign w:val="bottom"/>
          </w:tcPr>
          <w:p>
            <w:pPr>
              <w:jc w:val="center"/>
              <w:ind w:left="4321"/>
              <w:spacing w:after="0"/>
              <w:rPr>
                <w:sz w:val="20"/>
                <w:szCs w:val="20"/>
                <w:color w:val="auto"/>
              </w:rPr>
            </w:pPr>
            <w:r>
              <w:rPr>
                <w:rFonts w:ascii="Times New Roman" w:cs="Times New Roman" w:eastAsia="Times New Roman" w:hAnsi="Times New Roman"/>
                <w:sz w:val="14"/>
                <w:szCs w:val="14"/>
                <w:b w:val="1"/>
                <w:bCs w:val="1"/>
                <w:color w:val="auto"/>
              </w:rPr>
              <w:t>(786) 297-9500</w:t>
            </w:r>
          </w:p>
        </w:tc>
        <w:tc>
          <w:tcPr>
            <w:tcW w:w="5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400" w:type="dxa"/>
            <w:vAlign w:val="bottom"/>
            <w:gridSpan w:val="2"/>
          </w:tcPr>
          <w:p>
            <w:pPr>
              <w:jc w:val="center"/>
              <w:ind w:left="3761"/>
              <w:spacing w:after="0"/>
              <w:rPr>
                <w:sz w:val="20"/>
                <w:szCs w:val="20"/>
                <w:color w:val="auto"/>
              </w:rPr>
            </w:pPr>
            <w:r>
              <w:rPr>
                <w:rFonts w:ascii="Times New Roman" w:cs="Times New Roman" w:eastAsia="Times New Roman" w:hAnsi="Times New Roman"/>
                <w:sz w:val="12"/>
                <w:szCs w:val="12"/>
                <w:b w:val="1"/>
                <w:bCs w:val="1"/>
                <w:color w:val="auto"/>
                <w:w w:val="96"/>
              </w:rPr>
              <w:t>(Registrant’s Telephone Number, Including Area Code)</w:t>
            </w: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6" w:lineRule="exact"/>
        <w:rPr>
          <w:sz w:val="24"/>
          <w:szCs w:val="24"/>
          <w:color w:val="auto"/>
        </w:rPr>
      </w:pPr>
    </w:p>
    <w:tbl>
      <w:tblPr>
        <w:tblLayout w:type="fixed"/>
        <w:tblInd w:w="480" w:type="dxa"/>
        <w:tblCellMar>
          <w:top w:w="0" w:type="dxa"/>
          <w:left w:w="0" w:type="dxa"/>
          <w:bottom w:w="0" w:type="dxa"/>
          <w:right w:w="0" w:type="dxa"/>
        </w:tblCellMar>
      </w:tblPr>
      <w:tr>
        <w:trPr>
          <w:trHeight w:val="188"/>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64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298"/>
        </w:trPr>
        <w:tc>
          <w:tcPr>
            <w:tcW w:w="3960" w:type="dxa"/>
            <w:vAlign w:val="bottom"/>
          </w:tcPr>
          <w:p>
            <w:pPr>
              <w:jc w:val="center"/>
              <w:ind w:right="10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9"/>
        </w:trPr>
        <w:tc>
          <w:tcPr>
            <w:tcW w:w="396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64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PFLT</w:t>
            </w:r>
          </w:p>
        </w:tc>
        <w:tc>
          <w:tcPr>
            <w:tcW w:w="3700" w:type="dxa"/>
            <w:vAlign w:val="bottom"/>
          </w:tcPr>
          <w:p>
            <w:pPr>
              <w:jc w:val="center"/>
              <w:ind w:left="804"/>
              <w:spacing w:after="0"/>
              <w:rPr>
                <w:sz w:val="20"/>
                <w:szCs w:val="20"/>
                <w:color w:val="auto"/>
              </w:rPr>
            </w:pPr>
            <w:r>
              <w:rPr>
                <w:rFonts w:ascii="Times New Roman" w:cs="Times New Roman" w:eastAsia="Times New Roman" w:hAnsi="Times New Roman"/>
                <w:sz w:val="16"/>
                <w:szCs w:val="16"/>
                <w:color w:val="auto"/>
              </w:rPr>
              <w:t>The New York Stock Exchange</w:t>
            </w:r>
          </w:p>
        </w:tc>
      </w:tr>
    </w:tbl>
    <w:p>
      <w:pPr>
        <w:spacing w:after="0" w:line="145" w:lineRule="exact"/>
        <w:rPr>
          <w:sz w:val="24"/>
          <w:szCs w:val="24"/>
          <w:color w:val="auto"/>
        </w:rPr>
      </w:pPr>
    </w:p>
    <w:p>
      <w:pPr>
        <w:ind w:firstLine="47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right="20" w:firstLine="47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right="160" w:firstLine="47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4"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2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45"/>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22" w:lineRule="exact"/>
        <w:rPr>
          <w:sz w:val="24"/>
          <w:szCs w:val="24"/>
          <w:color w:val="auto"/>
        </w:rPr>
      </w:pPr>
    </w:p>
    <w:p>
      <w:pPr>
        <w:jc w:val="both"/>
        <w:ind w:right="80" w:firstLine="481"/>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8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9"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color w:val="auto"/>
        </w:rPr>
        <w:t>The number of shares of the registrant’s common stock, $0.001 par value per share, outstanding as of February 8, 2023 was 49,681,815.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431165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FORM 10-Q FOR THE QUARTER ENDED DECEMBER 31, 2022</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80" w:type="dxa"/>
            <w:vAlign w:val="bottom"/>
            <w:gridSpan w:val="14"/>
          </w:tcPr>
          <w:p>
            <w:pPr>
              <w:jc w:val="center"/>
              <w:ind w:left="568"/>
              <w:spacing w:after="0"/>
              <w:rPr>
                <w:sz w:val="20"/>
                <w:szCs w:val="20"/>
                <w:color w:val="auto"/>
              </w:rPr>
            </w:pPr>
            <w:r>
              <w:rPr>
                <w:rFonts w:ascii="Times New Roman" w:cs="Times New Roman" w:eastAsia="Times New Roman" w:hAnsi="Times New Roman"/>
                <w:sz w:val="14"/>
                <w:szCs w:val="14"/>
                <w:b w:val="1"/>
                <w:bCs w:val="1"/>
                <w:color w:val="0000FF"/>
              </w:rPr>
              <w:t>PART I. CONSOLIDATED FINANCIAL INFORMATION</w:t>
            </w:r>
          </w:p>
        </w:tc>
        <w:tc>
          <w:tcPr>
            <w:tcW w:w="3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34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0000FF"/>
              </w:rPr>
              <w:t>Item 1. Consolidated Financial Statements</w:t>
            </w:r>
          </w:p>
        </w:tc>
        <w:tc>
          <w:tcPr>
            <w:tcW w:w="3640" w:type="dxa"/>
            <w:vAlign w:val="bottom"/>
            <w:tcBorders>
              <w:top w:val="single" w:sz="8" w:color="0000FF"/>
            </w:tcBorders>
            <w:gridSpan w:val="12"/>
          </w:tcPr>
          <w:p>
            <w:pPr>
              <w:spacing w:after="0"/>
              <w:rPr>
                <w:sz w:val="24"/>
                <w:szCs w:val="24"/>
                <w:color w:val="auto"/>
              </w:rPr>
            </w:pPr>
          </w:p>
        </w:tc>
        <w:tc>
          <w:tcPr>
            <w:tcW w:w="2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0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Consolidated Statements of Assets and Liabilities as of December 31, 2022 (unaudited) and September 30, 2022</w:t>
            </w:r>
          </w:p>
        </w:tc>
        <w:tc>
          <w:tcPr>
            <w:tcW w:w="3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0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three months ended December 31, 2022 and 2021 (unaudited)</w:t>
            </w:r>
          </w:p>
        </w:tc>
        <w:tc>
          <w:tcPr>
            <w:tcW w:w="3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0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Consolidated Statements of Changes in Net Assets for the three months ended December 31, 2022 and 2021 (unaudited)</w:t>
            </w:r>
          </w:p>
        </w:tc>
        <w:tc>
          <w:tcPr>
            <w:tcW w:w="3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0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three months ended December 31, 2022 and 2021 (unaudited)</w:t>
            </w:r>
          </w:p>
        </w:tc>
        <w:tc>
          <w:tcPr>
            <w:tcW w:w="3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0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Consolidated Schedules of Investments as of December 31, 2022 (unaudited) and September 30, 2022</w:t>
            </w:r>
          </w:p>
        </w:tc>
        <w:tc>
          <w:tcPr>
            <w:tcW w:w="3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0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 (unaudited)</w:t>
            </w:r>
          </w:p>
        </w:tc>
        <w:tc>
          <w:tcPr>
            <w:tcW w:w="3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 (PCAOB ID 49)</w:t>
            </w:r>
          </w:p>
        </w:tc>
        <w:tc>
          <w:tcPr>
            <w:tcW w:w="1240" w:type="dxa"/>
            <w:vAlign w:val="bottom"/>
            <w:vMerge w:val="restart"/>
          </w:tcPr>
          <w:p>
            <w:pPr>
              <w:spacing w:after="0"/>
              <w:rPr>
                <w:sz w:val="24"/>
                <w:szCs w:val="24"/>
                <w:color w:val="auto"/>
              </w:rPr>
            </w:pPr>
          </w:p>
        </w:tc>
        <w:tc>
          <w:tcPr>
            <w:tcW w:w="420" w:type="dxa"/>
            <w:vAlign w:val="bottom"/>
            <w:gridSpan w:val="2"/>
            <w:vMerge w:val="restart"/>
          </w:tcPr>
          <w:p>
            <w:pPr>
              <w:spacing w:after="0"/>
              <w:rPr>
                <w:sz w:val="24"/>
                <w:szCs w:val="24"/>
                <w:color w:val="auto"/>
              </w:rPr>
            </w:pPr>
          </w:p>
        </w:tc>
        <w:tc>
          <w:tcPr>
            <w:tcW w:w="920" w:type="dxa"/>
            <w:vAlign w:val="bottom"/>
            <w:gridSpan w:val="5"/>
            <w:vMerge w:val="restart"/>
          </w:tcPr>
          <w:p>
            <w:pPr>
              <w:spacing w:after="0"/>
              <w:rPr>
                <w:sz w:val="24"/>
                <w:szCs w:val="24"/>
                <w:color w:val="auto"/>
              </w:rPr>
            </w:pPr>
          </w:p>
        </w:tc>
        <w:tc>
          <w:tcPr>
            <w:tcW w:w="3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920" w:type="dxa"/>
            <w:vAlign w:val="bottom"/>
            <w:gridSpan w:val="5"/>
            <w:vMerge w:val="continue"/>
          </w:tcPr>
          <w:p>
            <w:pPr>
              <w:spacing w:after="0" w:line="20" w:lineRule="exact"/>
              <w:rPr>
                <w:sz w:val="1"/>
                <w:szCs w:val="1"/>
                <w:color w:val="auto"/>
              </w:rPr>
            </w:pPr>
          </w:p>
        </w:tc>
        <w:tc>
          <w:tcPr>
            <w:tcW w:w="3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9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b w:val="1"/>
                <w:bCs w:val="1"/>
                <w:color w:val="0000FF"/>
              </w:rPr>
              <w:t>Item 2. Management’s Discussion and Analysis of Financial Condition and Results of Operations</w:t>
            </w:r>
          </w:p>
        </w:tc>
        <w:tc>
          <w:tcPr>
            <w:tcW w:w="1340" w:type="dxa"/>
            <w:vAlign w:val="bottom"/>
            <w:gridSpan w:val="7"/>
          </w:tcPr>
          <w:p>
            <w:pPr>
              <w:spacing w:after="0"/>
              <w:rPr>
                <w:sz w:val="24"/>
                <w:szCs w:val="24"/>
                <w:color w:val="auto"/>
              </w:rPr>
            </w:pPr>
          </w:p>
        </w:tc>
        <w:tc>
          <w:tcPr>
            <w:tcW w:w="3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2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b w:val="1"/>
                <w:bCs w:val="1"/>
                <w:color w:val="0000FF"/>
              </w:rPr>
              <w:t>Item 3. Quantitative and Qualitative Disclosures About Market Risk</w:t>
            </w:r>
          </w:p>
        </w:tc>
        <w:tc>
          <w:tcPr>
            <w:tcW w:w="3080" w:type="dxa"/>
            <w:vAlign w:val="bottom"/>
            <w:gridSpan w:val="9"/>
          </w:tcPr>
          <w:p>
            <w:pPr>
              <w:spacing w:after="0"/>
              <w:rPr>
                <w:sz w:val="24"/>
                <w:szCs w:val="24"/>
                <w:color w:val="auto"/>
              </w:rPr>
            </w:pPr>
          </w:p>
        </w:tc>
        <w:tc>
          <w:tcPr>
            <w:tcW w:w="3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2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FF"/>
              </w:rPr>
              <w:t>Item 4. Controls and Procedures</w:t>
            </w:r>
          </w:p>
        </w:tc>
        <w:tc>
          <w:tcPr>
            <w:tcW w:w="3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0000FF"/>
              </w:rPr>
              <w:t>PART II. OTHER INFORMATION</w:t>
            </w:r>
          </w:p>
        </w:tc>
        <w:tc>
          <w:tcPr>
            <w:tcW w:w="920" w:type="dxa"/>
            <w:vAlign w:val="bottom"/>
            <w:gridSpan w:val="5"/>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72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FF"/>
              </w:rPr>
              <w:t>Item 1. Legal Proceedings</w:t>
            </w:r>
          </w:p>
        </w:tc>
        <w:tc>
          <w:tcPr>
            <w:tcW w:w="3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3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b w:val="1"/>
                <w:bCs w:val="1"/>
                <w:color w:val="0000FF"/>
              </w:rPr>
              <w:t>Item 1A. Risk Factors</w:t>
            </w:r>
          </w:p>
        </w:tc>
        <w:tc>
          <w:tcPr>
            <w:tcW w:w="20" w:type="dxa"/>
            <w:vAlign w:val="bottom"/>
            <w:tcBorders>
              <w:top w:val="single" w:sz="8" w:color="0000FF"/>
              <w:bottom w:val="single" w:sz="8" w:color="0000EE"/>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700" w:type="dxa"/>
            <w:vAlign w:val="bottom"/>
            <w:gridSpan w:val="19"/>
          </w:tcPr>
          <w:p>
            <w:pPr>
              <w:spacing w:after="0"/>
              <w:rPr>
                <w:sz w:val="24"/>
                <w:szCs w:val="24"/>
                <w:color w:val="auto"/>
              </w:rPr>
            </w:pPr>
          </w:p>
        </w:tc>
        <w:tc>
          <w:tcPr>
            <w:tcW w:w="3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2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FF"/>
              </w:rPr>
              <w:t>Item 2. Unregistered Sales of Equity Securities and Use of Proceeds</w:t>
            </w:r>
          </w:p>
        </w:tc>
        <w:tc>
          <w:tcPr>
            <w:tcW w:w="3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1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b w:val="1"/>
                <w:bCs w:val="1"/>
                <w:color w:val="0000FF"/>
              </w:rPr>
              <w:t>Item 3. Defaults Upon Senior Securities</w:t>
            </w:r>
          </w:p>
        </w:tc>
        <w:tc>
          <w:tcPr>
            <w:tcW w:w="3160" w:type="dxa"/>
            <w:vAlign w:val="bottom"/>
            <w:gridSpan w:val="11"/>
          </w:tcPr>
          <w:p>
            <w:pPr>
              <w:spacing w:after="0"/>
              <w:rPr>
                <w:sz w:val="24"/>
                <w:szCs w:val="24"/>
                <w:color w:val="auto"/>
              </w:rPr>
            </w:pPr>
          </w:p>
        </w:tc>
        <w:tc>
          <w:tcPr>
            <w:tcW w:w="3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9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b w:val="1"/>
                <w:bCs w:val="1"/>
                <w:color w:val="0000FF"/>
              </w:rPr>
              <w:t>Item 4. Mine Safety Disclosures</w:t>
            </w:r>
          </w:p>
        </w:tc>
        <w:tc>
          <w:tcPr>
            <w:tcW w:w="480" w:type="dxa"/>
            <w:vAlign w:val="bottom"/>
            <w:tcBorders>
              <w:top w:val="single" w:sz="8" w:color="0000FF"/>
            </w:tcBorders>
            <w:gridSpan w:val="2"/>
          </w:tcPr>
          <w:p>
            <w:pPr>
              <w:spacing w:after="0"/>
              <w:rPr>
                <w:sz w:val="24"/>
                <w:szCs w:val="24"/>
                <w:color w:val="auto"/>
              </w:rPr>
            </w:pPr>
          </w:p>
        </w:tc>
        <w:tc>
          <w:tcPr>
            <w:tcW w:w="4860" w:type="dxa"/>
            <w:vAlign w:val="bottom"/>
            <w:gridSpan w:val="15"/>
          </w:tcPr>
          <w:p>
            <w:pPr>
              <w:spacing w:after="0"/>
              <w:rPr>
                <w:sz w:val="24"/>
                <w:szCs w:val="24"/>
                <w:color w:val="auto"/>
              </w:rPr>
            </w:pPr>
          </w:p>
        </w:tc>
        <w:tc>
          <w:tcPr>
            <w:tcW w:w="3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2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0000FF"/>
              </w:rPr>
              <w:t>Item 5. Other Information</w:t>
            </w:r>
          </w:p>
        </w:tc>
        <w:tc>
          <w:tcPr>
            <w:tcW w:w="3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6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b w:val="1"/>
                <w:bCs w:val="1"/>
                <w:color w:val="0000FF"/>
              </w:rPr>
              <w:t>Item 6. Exhibits</w:t>
            </w:r>
          </w:p>
        </w:tc>
        <w:tc>
          <w:tcPr>
            <w:tcW w:w="5660" w:type="dxa"/>
            <w:vAlign w:val="bottom"/>
            <w:gridSpan w:val="18"/>
          </w:tcPr>
          <w:p>
            <w:pPr>
              <w:spacing w:after="0"/>
              <w:rPr>
                <w:sz w:val="24"/>
                <w:szCs w:val="24"/>
                <w:color w:val="auto"/>
              </w:rPr>
            </w:pPr>
          </w:p>
        </w:tc>
        <w:tc>
          <w:tcPr>
            <w:tcW w:w="3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b w:val="1"/>
                <w:bCs w:val="1"/>
                <w:color w:val="0000FF"/>
              </w:rPr>
              <w:t>SIGNATURES</w:t>
            </w:r>
          </w:p>
        </w:tc>
        <w:tc>
          <w:tcPr>
            <w:tcW w:w="6300" w:type="dxa"/>
            <w:vAlign w:val="bottom"/>
            <w:gridSpan w:val="22"/>
          </w:tcPr>
          <w:p>
            <w:pPr>
              <w:spacing w:after="0"/>
              <w:rPr>
                <w:sz w:val="24"/>
                <w:szCs w:val="24"/>
                <w:color w:val="auto"/>
              </w:rPr>
            </w:pPr>
          </w:p>
        </w:tc>
        <w:tc>
          <w:tcPr>
            <w:tcW w:w="3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PART I—CONSOLIDATED FINANCIAL INFORMATION</w:t>
      </w:r>
    </w:p>
    <w:p>
      <w:pPr>
        <w:spacing w:after="0" w:line="6" w:lineRule="exact"/>
        <w:rPr>
          <w:sz w:val="20"/>
          <w:szCs w:val="20"/>
          <w:color w:val="auto"/>
        </w:rPr>
      </w:pPr>
    </w:p>
    <w:p>
      <w:pPr>
        <w:jc w:val="both"/>
        <w:ind w:firstLine="449"/>
        <w:spacing w:after="0" w:line="226" w:lineRule="auto"/>
        <w:rPr>
          <w:sz w:val="20"/>
          <w:szCs w:val="20"/>
          <w:color w:val="auto"/>
        </w:rPr>
      </w:pPr>
      <w:r>
        <w:rPr>
          <w:rFonts w:ascii="Times New Roman" w:cs="Times New Roman" w:eastAsia="Times New Roman" w:hAnsi="Times New Roman"/>
          <w:sz w:val="14"/>
          <w:szCs w:val="14"/>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refers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“PTSF” refers to PennantPark-TSO Senior Loan Fund, LP, an unconsolidated limited partnership; “PennantPark Investment Advisers” or “Investment Adviser” refer to PennantPark Investment Advisers, LLC; “PennantPark Investment Administration” or “Administrator” refers to PennantPark Investment Administration, LLC; “2023 Notes” refers to our 4.3% Series A notes due 2023; “2026 Notes” refers to our 4.25% Notes due 2026; “1940 Act” refers to the Investment Company Act of 1940, as amended; “SBCAA” refers to the Small Business Credit Availability Act; “Code” refers to the Internal Revenue Code of 1986, as amended; “RIC” refers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regulated investment company under the Code; “BDC” refers to a business development company under the 1940 Act; “Prior Credit Facility” refers to our multi-currency senior secured</w:t>
      </w:r>
    </w:p>
    <w:p>
      <w:pPr>
        <w:spacing w:after="0" w:line="27"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4"/>
          <w:szCs w:val="14"/>
          <w:color w:val="auto"/>
        </w:rPr>
        <w:t>revolving credit facility, as amended and restated with Truist Bank (formerly SunTrust Bank) and other lenders, originally entered into on June 23, 2011 and terminated on August 12, 2021;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w:t>
      </w:r>
    </w:p>
    <w:p>
      <w:pPr>
        <w:spacing w:after="0" w:line="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the borrowing of the Class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Senior Secured Floating Rate Notes due 2031 by the Securitization Issuers in connection with the Debt Securitization; and “Depositor” refers to PennantPark CLO</w:t>
      </w:r>
    </w:p>
    <w:p>
      <w:pPr>
        <w:spacing w:after="0" w:line="6"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4"/>
          <w:szCs w:val="14"/>
          <w:color w:val="auto"/>
        </w:rPr>
        <w:t>I Depositor, LLC. References to our portfolio, our investments, our multi-currency, senior secured revolving credit facility, as amended and restated, or the Credit Facility, and our business include investments we make through our subsidiaries.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 Consolidated Financial Statements</w:t>
            </w: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100" w:type="dxa"/>
            <w:vAlign w:val="bottom"/>
            <w:gridSpan w:val="2"/>
          </w:tcPr>
          <w:p>
            <w:pPr>
              <w:jc w:val="center"/>
              <w:ind w:left="3088"/>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8100" w:type="dxa"/>
            <w:vAlign w:val="bottom"/>
            <w:gridSpan w:val="2"/>
          </w:tcPr>
          <w:p>
            <w:pPr>
              <w:jc w:val="center"/>
              <w:ind w:left="306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STATEMENTS OF ASSETS AND LIABILITIES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100" w:type="dxa"/>
            <w:vAlign w:val="bottom"/>
            <w:gridSpan w:val="2"/>
          </w:tcPr>
          <w:p>
            <w:pPr>
              <w:jc w:val="center"/>
              <w:ind w:left="3088"/>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6720" w:type="dxa"/>
            <w:vAlign w:val="bottom"/>
          </w:tcPr>
          <w:p>
            <w:pPr>
              <w:spacing w:after="0"/>
              <w:rPr>
                <w:sz w:val="24"/>
                <w:szCs w:val="24"/>
                <w:color w:val="auto"/>
              </w:rPr>
            </w:pPr>
          </w:p>
        </w:tc>
        <w:tc>
          <w:tcPr>
            <w:tcW w:w="222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Pr>
          <w:p>
            <w:pPr>
              <w:spacing w:after="0"/>
              <w:rPr>
                <w:sz w:val="24"/>
                <w:szCs w:val="24"/>
                <w:color w:val="auto"/>
              </w:rPr>
            </w:pPr>
          </w:p>
        </w:tc>
        <w:tc>
          <w:tcPr>
            <w:tcW w:w="20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169"/>
        </w:trPr>
        <w:tc>
          <w:tcPr>
            <w:tcW w:w="672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90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8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9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1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Non-controlled, non-affiliated investments (cost— $872,780 and $882,570, respectively)</w:t>
            </w:r>
          </w:p>
        </w:tc>
        <w:tc>
          <w:tcPr>
            <w:tcW w:w="1380" w:type="dxa"/>
            <w:vAlign w:val="bottom"/>
            <w:shd w:val="clear" w:color="auto" w:fill="CCECFF"/>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870,741</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893,249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Controlled, affiliated investments (cost— $308,245 and $294,787, respectively)</w:t>
            </w:r>
          </w:p>
        </w:tc>
        <w:tc>
          <w:tcPr>
            <w:tcW w:w="1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280,396</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 (cost— $1,181,025 and $1,177,357, respectively)</w:t>
            </w:r>
          </w:p>
        </w:tc>
        <w:tc>
          <w:tcPr>
            <w:tcW w:w="138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99"/>
              </w:rPr>
              <w:t>1,151,137</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1,164,254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(cost—$52,944 and $47,917, respectively)</w:t>
            </w:r>
          </w:p>
        </w:tc>
        <w:tc>
          <w:tcPr>
            <w:tcW w:w="1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52,935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13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8,736</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7,543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for investments sold</w:t>
            </w:r>
          </w:p>
        </w:tc>
        <w:tc>
          <w:tcPr>
            <w:tcW w:w="1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Distributions receivable</w:t>
            </w:r>
          </w:p>
        </w:tc>
        <w:tc>
          <w:tcPr>
            <w:tcW w:w="13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20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380" w:type="dxa"/>
            <w:vAlign w:val="bottom"/>
            <w:tcBorders>
              <w:bottom w:val="single" w:sz="8" w:color="auto"/>
            </w:tcBorders>
            <w:shd w:val="clear" w:color="auto" w:fill="CCECFF"/>
          </w:tcPr>
          <w:p>
            <w:pPr>
              <w:spacing w:after="0"/>
              <w:rPr>
                <w:sz w:val="14"/>
                <w:szCs w:val="14"/>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99"/>
              </w:rPr>
              <w:t>1,226,683</w:t>
            </w:r>
          </w:p>
        </w:tc>
        <w:tc>
          <w:tcPr>
            <w:tcW w:w="24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1,223,866</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Distributions payable</w:t>
            </w:r>
          </w:p>
        </w:tc>
        <w:tc>
          <w:tcPr>
            <w:tcW w:w="13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4,308</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6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Credit Facility payable, at fair value (cost—$199,654 and $168,830, respectively) (See Notes 5 and 10)</w:t>
            </w:r>
          </w:p>
        </w:tc>
        <w:tc>
          <w:tcPr>
            <w:tcW w:w="13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197,688</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167,563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 Notes payable, at fair value (par—$76,219 and $97,006, respectively) (See Notes 5 and 10)</w:t>
            </w:r>
          </w:p>
        </w:tc>
        <w:tc>
          <w:tcPr>
            <w:tcW w:w="1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73,833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2026 Notes payable, net (par—$185,000) (See Notes 5 and 10)</w:t>
            </w:r>
          </w:p>
        </w:tc>
        <w:tc>
          <w:tcPr>
            <w:tcW w:w="13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182,471</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182,276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 Asset-Backed Debt, net (par—$228,000) (See Notes 5 and 10)</w:t>
            </w:r>
          </w:p>
        </w:tc>
        <w:tc>
          <w:tcPr>
            <w:tcW w:w="1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226,286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debt</w:t>
            </w:r>
          </w:p>
        </w:tc>
        <w:tc>
          <w:tcPr>
            <w:tcW w:w="13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6,075</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8,163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 management fee payable (See Note 3)</w:t>
            </w:r>
          </w:p>
        </w:tc>
        <w:tc>
          <w:tcPr>
            <w:tcW w:w="1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Performance-based incentive fee payable (See Note 3)</w:t>
            </w:r>
          </w:p>
        </w:tc>
        <w:tc>
          <w:tcPr>
            <w:tcW w:w="13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3,433</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1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1380" w:type="dxa"/>
            <w:vAlign w:val="bottom"/>
            <w:tcBorders>
              <w:bottom w:val="single" w:sz="8" w:color="auto"/>
            </w:tcBorders>
            <w:shd w:val="clear" w:color="auto" w:fill="CCECFF"/>
          </w:tcPr>
          <w:p>
            <w:pPr>
              <w:spacing w:after="0"/>
              <w:rPr>
                <w:sz w:val="15"/>
                <w:szCs w:val="15"/>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24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19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713,153</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696,774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11)</w:t>
            </w:r>
          </w:p>
        </w:tc>
        <w:tc>
          <w:tcPr>
            <w:tcW w:w="138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9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720" w:type="dxa"/>
            <w:vAlign w:val="bottom"/>
            <w:shd w:val="clear" w:color="auto" w:fill="CCECFF"/>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45,431,815 and 45,345,638 shares issued and outstanding, respectively</w:t>
            </w:r>
          </w:p>
        </w:tc>
        <w:tc>
          <w:tcPr>
            <w:tcW w:w="1380" w:type="dxa"/>
            <w:vAlign w:val="bottom"/>
            <w:shd w:val="clear" w:color="auto" w:fill="CCECFF"/>
          </w:tcPr>
          <w:p>
            <w:pPr>
              <w:spacing w:after="0"/>
              <w:rPr>
                <w:sz w:val="12"/>
                <w:szCs w:val="12"/>
                <w:color w:val="auto"/>
              </w:rPr>
            </w:pPr>
          </w:p>
        </w:tc>
        <w:tc>
          <w:tcPr>
            <w:tcW w:w="6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4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19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7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Par value $0.001 per share and 100,000,000 shares authorized</w:t>
            </w:r>
          </w:p>
        </w:tc>
        <w:tc>
          <w:tcPr>
            <w:tcW w:w="1380" w:type="dxa"/>
            <w:vAlign w:val="bottom"/>
            <w:shd w:val="clear" w:color="auto" w:fill="CCECFF"/>
          </w:tcPr>
          <w:p>
            <w:pPr>
              <w:spacing w:after="0"/>
              <w:rPr>
                <w:sz w:val="16"/>
                <w:szCs w:val="16"/>
                <w:color w:val="auto"/>
              </w:rPr>
            </w:pPr>
          </w:p>
        </w:tc>
        <w:tc>
          <w:tcPr>
            <w:tcW w:w="600" w:type="dxa"/>
            <w:vAlign w:val="bottom"/>
            <w:vMerge w:val="continue"/>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900" w:type="dxa"/>
            <w:vAlign w:val="bottom"/>
            <w:vMerge w:val="continue"/>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Paid-in capital in excess of par value</w:t>
            </w:r>
          </w:p>
        </w:tc>
        <w:tc>
          <w:tcPr>
            <w:tcW w:w="13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619,019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618,028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380" w:type="dxa"/>
            <w:vAlign w:val="bottom"/>
            <w:shd w:val="clear" w:color="auto" w:fill="CCECFF"/>
          </w:tcPr>
          <w:p>
            <w:pPr>
              <w:spacing w:after="0"/>
              <w:rPr>
                <w:sz w:val="15"/>
                <w:szCs w:val="15"/>
                <w:color w:val="auto"/>
              </w:rPr>
            </w:pPr>
          </w:p>
        </w:tc>
        <w:tc>
          <w:tcPr>
            <w:tcW w:w="8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(105,534 )</w:t>
            </w:r>
          </w:p>
        </w:tc>
        <w:tc>
          <w:tcPr>
            <w:tcW w:w="300" w:type="dxa"/>
            <w:vAlign w:val="bottom"/>
            <w:shd w:val="clear" w:color="auto" w:fill="CCECFF"/>
          </w:tcPr>
          <w:p>
            <w:pPr>
              <w:spacing w:after="0"/>
              <w:rPr>
                <w:sz w:val="15"/>
                <w:szCs w:val="15"/>
                <w:color w:val="auto"/>
              </w:rPr>
            </w:pPr>
          </w:p>
        </w:tc>
        <w:tc>
          <w:tcPr>
            <w:tcW w:w="20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(90,981 )</w:t>
            </w:r>
          </w:p>
        </w:tc>
        <w:tc>
          <w:tcPr>
            <w:tcW w:w="0" w:type="dxa"/>
            <w:vAlign w:val="bottom"/>
          </w:tcPr>
          <w:p>
            <w:pPr>
              <w:spacing w:after="0"/>
              <w:rPr>
                <w:sz w:val="1"/>
                <w:szCs w:val="1"/>
                <w:color w:val="auto"/>
              </w:rPr>
            </w:pPr>
          </w:p>
        </w:tc>
      </w:tr>
      <w:tr>
        <w:trPr>
          <w:trHeight w:val="169"/>
        </w:trPr>
        <w:tc>
          <w:tcPr>
            <w:tcW w:w="672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1380" w:type="dxa"/>
            <w:vAlign w:val="bottom"/>
            <w:tcBorders>
              <w:top w:val="single" w:sz="8" w:color="auto"/>
              <w:bottom w:val="single" w:sz="8" w:color="auto"/>
            </w:tcBorders>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513,530</w:t>
            </w:r>
          </w:p>
        </w:tc>
        <w:tc>
          <w:tcPr>
            <w:tcW w:w="240" w:type="dxa"/>
            <w:vAlign w:val="bottom"/>
            <w:tcBorders>
              <w:top w:val="single" w:sz="8" w:color="CCEC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527,092</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72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1380" w:type="dxa"/>
            <w:vAlign w:val="bottom"/>
            <w:tcBorders>
              <w:bottom w:val="single" w:sz="8" w:color="auto"/>
            </w:tcBorders>
            <w:shd w:val="clear" w:color="auto" w:fill="CCECFF"/>
          </w:tcPr>
          <w:p>
            <w:pPr>
              <w:jc w:val="right"/>
              <w:ind w:right="1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1,226,683</w:t>
            </w:r>
          </w:p>
        </w:tc>
        <w:tc>
          <w:tcPr>
            <w:tcW w:w="24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1,223,866</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7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1380" w:type="dxa"/>
            <w:vAlign w:val="bottom"/>
            <w:tcBorders>
              <w:bottom w:val="single" w:sz="8" w:color="auto"/>
            </w:tcBorders>
          </w:tcPr>
          <w:p>
            <w:pPr>
              <w:jc w:val="right"/>
              <w:ind w:right="1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11.30</w:t>
            </w:r>
          </w:p>
        </w:tc>
        <w:tc>
          <w:tcPr>
            <w:tcW w:w="240" w:type="dxa"/>
            <w:vAlign w:val="bottom"/>
          </w:tcPr>
          <w:p>
            <w:pPr>
              <w:spacing w:after="0"/>
              <w:rPr>
                <w:sz w:val="13"/>
                <w:szCs w:val="13"/>
                <w:color w:val="auto"/>
              </w:rPr>
            </w:pPr>
          </w:p>
        </w:tc>
        <w:tc>
          <w:tcPr>
            <w:tcW w:w="30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-2527935</wp:posOffset>
            </wp:positionV>
            <wp:extent cx="6858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-1182370</wp:posOffset>
            </wp:positionV>
            <wp:extent cx="6858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-402590</wp:posOffset>
            </wp:positionV>
            <wp:extent cx="6858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-162560</wp:posOffset>
            </wp:positionV>
            <wp:extent cx="161163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11630" cy="16319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4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From non-controlled, non-affiliated investments:</w:t>
            </w:r>
          </w:p>
        </w:tc>
        <w:tc>
          <w:tcPr>
            <w:tcW w:w="1020" w:type="dxa"/>
            <w:vAlign w:val="bottom"/>
            <w:shd w:val="clear" w:color="auto" w:fill="CCECFF"/>
          </w:tcPr>
          <w:p>
            <w:pPr>
              <w:spacing w:after="0"/>
              <w:rPr>
                <w:sz w:val="15"/>
                <w:szCs w:val="15"/>
                <w:color w:val="auto"/>
              </w:rPr>
            </w:pPr>
          </w:p>
        </w:tc>
        <w:tc>
          <w:tcPr>
            <w:tcW w:w="5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5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20,735</w:t>
            </w:r>
          </w:p>
        </w:tc>
        <w:tc>
          <w:tcPr>
            <w:tcW w:w="260" w:type="dxa"/>
            <w:vAlign w:val="bottom"/>
          </w:tcPr>
          <w:p>
            <w:pPr>
              <w:spacing w:after="0"/>
              <w:rPr>
                <w:sz w:val="15"/>
                <w:szCs w:val="15"/>
                <w:color w:val="auto"/>
              </w:rPr>
            </w:pP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Dividend</w:t>
            </w:r>
          </w:p>
        </w:tc>
        <w:tc>
          <w:tcPr>
            <w:tcW w:w="102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26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From non-controlled, affiliated investments:</w:t>
            </w:r>
          </w:p>
        </w:tc>
        <w:tc>
          <w:tcPr>
            <w:tcW w:w="1020" w:type="dxa"/>
            <w:vAlign w:val="bottom"/>
            <w:shd w:val="clear" w:color="auto" w:fill="CCECFF"/>
          </w:tcPr>
          <w:p>
            <w:pPr>
              <w:spacing w:after="0"/>
              <w:rPr>
                <w:sz w:val="15"/>
                <w:szCs w:val="15"/>
                <w:color w:val="auto"/>
              </w:rPr>
            </w:pPr>
          </w:p>
        </w:tc>
        <w:tc>
          <w:tcPr>
            <w:tcW w:w="5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5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1020" w:type="dxa"/>
            <w:vAlign w:val="bottom"/>
          </w:tcPr>
          <w:p>
            <w:pPr>
              <w:spacing w:after="0"/>
              <w:rPr>
                <w:sz w:val="15"/>
                <w:szCs w:val="15"/>
                <w:color w:val="auto"/>
              </w:rPr>
            </w:pPr>
          </w:p>
        </w:tc>
        <w:tc>
          <w:tcPr>
            <w:tcW w:w="8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02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CFF"/>
          </w:tcPr>
          <w:p>
            <w:pPr>
              <w:spacing w:after="0"/>
              <w:rPr>
                <w:sz w:val="15"/>
                <w:szCs w:val="15"/>
                <w:color w:val="auto"/>
              </w:rPr>
            </w:pPr>
          </w:p>
        </w:tc>
        <w:tc>
          <w:tcPr>
            <w:tcW w:w="62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controlled, affiliated investments:</w:t>
            </w: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102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6,909</w:t>
            </w:r>
          </w:p>
        </w:tc>
        <w:tc>
          <w:tcPr>
            <w:tcW w:w="26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02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CFF"/>
          </w:tcPr>
          <w:p>
            <w:pPr>
              <w:spacing w:after="0"/>
              <w:rPr>
                <w:sz w:val="15"/>
                <w:szCs w:val="15"/>
                <w:color w:val="auto"/>
              </w:rPr>
            </w:pPr>
          </w:p>
        </w:tc>
        <w:tc>
          <w:tcPr>
            <w:tcW w:w="62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740" w:type="dxa"/>
            <w:vAlign w:val="bottom"/>
            <w:tcBorders>
              <w:top w:val="single" w:sz="8" w:color="CCECFF"/>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0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31,338</w:t>
            </w:r>
          </w:p>
        </w:tc>
        <w:tc>
          <w:tcPr>
            <w:tcW w:w="260" w:type="dxa"/>
            <w:vAlign w:val="bottom"/>
            <w:tcBorders>
              <w:top w:val="single" w:sz="8" w:color="CCECFF"/>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26,335</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2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5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Base management fee (See Note 3)</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2,931</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Performance-based incentive fee (See Note 3)</w:t>
            </w:r>
          </w:p>
        </w:tc>
        <w:tc>
          <w:tcPr>
            <w:tcW w:w="102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3,433</w:t>
            </w:r>
          </w:p>
        </w:tc>
        <w:tc>
          <w:tcPr>
            <w:tcW w:w="26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and expenses on debt (See Note 10)</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9,858</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 (See Note 3)</w:t>
            </w:r>
          </w:p>
        </w:tc>
        <w:tc>
          <w:tcPr>
            <w:tcW w:w="102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26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2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Expenses before provision for taxes</w:t>
            </w:r>
          </w:p>
        </w:tc>
        <w:tc>
          <w:tcPr>
            <w:tcW w:w="1020" w:type="dxa"/>
            <w:vAlign w:val="bottom"/>
            <w:shd w:val="clear" w:color="auto" w:fill="CCECFF"/>
          </w:tcPr>
          <w:p>
            <w:pPr>
              <w:spacing w:after="0"/>
              <w:rPr>
                <w:sz w:val="14"/>
                <w:szCs w:val="14"/>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17,072</w:t>
            </w:r>
          </w:p>
        </w:tc>
        <w:tc>
          <w:tcPr>
            <w:tcW w:w="26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13,514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taxes on net investment income</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2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1020" w:type="dxa"/>
            <w:vAlign w:val="bottom"/>
            <w:tcBorders>
              <w:bottom w:val="single" w:sz="8" w:color="auto"/>
            </w:tcBorders>
            <w:shd w:val="clear" w:color="auto" w:fill="CCECFF"/>
          </w:tcPr>
          <w:p>
            <w:pPr>
              <w:spacing w:after="0"/>
              <w:rPr>
                <w:sz w:val="14"/>
                <w:szCs w:val="14"/>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17,606</w:t>
            </w:r>
          </w:p>
        </w:tc>
        <w:tc>
          <w:tcPr>
            <w:tcW w:w="260" w:type="dxa"/>
            <w:vAlign w:val="bottom"/>
            <w:tcBorders>
              <w:bottom w:val="single" w:sz="8" w:color="CCECFF"/>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spacing w:after="0"/>
              <w:rPr>
                <w:sz w:val="14"/>
                <w:szCs w:val="14"/>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13,614</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13,732</w:t>
            </w:r>
          </w:p>
        </w:tc>
        <w:tc>
          <w:tcPr>
            <w:tcW w:w="2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unrealized gain (loss) on investments and debt:</w:t>
            </w:r>
          </w:p>
        </w:tc>
        <w:tc>
          <w:tcPr>
            <w:tcW w:w="102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60" w:type="dxa"/>
            <w:vAlign w:val="bottom"/>
            <w:shd w:val="clear" w:color="auto" w:fill="CCECFF"/>
          </w:tcPr>
          <w:p>
            <w:pPr>
              <w:spacing w:after="0"/>
              <w:rPr>
                <w:sz w:val="14"/>
                <w:szCs w:val="14"/>
                <w:color w:val="auto"/>
              </w:rPr>
            </w:pPr>
          </w:p>
        </w:tc>
        <w:tc>
          <w:tcPr>
            <w:tcW w:w="5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w:t>
            </w: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102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6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3,073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1020" w:type="dxa"/>
            <w:vAlign w:val="bottom"/>
          </w:tcPr>
          <w:p>
            <w:pPr>
              <w:spacing w:after="0"/>
              <w:rPr>
                <w:sz w:val="15"/>
                <w:szCs w:val="15"/>
                <w:color w:val="auto"/>
              </w:rPr>
            </w:pPr>
          </w:p>
        </w:tc>
        <w:tc>
          <w:tcPr>
            <w:tcW w:w="8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realized gain (loss) on investments</w:t>
            </w:r>
          </w:p>
        </w:tc>
        <w:tc>
          <w:tcPr>
            <w:tcW w:w="1020" w:type="dxa"/>
            <w:vAlign w:val="bottom"/>
            <w:tcBorders>
              <w:top w:val="single" w:sz="8" w:color="auto"/>
            </w:tcBorders>
            <w:shd w:val="clear" w:color="auto" w:fill="CCECFF"/>
          </w:tcPr>
          <w:p>
            <w:pPr>
              <w:spacing w:after="0"/>
              <w:rPr>
                <w:sz w:val="14"/>
                <w:szCs w:val="14"/>
                <w:color w:val="auto"/>
              </w:rPr>
            </w:pP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60" w:type="dxa"/>
            <w:vAlign w:val="bottom"/>
            <w:shd w:val="clear" w:color="auto" w:fill="CCECFF"/>
          </w:tcPr>
          <w:p>
            <w:pPr>
              <w:spacing w:after="0"/>
              <w:rPr>
                <w:sz w:val="14"/>
                <w:szCs w:val="14"/>
                <w:color w:val="auto"/>
              </w:rPr>
            </w:pPr>
          </w:p>
        </w:tc>
        <w:tc>
          <w:tcPr>
            <w:tcW w:w="1060" w:type="dxa"/>
            <w:vAlign w:val="bottom"/>
            <w:tcBorders>
              <w:top w:val="single" w:sz="8" w:color="auto"/>
            </w:tcBorders>
            <w:shd w:val="clear" w:color="auto" w:fill="CCECFF"/>
          </w:tcPr>
          <w:p>
            <w:pPr>
              <w:spacing w:after="0"/>
              <w:rPr>
                <w:sz w:val="14"/>
                <w:szCs w:val="14"/>
                <w:color w:val="auto"/>
              </w:rPr>
            </w:pP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w:t>
            </w: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102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(12,693 )</w:t>
            </w:r>
          </w:p>
        </w:tc>
        <w:tc>
          <w:tcPr>
            <w:tcW w:w="1060" w:type="dxa"/>
            <w:vAlign w:val="bottom"/>
            <w:shd w:val="clear" w:color="auto" w:fill="CCECFF"/>
          </w:tcPr>
          <w:p>
            <w:pPr>
              <w:spacing w:after="0"/>
              <w:rPr>
                <w:sz w:val="15"/>
                <w:szCs w:val="15"/>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4,387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Controlled and non-controlled, affiliated investments</w:t>
            </w:r>
          </w:p>
        </w:tc>
        <w:tc>
          <w:tcPr>
            <w:tcW w:w="102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(4,064 )</w:t>
            </w:r>
          </w:p>
        </w:tc>
        <w:tc>
          <w:tcPr>
            <w:tcW w:w="10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(7,884 )</w:t>
            </w:r>
          </w:p>
        </w:tc>
        <w:tc>
          <w:tcPr>
            <w:tcW w:w="0" w:type="dxa"/>
            <w:vAlign w:val="bottom"/>
          </w:tcPr>
          <w:p>
            <w:pPr>
              <w:spacing w:after="0"/>
              <w:rPr>
                <w:sz w:val="1"/>
                <w:szCs w:val="1"/>
                <w:color w:val="auto"/>
              </w:rPr>
            </w:pPr>
          </w:p>
        </w:tc>
      </w:tr>
      <w:tr>
        <w:trPr>
          <w:trHeight w:val="175"/>
        </w:trPr>
        <w:tc>
          <w:tcPr>
            <w:tcW w:w="7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Provision for taxes on unrealized appreciation (depreciation) on investments</w:t>
            </w:r>
          </w:p>
        </w:tc>
        <w:tc>
          <w:tcPr>
            <w:tcW w:w="102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(725 )</w:t>
            </w:r>
          </w:p>
        </w:tc>
        <w:tc>
          <w:tcPr>
            <w:tcW w:w="1060" w:type="dxa"/>
            <w:vAlign w:val="bottom"/>
            <w:shd w:val="clear" w:color="auto" w:fill="CCECFF"/>
          </w:tcPr>
          <w:p>
            <w:pPr>
              <w:spacing w:after="0"/>
              <w:rPr>
                <w:sz w:val="15"/>
                <w:szCs w:val="15"/>
                <w:color w:val="auto"/>
              </w:rPr>
            </w:pPr>
          </w:p>
        </w:tc>
        <w:tc>
          <w:tcPr>
            <w:tcW w:w="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(1,540 )</w:t>
            </w:r>
          </w:p>
        </w:tc>
        <w:tc>
          <w:tcPr>
            <w:tcW w:w="0" w:type="dxa"/>
            <w:vAlign w:val="bottom"/>
          </w:tcPr>
          <w:p>
            <w:pPr>
              <w:spacing w:after="0"/>
              <w:rPr>
                <w:sz w:val="1"/>
                <w:szCs w:val="1"/>
                <w:color w:val="auto"/>
              </w:rPr>
            </w:pP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(appreciation) depreciation (See Note 5 and 10)</w:t>
            </w:r>
          </w:p>
        </w:tc>
        <w:tc>
          <w:tcPr>
            <w:tcW w:w="10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26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 investments and debt</w:t>
            </w:r>
          </w:p>
        </w:tc>
        <w:tc>
          <w:tcPr>
            <w:tcW w:w="1020" w:type="dxa"/>
            <w:vAlign w:val="bottom"/>
            <w:tcBorders>
              <w:bottom w:val="single" w:sz="8" w:color="auto"/>
            </w:tcBorders>
            <w:shd w:val="clear" w:color="auto" w:fill="CCECFF"/>
          </w:tcPr>
          <w:p>
            <w:pPr>
              <w:spacing w:after="0"/>
              <w:rPr>
                <w:sz w:val="14"/>
                <w:szCs w:val="14"/>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(15,415</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1060" w:type="dxa"/>
            <w:vAlign w:val="bottom"/>
            <w:tcBorders>
              <w:bottom w:val="single" w:sz="8" w:color="auto"/>
            </w:tcBorders>
            <w:shd w:val="clear" w:color="auto" w:fill="CCECFF"/>
          </w:tcPr>
          <w:p>
            <w:pPr>
              <w:spacing w:after="0"/>
              <w:rPr>
                <w:sz w:val="14"/>
                <w:szCs w:val="14"/>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gain (loss) from investments and debt</w:t>
            </w:r>
          </w:p>
        </w:tc>
        <w:tc>
          <w:tcPr>
            <w:tcW w:w="1020" w:type="dxa"/>
            <w:vAlign w:val="bottom"/>
          </w:tcPr>
          <w:p>
            <w:pPr>
              <w:spacing w:after="0"/>
              <w:rPr>
                <w:sz w:val="14"/>
                <w:szCs w:val="14"/>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(15,352 )</w:t>
            </w:r>
          </w:p>
        </w:tc>
        <w:tc>
          <w:tcPr>
            <w:tcW w:w="10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1020" w:type="dxa"/>
            <w:vAlign w:val="bottom"/>
            <w:tcBorders>
              <w:top w:val="single" w:sz="8" w:color="auto"/>
              <w:bottom w:val="single" w:sz="8" w:color="auto"/>
            </w:tcBorders>
            <w:shd w:val="clear" w:color="auto" w:fill="CCEC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1060" w:type="dxa"/>
            <w:vAlign w:val="bottom"/>
            <w:tcBorders>
              <w:top w:val="single" w:sz="8" w:color="auto"/>
              <w:bottom w:val="single" w:sz="8" w:color="auto"/>
            </w:tcBorders>
            <w:shd w:val="clear" w:color="auto" w:fill="CCEC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14,433</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 per common share (See Note 7)</w:t>
            </w:r>
          </w:p>
        </w:tc>
        <w:tc>
          <w:tcPr>
            <w:tcW w:w="1020" w:type="dxa"/>
            <w:vAlign w:val="bottom"/>
          </w:tcPr>
          <w:p>
            <w:pPr>
              <w:jc w:val="right"/>
              <w:ind w:right="8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rPr>
              <w:t>(0.04 )</w:t>
            </w:r>
          </w:p>
        </w:tc>
        <w:tc>
          <w:tcPr>
            <w:tcW w:w="1060" w:type="dxa"/>
            <w:vAlign w:val="bottom"/>
          </w:tcPr>
          <w:p>
            <w:pPr>
              <w:jc w:val="right"/>
              <w:ind w:right="8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tcBorders>
              <w:bottom w:val="single" w:sz="8" w:color="CCECFF"/>
            </w:tcBorders>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investment income per common share</w:t>
            </w:r>
          </w:p>
        </w:tc>
        <w:tc>
          <w:tcPr>
            <w:tcW w:w="1020" w:type="dxa"/>
            <w:vAlign w:val="bottom"/>
            <w:tcBorders>
              <w:bottom w:val="single" w:sz="8" w:color="auto"/>
            </w:tcBorders>
            <w:shd w:val="clear" w:color="auto" w:fill="CCECFF"/>
          </w:tcPr>
          <w:p>
            <w:pPr>
              <w:jc w:val="right"/>
              <w:ind w:right="8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0.30</w:t>
            </w:r>
          </w:p>
        </w:tc>
        <w:tc>
          <w:tcPr>
            <w:tcW w:w="260" w:type="dxa"/>
            <w:vAlign w:val="bottom"/>
            <w:tcBorders>
              <w:bottom w:val="single" w:sz="8" w:color="CCECFF"/>
            </w:tcBorders>
            <w:shd w:val="clear" w:color="auto" w:fill="CCECFF"/>
          </w:tcPr>
          <w:p>
            <w:pPr>
              <w:spacing w:after="0"/>
              <w:rPr>
                <w:sz w:val="17"/>
                <w:szCs w:val="17"/>
                <w:color w:val="auto"/>
              </w:rPr>
            </w:pPr>
          </w:p>
        </w:tc>
        <w:tc>
          <w:tcPr>
            <w:tcW w:w="1060" w:type="dxa"/>
            <w:vAlign w:val="bottom"/>
            <w:tcBorders>
              <w:bottom w:val="single" w:sz="8" w:color="auto"/>
            </w:tcBorders>
            <w:shd w:val="clear" w:color="auto" w:fill="CCECFF"/>
          </w:tcPr>
          <w:p>
            <w:pPr>
              <w:jc w:val="right"/>
              <w:ind w:right="8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0.33</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-3059430</wp:posOffset>
            </wp:positionV>
            <wp:extent cx="6858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-1910715</wp:posOffset>
            </wp:positionV>
            <wp:extent cx="6858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-539115</wp:posOffset>
            </wp:positionV>
            <wp:extent cx="6858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123444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3444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CHANGES IN NET ASSETS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(in thousands, except share issue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from operations:</w:t>
            </w:r>
          </w:p>
        </w:tc>
        <w:tc>
          <w:tcPr>
            <w:tcW w:w="100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investment income</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13,732</w:t>
            </w:r>
          </w:p>
        </w:tc>
        <w:tc>
          <w:tcPr>
            <w:tcW w:w="260" w:type="dxa"/>
            <w:vAlign w:val="bottom"/>
          </w:tcPr>
          <w:p>
            <w:pPr>
              <w:spacing w:after="0"/>
              <w:rPr>
                <w:sz w:val="15"/>
                <w:szCs w:val="15"/>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12,721</w:t>
            </w:r>
          </w:p>
        </w:tc>
        <w:tc>
          <w:tcPr>
            <w:tcW w:w="100" w:type="dxa"/>
            <w:vAlign w:val="bottom"/>
          </w:tcPr>
          <w:p>
            <w:pPr>
              <w:spacing w:after="0"/>
              <w:rPr>
                <w:sz w:val="15"/>
                <w:szCs w:val="15"/>
                <w:color w:val="auto"/>
              </w:rPr>
            </w:pPr>
          </w:p>
        </w:tc>
      </w:tr>
      <w:tr>
        <w:trPr>
          <w:trHeight w:val="176"/>
        </w:trPr>
        <w:tc>
          <w:tcPr>
            <w:tcW w:w="7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realized gain on investments</w:t>
            </w:r>
          </w:p>
        </w:tc>
        <w:tc>
          <w:tcPr>
            <w:tcW w:w="100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6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3,138</w:t>
            </w:r>
          </w:p>
        </w:tc>
        <w:tc>
          <w:tcPr>
            <w:tcW w:w="100" w:type="dxa"/>
            <w:vAlign w:val="bottom"/>
            <w:shd w:val="clear" w:color="auto" w:fill="CCECFF"/>
          </w:tcPr>
          <w:p>
            <w:pPr>
              <w:spacing w:after="0"/>
              <w:rPr>
                <w:sz w:val="15"/>
                <w:szCs w:val="15"/>
                <w:color w:val="auto"/>
              </w:rPr>
            </w:pP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unrealized depreciation on investments</w:t>
            </w:r>
          </w:p>
        </w:tc>
        <w:tc>
          <w:tcPr>
            <w:tcW w:w="100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(16,757 )</w:t>
            </w:r>
          </w:p>
        </w:tc>
        <w:tc>
          <w:tcPr>
            <w:tcW w:w="10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(3,497 )</w:t>
            </w:r>
          </w:p>
        </w:tc>
      </w:tr>
      <w:tr>
        <w:trPr>
          <w:trHeight w:val="176"/>
        </w:trPr>
        <w:tc>
          <w:tcPr>
            <w:tcW w:w="7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change in provision for taxes on unrealized appreciation (depreciation) on investments</w:t>
            </w:r>
          </w:p>
        </w:tc>
        <w:tc>
          <w:tcPr>
            <w:tcW w:w="100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(725 )</w:t>
            </w:r>
          </w:p>
        </w:tc>
        <w:tc>
          <w:tcPr>
            <w:tcW w:w="1040" w:type="dxa"/>
            <w:vAlign w:val="bottom"/>
            <w:shd w:val="clear" w:color="auto" w:fill="CCECFF"/>
          </w:tcPr>
          <w:p>
            <w:pPr>
              <w:spacing w:after="0"/>
              <w:rPr>
                <w:sz w:val="15"/>
                <w:szCs w:val="15"/>
                <w:color w:val="auto"/>
              </w:rPr>
            </w:pPr>
          </w:p>
        </w:tc>
        <w:tc>
          <w:tcPr>
            <w:tcW w:w="6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(1,540 )</w:t>
            </w:r>
          </w:p>
        </w:tc>
      </w:tr>
      <w:tr>
        <w:trPr>
          <w:trHeight w:val="175"/>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unrealized depreciation on debt</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2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3,611</w:t>
            </w:r>
          </w:p>
        </w:tc>
        <w:tc>
          <w:tcPr>
            <w:tcW w:w="100" w:type="dxa"/>
            <w:vAlign w:val="bottom"/>
          </w:tcPr>
          <w:p>
            <w:pPr>
              <w:spacing w:after="0"/>
              <w:rPr>
                <w:sz w:val="15"/>
                <w:szCs w:val="15"/>
                <w:color w:val="auto"/>
              </w:rPr>
            </w:pPr>
          </w:p>
        </w:tc>
      </w:tr>
      <w:tr>
        <w:trPr>
          <w:trHeight w:val="169"/>
        </w:trPr>
        <w:tc>
          <w:tcPr>
            <w:tcW w:w="77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1000" w:type="dxa"/>
            <w:vAlign w:val="bottom"/>
            <w:tcBorders>
              <w:bottom w:val="single" w:sz="8" w:color="auto"/>
            </w:tcBorders>
            <w:shd w:val="clear" w:color="auto" w:fill="CCECFF"/>
          </w:tcPr>
          <w:p>
            <w:pPr>
              <w:spacing w:after="0"/>
              <w:rPr>
                <w:sz w:val="14"/>
                <w:szCs w:val="14"/>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1040" w:type="dxa"/>
            <w:vAlign w:val="bottom"/>
            <w:tcBorders>
              <w:bottom w:val="single" w:sz="8" w:color="auto"/>
            </w:tcBorders>
            <w:shd w:val="clear" w:color="auto" w:fill="CCECFF"/>
          </w:tcPr>
          <w:p>
            <w:pPr>
              <w:spacing w:after="0"/>
              <w:rPr>
                <w:sz w:val="14"/>
                <w:szCs w:val="14"/>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14,433</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to stockholders: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Distribution of net investment income</w:t>
            </w:r>
          </w:p>
        </w:tc>
        <w:tc>
          <w:tcPr>
            <w:tcW w:w="100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(12,932 )</w:t>
            </w:r>
          </w:p>
        </w:tc>
        <w:tc>
          <w:tcPr>
            <w:tcW w:w="1040" w:type="dxa"/>
            <w:vAlign w:val="bottom"/>
            <w:shd w:val="clear" w:color="auto" w:fill="CCECFF"/>
          </w:tcPr>
          <w:p>
            <w:pPr>
              <w:spacing w:after="0"/>
              <w:rPr>
                <w:sz w:val="15"/>
                <w:szCs w:val="15"/>
                <w:color w:val="auto"/>
              </w:rPr>
            </w:pPr>
          </w:p>
        </w:tc>
        <w:tc>
          <w:tcPr>
            <w:tcW w:w="6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(11,106 )</w:t>
            </w:r>
          </w:p>
        </w:tc>
      </w:tr>
      <w:tr>
        <w:trPr>
          <w:trHeight w:val="20"/>
        </w:trPr>
        <w:tc>
          <w:tcPr>
            <w:tcW w:w="7740" w:type="dxa"/>
            <w:vAlign w:val="bottom"/>
            <w:shd w:val="clear" w:color="auto" w:fill="CCEC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distributions to stockholders</w:t>
            </w:r>
          </w:p>
        </w:tc>
        <w:tc>
          <w:tcPr>
            <w:tcW w:w="1000" w:type="dxa"/>
            <w:vAlign w:val="bottom"/>
          </w:tcPr>
          <w:p>
            <w:pPr>
              <w:spacing w:after="0"/>
              <w:rPr>
                <w:sz w:val="14"/>
                <w:szCs w:val="14"/>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(12,932 )</w:t>
            </w:r>
          </w:p>
        </w:tc>
        <w:tc>
          <w:tcPr>
            <w:tcW w:w="10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(11,106 )</w:t>
            </w:r>
          </w:p>
        </w:tc>
      </w:tr>
      <w:tr>
        <w:trPr>
          <w:trHeight w:val="169"/>
        </w:trPr>
        <w:tc>
          <w:tcPr>
            <w:tcW w:w="7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transactions</w:t>
            </w:r>
          </w:p>
        </w:tc>
        <w:tc>
          <w:tcPr>
            <w:tcW w:w="1000" w:type="dxa"/>
            <w:vAlign w:val="bottom"/>
            <w:tcBorders>
              <w:top w:val="single" w:sz="8" w:color="auto"/>
            </w:tcBorders>
            <w:shd w:val="clear" w:color="auto" w:fill="CCECFF"/>
          </w:tcPr>
          <w:p>
            <w:pPr>
              <w:spacing w:after="0"/>
              <w:rPr>
                <w:sz w:val="14"/>
                <w:szCs w:val="14"/>
                <w:color w:val="auto"/>
              </w:rPr>
            </w:pPr>
          </w:p>
        </w:tc>
        <w:tc>
          <w:tcPr>
            <w:tcW w:w="560" w:type="dxa"/>
            <w:vAlign w:val="bottom"/>
            <w:tcBorders>
              <w:top w:val="single" w:sz="8" w:color="auto"/>
            </w:tcBorders>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tcBorders>
              <w:top w:val="single" w:sz="8" w:color="auto"/>
            </w:tcBorders>
            <w:shd w:val="clear" w:color="auto" w:fill="CCECFF"/>
          </w:tcPr>
          <w:p>
            <w:pPr>
              <w:spacing w:after="0"/>
              <w:rPr>
                <w:sz w:val="14"/>
                <w:szCs w:val="14"/>
                <w:color w:val="auto"/>
              </w:rPr>
            </w:pPr>
          </w:p>
        </w:tc>
        <w:tc>
          <w:tcPr>
            <w:tcW w:w="54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Public offering (See Note 1)</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w:t>
            </w:r>
          </w:p>
        </w:tc>
        <w:tc>
          <w:tcPr>
            <w:tcW w:w="100" w:type="dxa"/>
            <w:vAlign w:val="bottom"/>
          </w:tcPr>
          <w:p>
            <w:pPr>
              <w:spacing w:after="0"/>
              <w:rPr>
                <w:sz w:val="15"/>
                <w:szCs w:val="15"/>
                <w:color w:val="auto"/>
              </w:rPr>
            </w:pPr>
          </w:p>
        </w:tc>
      </w:tr>
      <w:tr>
        <w:trPr>
          <w:trHeight w:val="175"/>
        </w:trPr>
        <w:tc>
          <w:tcPr>
            <w:tcW w:w="77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Offering costs</w:t>
            </w:r>
          </w:p>
        </w:tc>
        <w:tc>
          <w:tcPr>
            <w:tcW w:w="100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(5 )</w:t>
            </w:r>
          </w:p>
        </w:tc>
        <w:tc>
          <w:tcPr>
            <w:tcW w:w="1040" w:type="dxa"/>
            <w:vAlign w:val="bottom"/>
            <w:shd w:val="clear" w:color="auto" w:fill="CCECFF"/>
          </w:tcPr>
          <w:p>
            <w:pPr>
              <w:spacing w:after="0"/>
              <w:rPr>
                <w:sz w:val="15"/>
                <w:szCs w:val="15"/>
                <w:color w:val="auto"/>
              </w:rPr>
            </w:pPr>
          </w:p>
        </w:tc>
        <w:tc>
          <w:tcPr>
            <w:tcW w:w="6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(53 )</w:t>
            </w:r>
          </w:p>
        </w:tc>
      </w:tr>
      <w:tr>
        <w:trPr>
          <w:trHeight w:val="169"/>
        </w:trPr>
        <w:tc>
          <w:tcPr>
            <w:tcW w:w="7740" w:type="dxa"/>
            <w:vAlign w:val="bottom"/>
            <w:tcBorders>
              <w:top w:val="single" w:sz="8" w:color="CCECFF"/>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Net increase in net assets resulting from capital transactions</w:t>
            </w:r>
          </w:p>
        </w:tc>
        <w:tc>
          <w:tcPr>
            <w:tcW w:w="10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260" w:type="dxa"/>
            <w:vAlign w:val="bottom"/>
            <w:tcBorders>
              <w:top w:val="single" w:sz="8" w:color="CCECFF"/>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3,467</w:t>
            </w:r>
          </w:p>
        </w:tc>
        <w:tc>
          <w:tcPr>
            <w:tcW w:w="100" w:type="dxa"/>
            <w:vAlign w:val="bottom"/>
            <w:tcBorders>
              <w:top w:val="single" w:sz="8" w:color="CCECFF"/>
            </w:tcBorders>
          </w:tcPr>
          <w:p>
            <w:pPr>
              <w:spacing w:after="0"/>
              <w:rPr>
                <w:sz w:val="14"/>
                <w:szCs w:val="14"/>
                <w:color w:val="auto"/>
              </w:rPr>
            </w:pPr>
          </w:p>
        </w:tc>
      </w:tr>
      <w:tr>
        <w:trPr>
          <w:trHeight w:val="169"/>
        </w:trPr>
        <w:tc>
          <w:tcPr>
            <w:tcW w:w="77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w:t>
            </w:r>
          </w:p>
        </w:tc>
        <w:tc>
          <w:tcPr>
            <w:tcW w:w="1000" w:type="dxa"/>
            <w:vAlign w:val="bottom"/>
            <w:tcBorders>
              <w:bottom w:val="single" w:sz="8" w:color="auto"/>
            </w:tcBorders>
            <w:shd w:val="clear" w:color="auto" w:fill="CCECFF"/>
          </w:tcPr>
          <w:p>
            <w:pPr>
              <w:spacing w:after="0"/>
              <w:rPr>
                <w:sz w:val="14"/>
                <w:szCs w:val="14"/>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(13,562</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1040" w:type="dxa"/>
            <w:vAlign w:val="bottom"/>
            <w:tcBorders>
              <w:bottom w:val="single" w:sz="8" w:color="auto"/>
            </w:tcBorders>
            <w:shd w:val="clear" w:color="auto" w:fill="CCECFF"/>
          </w:tcPr>
          <w:p>
            <w:pPr>
              <w:spacing w:after="0"/>
              <w:rPr>
                <w:sz w:val="14"/>
                <w:szCs w:val="14"/>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6,794</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Beginning of period</w:t>
            </w:r>
          </w:p>
        </w:tc>
        <w:tc>
          <w:tcPr>
            <w:tcW w:w="1000" w:type="dxa"/>
            <w:vAlign w:val="bottom"/>
            <w:tcBorders>
              <w:bottom w:val="single" w:sz="8" w:color="auto"/>
            </w:tcBorders>
            <w:shd w:val="clear" w:color="auto" w:fill="CCECFF"/>
          </w:tcPr>
          <w:p>
            <w:pPr>
              <w:spacing w:after="0"/>
              <w:rPr>
                <w:sz w:val="15"/>
                <w:szCs w:val="15"/>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527,092</w:t>
            </w:r>
          </w:p>
        </w:tc>
        <w:tc>
          <w:tcPr>
            <w:tcW w:w="260" w:type="dxa"/>
            <w:vAlign w:val="bottom"/>
            <w:tcBorders>
              <w:bottom w:val="single" w:sz="8" w:color="CCECFF"/>
            </w:tcBorders>
            <w:shd w:val="clear" w:color="auto" w:fill="CCECFF"/>
          </w:tcPr>
          <w:p>
            <w:pPr>
              <w:spacing w:after="0"/>
              <w:rPr>
                <w:sz w:val="15"/>
                <w:szCs w:val="15"/>
                <w:color w:val="auto"/>
              </w:rPr>
            </w:pPr>
          </w:p>
        </w:tc>
        <w:tc>
          <w:tcPr>
            <w:tcW w:w="1040" w:type="dxa"/>
            <w:vAlign w:val="bottom"/>
            <w:tcBorders>
              <w:bottom w:val="single" w:sz="8" w:color="auto"/>
            </w:tcBorders>
            <w:shd w:val="clear" w:color="auto" w:fill="CCECFF"/>
          </w:tcPr>
          <w:p>
            <w:pPr>
              <w:spacing w:after="0"/>
              <w:rPr>
                <w:sz w:val="15"/>
                <w:szCs w:val="15"/>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490,611</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End of period</w:t>
            </w:r>
          </w:p>
        </w:tc>
        <w:tc>
          <w:tcPr>
            <w:tcW w:w="10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513,530</w:t>
            </w:r>
          </w:p>
        </w:tc>
        <w:tc>
          <w:tcPr>
            <w:tcW w:w="260" w:type="dxa"/>
            <w:vAlign w:val="bottom"/>
          </w:tcPr>
          <w:p>
            <w:pPr>
              <w:spacing w:after="0"/>
              <w:rPr>
                <w:sz w:val="14"/>
                <w:szCs w:val="14"/>
                <w:color w:val="auto"/>
              </w:rPr>
            </w:pPr>
          </w:p>
        </w:tc>
        <w:tc>
          <w:tcPr>
            <w:tcW w:w="104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497,405</w:t>
            </w:r>
          </w:p>
        </w:tc>
        <w:tc>
          <w:tcPr>
            <w:tcW w:w="100" w:type="dxa"/>
            <w:vAlign w:val="bottom"/>
          </w:tcPr>
          <w:p>
            <w:pPr>
              <w:spacing w:after="0"/>
              <w:rPr>
                <w:sz w:val="14"/>
                <w:szCs w:val="14"/>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4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Capital share activity:</w:t>
            </w:r>
          </w:p>
        </w:tc>
        <w:tc>
          <w:tcPr>
            <w:tcW w:w="1000" w:type="dxa"/>
            <w:vAlign w:val="bottom"/>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76"/>
        </w:trPr>
        <w:tc>
          <w:tcPr>
            <w:tcW w:w="7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Shares issued from public offering</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86,177</w:t>
            </w:r>
          </w:p>
        </w:tc>
        <w:tc>
          <w:tcPr>
            <w:tcW w:w="2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270,066</w:t>
            </w:r>
          </w:p>
        </w:tc>
        <w:tc>
          <w:tcPr>
            <w:tcW w:w="100" w:type="dxa"/>
            <w:vAlign w:val="bottom"/>
          </w:tcPr>
          <w:p>
            <w:pPr>
              <w:spacing w:after="0"/>
              <w:rPr>
                <w:sz w:val="15"/>
                <w:szCs w:val="15"/>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-1327785</wp:posOffset>
            </wp:positionV>
            <wp:extent cx="6858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-864870</wp:posOffset>
            </wp:positionV>
            <wp:extent cx="6858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-624840</wp:posOffset>
            </wp:positionV>
            <wp:extent cx="68580"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-393700</wp:posOffset>
            </wp:positionV>
            <wp:extent cx="6858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2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20" w:type="dxa"/>
            <w:vAlign w:val="bottom"/>
          </w:tcPr>
          <w:p>
            <w:pPr>
              <w:spacing w:after="0"/>
              <w:rPr>
                <w:sz w:val="14"/>
                <w:szCs w:val="14"/>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8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7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(1,620 )</w:t>
            </w: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14,433</w:t>
            </w:r>
          </w:p>
        </w:tc>
        <w:tc>
          <w:tcPr>
            <w:tcW w:w="100" w:type="dxa"/>
            <w:vAlign w:val="bottom"/>
          </w:tcPr>
          <w:p>
            <w:pPr>
              <w:spacing w:after="0"/>
              <w:rPr>
                <w:sz w:val="15"/>
                <w:szCs w:val="15"/>
                <w:color w:val="auto"/>
              </w:rPr>
            </w:pPr>
          </w:p>
        </w:tc>
      </w:tr>
      <w:tr>
        <w:trPr>
          <w:trHeight w:val="139"/>
        </w:trPr>
        <w:tc>
          <w:tcPr>
            <w:tcW w:w="7820" w:type="dxa"/>
            <w:vAlign w:val="bottom"/>
            <w:shd w:val="clear" w:color="auto" w:fill="CCECFF"/>
          </w:tcPr>
          <w:p>
            <w:pPr>
              <w:ind w:left="380"/>
              <w:spacing w:after="0" w:line="139" w:lineRule="exact"/>
              <w:rPr>
                <w:sz w:val="20"/>
                <w:szCs w:val="20"/>
                <w:color w:val="auto"/>
              </w:rPr>
            </w:pPr>
            <w:r>
              <w:rPr>
                <w:rFonts w:ascii="Times New Roman" w:cs="Times New Roman" w:eastAsia="Times New Roman" w:hAnsi="Times New Roman"/>
                <w:sz w:val="14"/>
                <w:szCs w:val="14"/>
                <w:color w:val="auto"/>
              </w:rPr>
              <w:t>Adjustments to reconcile net increase (decrease) in net assets resulting from operations to net cash</w:t>
            </w:r>
          </w:p>
        </w:tc>
        <w:tc>
          <w:tcPr>
            <w:tcW w:w="9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85"/>
        </w:trPr>
        <w:tc>
          <w:tcPr>
            <w:tcW w:w="782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4"/>
                <w:szCs w:val="14"/>
                <w:color w:val="auto"/>
              </w:rPr>
              <w:t>provided by (used in) operating activities:</w:t>
            </w:r>
          </w:p>
        </w:tc>
        <w:tc>
          <w:tcPr>
            <w:tcW w:w="980" w:type="dxa"/>
            <w:vAlign w:val="bottom"/>
            <w:shd w:val="clear" w:color="auto" w:fill="CCECFF"/>
          </w:tcPr>
          <w:p>
            <w:pPr>
              <w:spacing w:after="0"/>
              <w:rPr>
                <w:sz w:val="16"/>
                <w:szCs w:val="16"/>
                <w:color w:val="auto"/>
              </w:rPr>
            </w:pPr>
          </w:p>
        </w:tc>
        <w:tc>
          <w:tcPr>
            <w:tcW w:w="5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r>
      <w:tr>
        <w:trPr>
          <w:trHeight w:val="175"/>
        </w:trPr>
        <w:tc>
          <w:tcPr>
            <w:tcW w:w="7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change in unrealized depreciation on investments</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16,757</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3,497</w:t>
            </w:r>
          </w:p>
        </w:tc>
        <w:tc>
          <w:tcPr>
            <w:tcW w:w="100" w:type="dxa"/>
            <w:vAlign w:val="bottom"/>
          </w:tcPr>
          <w:p>
            <w:pPr>
              <w:spacing w:after="0"/>
              <w:rPr>
                <w:sz w:val="15"/>
                <w:szCs w:val="15"/>
                <w:color w:val="auto"/>
              </w:rPr>
            </w:pPr>
          </w:p>
        </w:tc>
      </w:tr>
      <w:tr>
        <w:trPr>
          <w:trHeight w:val="176"/>
        </w:trPr>
        <w:tc>
          <w:tcPr>
            <w:tcW w:w="78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Net change in unrealized depreciation on debt</w:t>
            </w:r>
          </w:p>
        </w:tc>
        <w:tc>
          <w:tcPr>
            <w:tcW w:w="98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(2,067 )</w:t>
            </w:r>
          </w:p>
        </w:tc>
        <w:tc>
          <w:tcPr>
            <w:tcW w:w="980" w:type="dxa"/>
            <w:vAlign w:val="bottom"/>
            <w:shd w:val="clear" w:color="auto" w:fill="CCECFF"/>
          </w:tcPr>
          <w:p>
            <w:pPr>
              <w:spacing w:after="0"/>
              <w:rPr>
                <w:sz w:val="15"/>
                <w:szCs w:val="15"/>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(3,611 )</w:t>
            </w:r>
          </w:p>
        </w:tc>
      </w:tr>
      <w:tr>
        <w:trPr>
          <w:trHeight w:val="176"/>
        </w:trPr>
        <w:tc>
          <w:tcPr>
            <w:tcW w:w="7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realized loss on investments</w:t>
            </w:r>
          </w:p>
        </w:tc>
        <w:tc>
          <w:tcPr>
            <w:tcW w:w="98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(63 )</w:t>
            </w:r>
          </w:p>
        </w:tc>
        <w:tc>
          <w:tcPr>
            <w:tcW w:w="98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(3,138 )</w:t>
            </w:r>
          </w:p>
        </w:tc>
      </w:tr>
      <w:tr>
        <w:trPr>
          <w:trHeight w:val="175"/>
        </w:trPr>
        <w:tc>
          <w:tcPr>
            <w:tcW w:w="78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Net accretion of discount and amortization of premium</w:t>
            </w:r>
          </w:p>
        </w:tc>
        <w:tc>
          <w:tcPr>
            <w:tcW w:w="98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(944 )</w:t>
            </w:r>
          </w:p>
        </w:tc>
        <w:tc>
          <w:tcPr>
            <w:tcW w:w="980" w:type="dxa"/>
            <w:vAlign w:val="bottom"/>
            <w:shd w:val="clear" w:color="auto" w:fill="CCECFF"/>
          </w:tcPr>
          <w:p>
            <w:pPr>
              <w:spacing w:after="0"/>
              <w:rPr>
                <w:sz w:val="15"/>
                <w:szCs w:val="15"/>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(1,358 )</w:t>
            </w:r>
          </w:p>
        </w:tc>
      </w:tr>
      <w:tr>
        <w:trPr>
          <w:trHeight w:val="176"/>
        </w:trPr>
        <w:tc>
          <w:tcPr>
            <w:tcW w:w="7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Purchases of investments</w:t>
            </w:r>
          </w:p>
        </w:tc>
        <w:tc>
          <w:tcPr>
            <w:tcW w:w="98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(65,587 )</w:t>
            </w:r>
          </w:p>
        </w:tc>
        <w:tc>
          <w:tcPr>
            <w:tcW w:w="98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(335,103 )</w:t>
            </w:r>
          </w:p>
        </w:tc>
      </w:tr>
      <w:tr>
        <w:trPr>
          <w:trHeight w:val="175"/>
        </w:trPr>
        <w:tc>
          <w:tcPr>
            <w:tcW w:w="78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Payment-in-kind interest</w:t>
            </w:r>
          </w:p>
        </w:tc>
        <w:tc>
          <w:tcPr>
            <w:tcW w:w="98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(56 )</w:t>
            </w:r>
          </w:p>
        </w:tc>
        <w:tc>
          <w:tcPr>
            <w:tcW w:w="980" w:type="dxa"/>
            <w:vAlign w:val="bottom"/>
            <w:shd w:val="clear" w:color="auto" w:fill="CCECFF"/>
          </w:tcPr>
          <w:p>
            <w:pPr>
              <w:spacing w:after="0"/>
              <w:rPr>
                <w:sz w:val="15"/>
                <w:szCs w:val="15"/>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(441 )</w:t>
            </w:r>
          </w:p>
        </w:tc>
      </w:tr>
      <w:tr>
        <w:trPr>
          <w:trHeight w:val="176"/>
        </w:trPr>
        <w:tc>
          <w:tcPr>
            <w:tcW w:w="7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Proceeds from dispositions of investments</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62,998</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238,369</w:t>
            </w:r>
          </w:p>
        </w:tc>
        <w:tc>
          <w:tcPr>
            <w:tcW w:w="100" w:type="dxa"/>
            <w:vAlign w:val="bottom"/>
          </w:tcPr>
          <w:p>
            <w:pPr>
              <w:spacing w:after="0"/>
              <w:rPr>
                <w:sz w:val="15"/>
                <w:szCs w:val="15"/>
                <w:color w:val="auto"/>
              </w:rPr>
            </w:pPr>
          </w:p>
        </w:tc>
      </w:tr>
      <w:tr>
        <w:trPr>
          <w:trHeight w:val="176"/>
        </w:trPr>
        <w:tc>
          <w:tcPr>
            <w:tcW w:w="78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Accretion (amortization) of deferred financing costs</w:t>
            </w:r>
          </w:p>
        </w:tc>
        <w:tc>
          <w:tcPr>
            <w:tcW w:w="98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6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(320 )</w:t>
            </w:r>
          </w:p>
        </w:tc>
      </w:tr>
      <w:tr>
        <w:trPr>
          <w:trHeight w:val="175"/>
        </w:trPr>
        <w:tc>
          <w:tcPr>
            <w:tcW w:w="7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(Increase) or Decrease in:</w:t>
            </w: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Interest receivable</w:t>
            </w:r>
          </w:p>
        </w:tc>
        <w:tc>
          <w:tcPr>
            <w:tcW w:w="98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(1,193 )</w:t>
            </w:r>
          </w:p>
        </w:tc>
        <w:tc>
          <w:tcPr>
            <w:tcW w:w="980" w:type="dxa"/>
            <w:vAlign w:val="bottom"/>
            <w:shd w:val="clear" w:color="auto" w:fill="CCECFF"/>
          </w:tcPr>
          <w:p>
            <w:pPr>
              <w:spacing w:after="0"/>
              <w:rPr>
                <w:sz w:val="15"/>
                <w:szCs w:val="15"/>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(291 )</w:t>
            </w:r>
          </w:p>
        </w:tc>
      </w:tr>
      <w:tr>
        <w:trPr>
          <w:trHeight w:val="175"/>
        </w:trPr>
        <w:tc>
          <w:tcPr>
            <w:tcW w:w="7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Distribution receivable</w:t>
            </w:r>
          </w:p>
        </w:tc>
        <w:tc>
          <w:tcPr>
            <w:tcW w:w="98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(577 )</w:t>
            </w:r>
          </w:p>
        </w:tc>
        <w:tc>
          <w:tcPr>
            <w:tcW w:w="9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Receivable for investments sold</w:t>
            </w:r>
          </w:p>
        </w:tc>
        <w:tc>
          <w:tcPr>
            <w:tcW w:w="98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(8,912 )</w:t>
            </w:r>
          </w:p>
        </w:tc>
        <w:tc>
          <w:tcPr>
            <w:tcW w:w="98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15,536</w:t>
            </w:r>
          </w:p>
        </w:tc>
        <w:tc>
          <w:tcPr>
            <w:tcW w:w="100" w:type="dxa"/>
            <w:vAlign w:val="bottom"/>
            <w:shd w:val="clear" w:color="auto" w:fill="CCECFF"/>
          </w:tcPr>
          <w:p>
            <w:pPr>
              <w:spacing w:after="0"/>
              <w:rPr>
                <w:sz w:val="15"/>
                <w:szCs w:val="15"/>
                <w:color w:val="auto"/>
              </w:rPr>
            </w:pPr>
          </w:p>
        </w:tc>
      </w:tr>
      <w:tr>
        <w:trPr>
          <w:trHeight w:val="176"/>
        </w:trPr>
        <w:tc>
          <w:tcPr>
            <w:tcW w:w="7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8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(197 )</w:t>
            </w:r>
          </w:p>
        </w:tc>
        <w:tc>
          <w:tcPr>
            <w:tcW w:w="98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(96 )</w:t>
            </w:r>
          </w:p>
        </w:tc>
      </w:tr>
      <w:tr>
        <w:trPr>
          <w:trHeight w:val="175"/>
        </w:trPr>
        <w:tc>
          <w:tcPr>
            <w:tcW w:w="78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Increase or (Decrease) in:</w:t>
            </w:r>
          </w:p>
        </w:tc>
        <w:tc>
          <w:tcPr>
            <w:tcW w:w="980" w:type="dxa"/>
            <w:vAlign w:val="bottom"/>
            <w:shd w:val="clear" w:color="auto" w:fill="CCECFF"/>
          </w:tcPr>
          <w:p>
            <w:pPr>
              <w:spacing w:after="0"/>
              <w:rPr>
                <w:sz w:val="15"/>
                <w:szCs w:val="15"/>
                <w:color w:val="auto"/>
              </w:rPr>
            </w:pPr>
          </w:p>
        </w:tc>
        <w:tc>
          <w:tcPr>
            <w:tcW w:w="5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6"/>
        </w:trPr>
        <w:tc>
          <w:tcPr>
            <w:tcW w:w="7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9,990</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(12,487 )</w:t>
            </w:r>
          </w:p>
        </w:tc>
      </w:tr>
      <w:tr>
        <w:trPr>
          <w:trHeight w:val="175"/>
        </w:trPr>
        <w:tc>
          <w:tcPr>
            <w:tcW w:w="7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Interest payable on debt</w:t>
            </w:r>
          </w:p>
        </w:tc>
        <w:tc>
          <w:tcPr>
            <w:tcW w:w="98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(2,088 )</w:t>
            </w:r>
          </w:p>
        </w:tc>
        <w:tc>
          <w:tcPr>
            <w:tcW w:w="980" w:type="dxa"/>
            <w:vAlign w:val="bottom"/>
            <w:shd w:val="clear" w:color="auto" w:fill="CCECFF"/>
          </w:tcPr>
          <w:p>
            <w:pPr>
              <w:spacing w:after="0"/>
              <w:rPr>
                <w:sz w:val="15"/>
                <w:szCs w:val="15"/>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(1,440 )</w:t>
            </w:r>
          </w:p>
        </w:tc>
      </w:tr>
      <w:tr>
        <w:trPr>
          <w:trHeight w:val="176"/>
        </w:trPr>
        <w:tc>
          <w:tcPr>
            <w:tcW w:w="7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Base management fee payable</w:t>
            </w:r>
          </w:p>
        </w:tc>
        <w:tc>
          <w:tcPr>
            <w:tcW w:w="98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(96 )</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5"/>
                <w:szCs w:val="15"/>
                <w:color w:val="auto"/>
              </w:rPr>
            </w:pPr>
          </w:p>
        </w:tc>
      </w:tr>
      <w:tr>
        <w:trPr>
          <w:trHeight w:val="175"/>
        </w:trPr>
        <w:tc>
          <w:tcPr>
            <w:tcW w:w="7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Performance-based incentive fee payable</w:t>
            </w:r>
          </w:p>
        </w:tc>
        <w:tc>
          <w:tcPr>
            <w:tcW w:w="98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6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100" w:type="dxa"/>
            <w:vAlign w:val="bottom"/>
            <w:shd w:val="clear" w:color="auto" w:fill="CCECFF"/>
          </w:tcPr>
          <w:p>
            <w:pPr>
              <w:spacing w:after="0"/>
              <w:rPr>
                <w:sz w:val="15"/>
                <w:szCs w:val="15"/>
                <w:color w:val="auto"/>
              </w:rPr>
            </w:pPr>
          </w:p>
        </w:tc>
      </w:tr>
      <w:tr>
        <w:trPr>
          <w:trHeight w:val="176"/>
        </w:trPr>
        <w:tc>
          <w:tcPr>
            <w:tcW w:w="7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Deferred tax liability</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100" w:type="dxa"/>
            <w:vAlign w:val="bottom"/>
          </w:tcPr>
          <w:p>
            <w:pPr>
              <w:spacing w:after="0"/>
              <w:rPr>
                <w:sz w:val="15"/>
                <w:szCs w:val="15"/>
                <w:color w:val="auto"/>
              </w:rPr>
            </w:pPr>
          </w:p>
        </w:tc>
      </w:tr>
      <w:tr>
        <w:trPr>
          <w:trHeight w:val="176"/>
        </w:trPr>
        <w:tc>
          <w:tcPr>
            <w:tcW w:w="7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Accrued other expenses</w:t>
            </w:r>
          </w:p>
        </w:tc>
        <w:tc>
          <w:tcPr>
            <w:tcW w:w="98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6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(222 )</w:t>
            </w:r>
          </w:p>
        </w:tc>
      </w:tr>
      <w:tr>
        <w:trPr>
          <w:trHeight w:val="20"/>
        </w:trPr>
        <w:tc>
          <w:tcPr>
            <w:tcW w:w="7820" w:type="dxa"/>
            <w:vAlign w:val="bottom"/>
            <w:shd w:val="clear" w:color="auto" w:fill="CCEC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7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7,763</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(82,386 )</w:t>
            </w:r>
          </w:p>
        </w:tc>
      </w:tr>
      <w:tr>
        <w:trPr>
          <w:trHeight w:val="169"/>
        </w:trPr>
        <w:tc>
          <w:tcPr>
            <w:tcW w:w="7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80" w:type="dxa"/>
            <w:vAlign w:val="bottom"/>
            <w:tcBorders>
              <w:top w:val="single" w:sz="8" w:color="auto"/>
            </w:tcBorders>
            <w:shd w:val="clear" w:color="auto" w:fill="CCECFF"/>
          </w:tcPr>
          <w:p>
            <w:pPr>
              <w:spacing w:after="0"/>
              <w:rPr>
                <w:sz w:val="14"/>
                <w:szCs w:val="14"/>
                <w:color w:val="auto"/>
              </w:rPr>
            </w:pPr>
          </w:p>
        </w:tc>
        <w:tc>
          <w:tcPr>
            <w:tcW w:w="540" w:type="dxa"/>
            <w:vAlign w:val="bottom"/>
            <w:tcBorders>
              <w:top w:val="single" w:sz="8" w:color="auto"/>
            </w:tcBorders>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80" w:type="dxa"/>
            <w:vAlign w:val="bottom"/>
            <w:tcBorders>
              <w:top w:val="single" w:sz="8" w:color="auto"/>
            </w:tcBorders>
            <w:shd w:val="clear" w:color="auto" w:fill="CCECFF"/>
          </w:tcPr>
          <w:p>
            <w:pPr>
              <w:spacing w:after="0"/>
              <w:rPr>
                <w:sz w:val="14"/>
                <w:szCs w:val="14"/>
                <w:color w:val="auto"/>
              </w:rPr>
            </w:pPr>
          </w:p>
        </w:tc>
        <w:tc>
          <w:tcPr>
            <w:tcW w:w="56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7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Proceeds from public offering</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3,520</w:t>
            </w:r>
          </w:p>
        </w:tc>
        <w:tc>
          <w:tcPr>
            <w:tcW w:w="100" w:type="dxa"/>
            <w:vAlign w:val="bottom"/>
          </w:tcPr>
          <w:p>
            <w:pPr>
              <w:spacing w:after="0"/>
              <w:rPr>
                <w:sz w:val="15"/>
                <w:szCs w:val="15"/>
                <w:color w:val="auto"/>
              </w:rPr>
            </w:pPr>
          </w:p>
        </w:tc>
      </w:tr>
      <w:tr>
        <w:trPr>
          <w:trHeight w:val="175"/>
        </w:trPr>
        <w:tc>
          <w:tcPr>
            <w:tcW w:w="78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Offering costs</w:t>
            </w:r>
          </w:p>
        </w:tc>
        <w:tc>
          <w:tcPr>
            <w:tcW w:w="98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(15 )</w:t>
            </w:r>
          </w:p>
        </w:tc>
        <w:tc>
          <w:tcPr>
            <w:tcW w:w="980" w:type="dxa"/>
            <w:vAlign w:val="bottom"/>
            <w:shd w:val="clear" w:color="auto" w:fill="CCECFF"/>
          </w:tcPr>
          <w:p>
            <w:pPr>
              <w:spacing w:after="0"/>
              <w:rPr>
                <w:sz w:val="15"/>
                <w:szCs w:val="15"/>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(53 )</w:t>
            </w:r>
          </w:p>
        </w:tc>
      </w:tr>
      <w:tr>
        <w:trPr>
          <w:trHeight w:val="176"/>
        </w:trPr>
        <w:tc>
          <w:tcPr>
            <w:tcW w:w="7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Distributions paid to stockholders</w:t>
            </w:r>
          </w:p>
        </w:tc>
        <w:tc>
          <w:tcPr>
            <w:tcW w:w="98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(12,924 )</w:t>
            </w:r>
          </w:p>
        </w:tc>
        <w:tc>
          <w:tcPr>
            <w:tcW w:w="98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(11,078 )</w:t>
            </w:r>
          </w:p>
        </w:tc>
      </w:tr>
      <w:tr>
        <w:trPr>
          <w:trHeight w:val="175"/>
        </w:trPr>
        <w:tc>
          <w:tcPr>
            <w:tcW w:w="78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Repayment of 2023 notes payable (See Notes 5 and 10)</w:t>
            </w:r>
          </w:p>
        </w:tc>
        <w:tc>
          <w:tcPr>
            <w:tcW w:w="98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(20,787 )</w:t>
            </w:r>
          </w:p>
        </w:tc>
        <w:tc>
          <w:tcPr>
            <w:tcW w:w="980" w:type="dxa"/>
            <w:vAlign w:val="bottom"/>
            <w:shd w:val="clear" w:color="auto" w:fill="CCECFF"/>
          </w:tcPr>
          <w:p>
            <w:pPr>
              <w:spacing w:after="0"/>
              <w:rPr>
                <w:sz w:val="15"/>
                <w:szCs w:val="15"/>
                <w:color w:val="auto"/>
              </w:rPr>
            </w:pPr>
          </w:p>
        </w:tc>
        <w:tc>
          <w:tcPr>
            <w:tcW w:w="6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(20,787 )</w:t>
            </w:r>
          </w:p>
        </w:tc>
      </w:tr>
      <w:tr>
        <w:trPr>
          <w:trHeight w:val="175"/>
        </w:trPr>
        <w:tc>
          <w:tcPr>
            <w:tcW w:w="7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Proceeds from 2026 notes issuance (See Notes 5 and 10)</w:t>
            </w:r>
          </w:p>
        </w:tc>
        <w:tc>
          <w:tcPr>
            <w:tcW w:w="980" w:type="dxa"/>
            <w:vAlign w:val="bottom"/>
          </w:tcPr>
          <w:p>
            <w:pPr>
              <w:spacing w:after="0"/>
              <w:rPr>
                <w:sz w:val="15"/>
                <w:szCs w:val="15"/>
                <w:color w:val="auto"/>
              </w:rPr>
            </w:pPr>
          </w:p>
        </w:tc>
        <w:tc>
          <w:tcPr>
            <w:tcW w:w="8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84,333</w:t>
            </w:r>
          </w:p>
        </w:tc>
        <w:tc>
          <w:tcPr>
            <w:tcW w:w="100" w:type="dxa"/>
            <w:vAlign w:val="bottom"/>
          </w:tcPr>
          <w:p>
            <w:pPr>
              <w:spacing w:after="0"/>
              <w:rPr>
                <w:sz w:val="15"/>
                <w:szCs w:val="15"/>
                <w:color w:val="auto"/>
              </w:rPr>
            </w:pPr>
          </w:p>
        </w:tc>
      </w:tr>
      <w:tr>
        <w:trPr>
          <w:trHeight w:val="175"/>
        </w:trPr>
        <w:tc>
          <w:tcPr>
            <w:tcW w:w="7820" w:type="dxa"/>
            <w:vAlign w:val="bottom"/>
            <w:shd w:val="clear" w:color="auto" w:fill="CCECFF"/>
          </w:tcPr>
          <w:p>
            <w:pPr>
              <w:ind w:left="560"/>
              <w:spacing w:after="0"/>
              <w:rPr>
                <w:sz w:val="20"/>
                <w:szCs w:val="20"/>
                <w:color w:val="auto"/>
              </w:rPr>
            </w:pPr>
            <w:r>
              <w:rPr>
                <w:rFonts w:ascii="Times New Roman" w:cs="Times New Roman" w:eastAsia="Times New Roman" w:hAnsi="Times New Roman"/>
                <w:sz w:val="14"/>
                <w:szCs w:val="14"/>
                <w:color w:val="auto"/>
              </w:rPr>
              <w:t>Borrowings under Credit Facility (See Notes 5 and 10)</w:t>
            </w:r>
          </w:p>
        </w:tc>
        <w:tc>
          <w:tcPr>
            <w:tcW w:w="98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6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137,253</w:t>
            </w:r>
          </w:p>
        </w:tc>
        <w:tc>
          <w:tcPr>
            <w:tcW w:w="100" w:type="dxa"/>
            <w:vAlign w:val="bottom"/>
            <w:shd w:val="clear" w:color="auto" w:fill="CCECFF"/>
          </w:tcPr>
          <w:p>
            <w:pPr>
              <w:spacing w:after="0"/>
              <w:rPr>
                <w:sz w:val="15"/>
                <w:szCs w:val="15"/>
                <w:color w:val="auto"/>
              </w:rPr>
            </w:pPr>
          </w:p>
        </w:tc>
      </w:tr>
      <w:tr>
        <w:trPr>
          <w:trHeight w:val="175"/>
        </w:trPr>
        <w:tc>
          <w:tcPr>
            <w:tcW w:w="7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Repayments under Credit Facility (See Notes 5 and 10)</w:t>
            </w:r>
          </w:p>
        </w:tc>
        <w:tc>
          <w:tcPr>
            <w:tcW w:w="980" w:type="dxa"/>
            <w:vAlign w:val="bottom"/>
          </w:tcPr>
          <w:p>
            <w:pPr>
              <w:spacing w:after="0"/>
              <w:rPr>
                <w:sz w:val="15"/>
                <w:szCs w:val="15"/>
                <w:color w:val="auto"/>
              </w:rPr>
            </w:pPr>
          </w:p>
        </w:tc>
        <w:tc>
          <w:tcPr>
            <w:tcW w:w="8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(100,000 )</w:t>
            </w:r>
          </w:p>
        </w:tc>
      </w:tr>
      <w:tr>
        <w:trPr>
          <w:trHeight w:val="169"/>
        </w:trPr>
        <w:tc>
          <w:tcPr>
            <w:tcW w:w="7820" w:type="dxa"/>
            <w:vAlign w:val="bottom"/>
            <w:tcBorders>
              <w:bottom w:val="single" w:sz="8" w:color="CCECFF"/>
            </w:tcBorders>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80" w:type="dxa"/>
            <w:vAlign w:val="bottom"/>
            <w:tcBorders>
              <w:top w:val="single" w:sz="8" w:color="auto"/>
              <w:bottom w:val="single" w:sz="8" w:color="auto"/>
            </w:tcBorders>
            <w:shd w:val="clear" w:color="auto" w:fill="CCECFF"/>
          </w:tcPr>
          <w:p>
            <w:pPr>
              <w:spacing w:after="0"/>
              <w:rPr>
                <w:sz w:val="14"/>
                <w:szCs w:val="14"/>
                <w:color w:val="auto"/>
              </w:rPr>
            </w:pPr>
          </w:p>
        </w:tc>
        <w:tc>
          <w:tcPr>
            <w:tcW w:w="5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(2,731</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980" w:type="dxa"/>
            <w:vAlign w:val="bottom"/>
            <w:tcBorders>
              <w:top w:val="single" w:sz="8" w:color="auto"/>
              <w:bottom w:val="single" w:sz="8" w:color="auto"/>
            </w:tcBorders>
            <w:shd w:val="clear" w:color="auto" w:fill="CCECFF"/>
          </w:tcPr>
          <w:p>
            <w:pPr>
              <w:spacing w:after="0"/>
              <w:rPr>
                <w:sz w:val="14"/>
                <w:szCs w:val="14"/>
                <w:color w:val="auto"/>
              </w:rPr>
            </w:pPr>
          </w:p>
        </w:tc>
        <w:tc>
          <w:tcPr>
            <w:tcW w:w="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93,188</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5,032</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10,802</w:t>
            </w:r>
          </w:p>
        </w:tc>
        <w:tc>
          <w:tcPr>
            <w:tcW w:w="100" w:type="dxa"/>
            <w:vAlign w:val="bottom"/>
          </w:tcPr>
          <w:p>
            <w:pPr>
              <w:spacing w:after="0"/>
              <w:rPr>
                <w:sz w:val="14"/>
                <w:szCs w:val="14"/>
                <w:color w:val="auto"/>
              </w:rPr>
            </w:pPr>
          </w:p>
        </w:tc>
      </w:tr>
      <w:tr>
        <w:trPr>
          <w:trHeight w:val="175"/>
        </w:trPr>
        <w:tc>
          <w:tcPr>
            <w:tcW w:w="7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980" w:type="dxa"/>
            <w:vAlign w:val="bottom"/>
            <w:shd w:val="clear" w:color="auto" w:fill="CCECFF"/>
          </w:tcPr>
          <w:p>
            <w:pPr>
              <w:spacing w:after="0"/>
              <w:rPr>
                <w:sz w:val="15"/>
                <w:szCs w:val="15"/>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CECFF"/>
          </w:tcPr>
          <w:p>
            <w:pPr>
              <w:spacing w:after="0"/>
              <w:rPr>
                <w:sz w:val="15"/>
                <w:szCs w:val="15"/>
                <w:color w:val="auto"/>
              </w:rPr>
            </w:pPr>
          </w:p>
        </w:tc>
      </w:tr>
      <w:tr>
        <w:trPr>
          <w:trHeight w:val="175"/>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period</w:t>
            </w: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47,880</w:t>
            </w:r>
          </w:p>
        </w:tc>
        <w:tc>
          <w:tcPr>
            <w:tcW w:w="2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49,826</w:t>
            </w:r>
          </w:p>
        </w:tc>
        <w:tc>
          <w:tcPr>
            <w:tcW w:w="100" w:type="dxa"/>
            <w:vAlign w:val="bottom"/>
          </w:tcPr>
          <w:p>
            <w:pPr>
              <w:spacing w:after="0"/>
              <w:rPr>
                <w:sz w:val="15"/>
                <w:szCs w:val="15"/>
                <w:color w:val="auto"/>
              </w:rPr>
            </w:pPr>
          </w:p>
        </w:tc>
      </w:tr>
      <w:tr>
        <w:trPr>
          <w:trHeight w:val="209"/>
        </w:trPr>
        <w:tc>
          <w:tcPr>
            <w:tcW w:w="78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980" w:type="dxa"/>
            <w:vAlign w:val="bottom"/>
            <w:tcBorders>
              <w:bottom w:val="single" w:sz="8" w:color="auto"/>
            </w:tcBorders>
            <w:shd w:val="clear" w:color="auto" w:fill="CCEC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52,935</w:t>
            </w:r>
          </w:p>
        </w:tc>
        <w:tc>
          <w:tcPr>
            <w:tcW w:w="260" w:type="dxa"/>
            <w:vAlign w:val="bottom"/>
            <w:tcBorders>
              <w:bottom w:val="single" w:sz="8" w:color="CCECFF"/>
            </w:tcBorders>
            <w:shd w:val="clear" w:color="auto" w:fill="CCECFF"/>
          </w:tcPr>
          <w:p>
            <w:pPr>
              <w:spacing w:after="0"/>
              <w:rPr>
                <w:sz w:val="18"/>
                <w:szCs w:val="18"/>
                <w:color w:val="auto"/>
              </w:rPr>
            </w:pPr>
          </w:p>
        </w:tc>
        <w:tc>
          <w:tcPr>
            <w:tcW w:w="980" w:type="dxa"/>
            <w:vAlign w:val="bottom"/>
            <w:tcBorders>
              <w:bottom w:val="single" w:sz="8" w:color="auto"/>
            </w:tcBorders>
            <w:shd w:val="clear" w:color="auto" w:fill="CCEC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61,267</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156"/>
        </w:trPr>
        <w:tc>
          <w:tcPr>
            <w:tcW w:w="78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disclosures:</w:t>
            </w: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5"/>
        </w:trPr>
        <w:tc>
          <w:tcPr>
            <w:tcW w:w="78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 paid</w:t>
            </w:r>
          </w:p>
        </w:tc>
        <w:tc>
          <w:tcPr>
            <w:tcW w:w="980" w:type="dxa"/>
            <w:vAlign w:val="bottom"/>
            <w:tcBorders>
              <w:bottom w:val="single" w:sz="8" w:color="auto"/>
            </w:tcBorders>
            <w:shd w:val="clear" w:color="auto" w:fill="CCEC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11,594</w:t>
            </w:r>
          </w:p>
        </w:tc>
        <w:tc>
          <w:tcPr>
            <w:tcW w:w="260" w:type="dxa"/>
            <w:vAlign w:val="bottom"/>
            <w:tcBorders>
              <w:bottom w:val="single" w:sz="8" w:color="CCECFF"/>
            </w:tcBorders>
            <w:shd w:val="clear" w:color="auto" w:fill="CCECFF"/>
          </w:tcPr>
          <w:p>
            <w:pPr>
              <w:spacing w:after="0"/>
              <w:rPr>
                <w:sz w:val="18"/>
                <w:szCs w:val="18"/>
                <w:color w:val="auto"/>
              </w:rPr>
            </w:pPr>
          </w:p>
        </w:tc>
        <w:tc>
          <w:tcPr>
            <w:tcW w:w="980" w:type="dxa"/>
            <w:vAlign w:val="bottom"/>
            <w:tcBorders>
              <w:bottom w:val="single" w:sz="8" w:color="auto"/>
            </w:tcBorders>
            <w:shd w:val="clear" w:color="auto" w:fill="CCEC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7,931</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156"/>
        </w:trPr>
        <w:tc>
          <w:tcPr>
            <w:tcW w:w="7820" w:type="dxa"/>
            <w:vAlign w:val="bottom"/>
          </w:tcPr>
          <w:p>
            <w:pPr>
              <w:ind w:left="200"/>
              <w:spacing w:after="0" w:line="156" w:lineRule="exact"/>
              <w:rPr>
                <w:sz w:val="20"/>
                <w:szCs w:val="20"/>
                <w:color w:val="auto"/>
              </w:rPr>
            </w:pPr>
            <w:r>
              <w:rPr>
                <w:rFonts w:ascii="Times New Roman" w:cs="Times New Roman" w:eastAsia="Times New Roman" w:hAnsi="Times New Roman"/>
                <w:sz w:val="14"/>
                <w:szCs w:val="14"/>
                <w:color w:val="auto"/>
              </w:rPr>
              <w:t>Taxes paid</w:t>
            </w:r>
          </w:p>
        </w:tc>
        <w:tc>
          <w:tcPr>
            <w:tcW w:w="980" w:type="dxa"/>
            <w:vAlign w:val="bottom"/>
            <w:tcBorders>
              <w:bottom w:val="single" w:sz="8" w:color="auto"/>
            </w:tcBorders>
          </w:tcPr>
          <w:p>
            <w:pPr>
              <w:jc w:val="right"/>
              <w:ind w:right="8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w:t>
            </w:r>
          </w:p>
        </w:tc>
        <w:tc>
          <w:tcPr>
            <w:tcW w:w="260" w:type="dxa"/>
            <w:vAlign w:val="bottom"/>
          </w:tcPr>
          <w:p>
            <w:pPr>
              <w:spacing w:after="0"/>
              <w:rPr>
                <w:sz w:val="13"/>
                <w:szCs w:val="13"/>
                <w:color w:val="auto"/>
              </w:rPr>
            </w:pPr>
          </w:p>
        </w:tc>
        <w:tc>
          <w:tcPr>
            <w:tcW w:w="980" w:type="dxa"/>
            <w:vAlign w:val="bottom"/>
            <w:tcBorders>
              <w:bottom w:val="single" w:sz="8" w:color="auto"/>
            </w:tcBorders>
          </w:tcPr>
          <w:p>
            <w:pPr>
              <w:jc w:val="right"/>
              <w:ind w:right="8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3"/>
                <w:szCs w:val="13"/>
                <w:color w:val="auto"/>
              </w:rPr>
            </w:pPr>
          </w:p>
        </w:tc>
      </w:tr>
      <w:tr>
        <w:trPr>
          <w:trHeight w:val="20"/>
        </w:trPr>
        <w:tc>
          <w:tcPr>
            <w:tcW w:w="7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-2013585</wp:posOffset>
            </wp:positionV>
            <wp:extent cx="6858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-873760</wp:posOffset>
            </wp:positionV>
            <wp:extent cx="6858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-410845</wp:posOffset>
            </wp:positionV>
            <wp:extent cx="120840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8405" cy="13716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-162560</wp:posOffset>
            </wp:positionV>
            <wp:extent cx="1208405"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8405" cy="16319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(in thousands, except share data)</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bl>
      <w:tblPr>
        <w:tblLayout w:type="fixed"/>
        <w:tblInd w:w="0" w:type="dxa"/>
        <w:tblCellMar>
          <w:top w:w="0" w:type="dxa"/>
          <w:left w:w="0" w:type="dxa"/>
          <w:bottom w:w="0" w:type="dxa"/>
          <w:right w:w="0" w:type="dxa"/>
        </w:tblCellMar>
      </w:tblPr>
      <w:tr>
        <w:trPr>
          <w:trHeight w:val="114"/>
        </w:trPr>
        <w:tc>
          <w:tcPr>
            <w:tcW w:w="3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right"/>
              <w:ind w:right="86"/>
              <w:spacing w:after="0" w:line="114" w:lineRule="exact"/>
              <w:rPr>
                <w:sz w:val="20"/>
                <w:szCs w:val="20"/>
                <w:color w:val="auto"/>
              </w:rPr>
            </w:pPr>
            <w:r>
              <w:rPr>
                <w:rFonts w:ascii="Times New Roman" w:cs="Times New Roman" w:eastAsia="Times New Roman" w:hAnsi="Times New Roman"/>
                <w:sz w:val="11"/>
                <w:szCs w:val="11"/>
                <w:b w:val="1"/>
                <w:bCs w:val="1"/>
                <w:color w:val="auto"/>
              </w:rPr>
              <w:t>Basis</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Point</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2"/>
          </w:tcPr>
          <w:p>
            <w:pPr>
              <w:jc w:val="right"/>
              <w:ind w:right="34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20" w:type="dxa"/>
            <w:vAlign w:val="bottom"/>
          </w:tcPr>
          <w:p>
            <w:pPr>
              <w:spacing w:after="0"/>
              <w:rPr>
                <w:sz w:val="9"/>
                <w:szCs w:val="9"/>
                <w:color w:val="auto"/>
              </w:rPr>
            </w:pPr>
          </w:p>
        </w:tc>
        <w:tc>
          <w:tcPr>
            <w:tcW w:w="5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120" w:type="dxa"/>
            <w:vAlign w:val="bottom"/>
          </w:tcPr>
          <w:p>
            <w:pPr>
              <w:spacing w:after="0"/>
              <w:rPr>
                <w:sz w:val="9"/>
                <w:szCs w:val="9"/>
                <w:color w:val="auto"/>
              </w:rPr>
            </w:pPr>
          </w:p>
        </w:tc>
        <w:tc>
          <w:tcPr>
            <w:tcW w:w="70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60" w:type="dxa"/>
            <w:vAlign w:val="bottom"/>
          </w:tcPr>
          <w:p>
            <w:pPr>
              <w:spacing w:after="0"/>
              <w:rPr>
                <w:sz w:val="14"/>
                <w:szCs w:val="1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20" w:type="dxa"/>
            <w:vAlign w:val="bottom"/>
          </w:tcPr>
          <w:p>
            <w:pPr>
              <w:spacing w:after="0"/>
              <w:rPr>
                <w:sz w:val="14"/>
                <w:szCs w:val="14"/>
                <w:color w:val="auto"/>
              </w:rPr>
            </w:pPr>
          </w:p>
        </w:tc>
        <w:tc>
          <w:tcPr>
            <w:tcW w:w="8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gridSpan w:val="3"/>
            <w:shd w:val="clear" w:color="auto" w:fill="CCECFF"/>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Investments in Non-Controlled, Non-Affiliated Portfolio Companies—169.6% </w:t>
            </w:r>
            <w:r>
              <w:rPr>
                <w:rFonts w:ascii="Times New Roman" w:cs="Times New Roman" w:eastAsia="Times New Roman" w:hAnsi="Times New Roman"/>
                <w:sz w:val="14"/>
                <w:szCs w:val="14"/>
                <w:b w:val="1"/>
                <w:bCs w:val="1"/>
                <w:color w:val="auto"/>
                <w:vertAlign w:val="superscript"/>
              </w:rPr>
              <w:t>(3), (4)</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Debt—149.6%</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A1 Garage Merger Sub, LLC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12/22/2028</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11.12 %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L+650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2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354</w:t>
            </w:r>
          </w:p>
        </w:tc>
        <w:tc>
          <w:tcPr>
            <w:tcW w:w="2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A1 Garage Merger Sub, LLC - Unfunded Term Loan</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12/21/2024</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1,698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A1 Garage Merger Sub, LLC LLC (Revolver) </w:t>
            </w:r>
            <w:r>
              <w:rPr>
                <w:rFonts w:ascii="Times New Roman" w:cs="Times New Roman" w:eastAsia="Times New Roman" w:hAnsi="Times New Roman"/>
                <w:sz w:val="14"/>
                <w:szCs w:val="14"/>
                <w:color w:val="auto"/>
                <w:vertAlign w:val="superscript"/>
              </w:rPr>
              <w:t>(7), (9)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12/22/2028</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748</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05/06/2026</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10.84 %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L+600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05/06/2026</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10.84 %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996</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996</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 (9)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05/06/2026</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07/24/2025</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10.24 %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4,725</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4,691</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4,642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07/24/2025</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10.73 %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L+600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 (9)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07/24/2025</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1,581</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(28 )</w:t>
            </w:r>
          </w:p>
        </w:tc>
        <w:tc>
          <w:tcPr>
            <w:tcW w:w="0" w:type="dxa"/>
            <w:vAlign w:val="bottom"/>
          </w:tcPr>
          <w:p>
            <w:pPr>
              <w:spacing w:after="0"/>
              <w:rPr>
                <w:sz w:val="1"/>
                <w:szCs w:val="1"/>
                <w:color w:val="auto"/>
              </w:rPr>
            </w:pPr>
          </w:p>
        </w:tc>
      </w:tr>
      <w:tr>
        <w:trPr>
          <w:trHeight w:val="130"/>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12/21/2023</w:t>
            </w:r>
          </w:p>
        </w:tc>
        <w:tc>
          <w:tcPr>
            <w:tcW w:w="60" w:type="dxa"/>
            <w:vAlign w:val="bottom"/>
          </w:tcPr>
          <w:p>
            <w:pPr>
              <w:spacing w:after="0"/>
              <w:rPr>
                <w:sz w:val="11"/>
                <w:szCs w:val="11"/>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Building Products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9.25 %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w w:val="97"/>
              </w:rPr>
              <w:t>(6)</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L+550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7,579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324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1"/>
                <w:szCs w:val="11"/>
                <w:color w:val="auto"/>
              </w:rPr>
              <w:t>American Teleconferencing Services, Ltd.</w:t>
            </w:r>
            <w:r>
              <w:rPr>
                <w:rFonts w:ascii="Times New Roman" w:cs="Times New Roman" w:eastAsia="Times New Roman" w:hAnsi="Times New Roman"/>
                <w:sz w:val="14"/>
                <w:szCs w:val="14"/>
                <w:color w:val="auto"/>
                <w:vertAlign w:val="superscript"/>
              </w:rPr>
              <w:t>(7)</w:t>
            </w:r>
          </w:p>
        </w:tc>
        <w:tc>
          <w:tcPr>
            <w:tcW w:w="82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1"/>
                <w:szCs w:val="11"/>
                <w:color w:val="auto"/>
                <w:w w:val="99"/>
              </w:rPr>
              <w:t>06/08/2023</w:t>
            </w:r>
          </w:p>
        </w:tc>
        <w:tc>
          <w:tcPr>
            <w:tcW w:w="60" w:type="dxa"/>
            <w:vAlign w:val="bottom"/>
          </w:tcPr>
          <w:p>
            <w:pPr>
              <w:spacing w:after="0"/>
              <w:rPr>
                <w:sz w:val="5"/>
                <w:szCs w:val="5"/>
                <w:color w:val="auto"/>
              </w:rPr>
            </w:pP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7,986</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7,915</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2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w w:val="97"/>
              </w:rPr>
              <w:t>(6)</w:t>
            </w:r>
          </w:p>
        </w:tc>
        <w:tc>
          <w:tcPr>
            <w:tcW w:w="5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American Teleconferencing Services, Ltd. (Revolver) </w:t>
            </w:r>
            <w:r>
              <w:rPr>
                <w:rFonts w:ascii="Times New Roman" w:cs="Times New Roman" w:eastAsia="Times New Roman" w:hAnsi="Times New Roman"/>
                <w:sz w:val="14"/>
                <w:szCs w:val="14"/>
                <w:color w:val="auto"/>
                <w:vertAlign w:val="superscript"/>
              </w:rPr>
              <w:t>(7)</w:t>
            </w:r>
          </w:p>
        </w:tc>
        <w:tc>
          <w:tcPr>
            <w:tcW w:w="82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1"/>
                <w:szCs w:val="11"/>
                <w:color w:val="auto"/>
                <w:w w:val="99"/>
              </w:rPr>
              <w:t>01/31/2023</w:t>
            </w:r>
          </w:p>
        </w:tc>
        <w:tc>
          <w:tcPr>
            <w:tcW w:w="60" w:type="dxa"/>
            <w:vAlign w:val="bottom"/>
          </w:tcPr>
          <w:p>
            <w:pPr>
              <w:spacing w:after="0"/>
              <w:rPr>
                <w:sz w:val="5"/>
                <w:szCs w:val="5"/>
                <w:color w:val="auto"/>
              </w:rPr>
            </w:pP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1,656</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1,642</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24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300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Amsive Holding Corporation (f/k/a Vision Purchaser Corporation)</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06/10/2025</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10.98 %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L+625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14,067</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13,928</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13,786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Anteriad, LLC (f/k/a MeritDirect,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05/23/2024</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10.23 %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L+550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14,372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Anteriad, LLC (f/k/a MeritDirect, LLC) (Revolver) </w:t>
            </w:r>
            <w:r>
              <w:rPr>
                <w:rFonts w:ascii="Times New Roman" w:cs="Times New Roman" w:eastAsia="Times New Roman" w:hAnsi="Times New Roman"/>
                <w:sz w:val="14"/>
                <w:szCs w:val="14"/>
                <w:color w:val="auto"/>
                <w:vertAlign w:val="superscript"/>
              </w:rPr>
              <w:t>(7), (9)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05/23/2024</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2,869</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07/21/2027</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9.54 %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L+525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10,501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07/21/2027</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10.17 %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L+585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 (9)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07/21/2027</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07/31/2025</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9.46 %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1M L+525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6,208</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6,169</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6,177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07/31/2025</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9.67 %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1M L+550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07/31/2025</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9.59 %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1M L+525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12,923</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12,847</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12,859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07/31/2025</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9.99 %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1M L+525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1,153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 (9)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07/31/2025</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692</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API Holding III Corp.</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05/11/2026</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8.98 %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1M L+425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5,790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5,771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12/29/2026</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10.47 %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L+575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7,325</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7,222</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7,142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 (Unfunded Term Loan)</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04/21/2023</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(29 )</w:t>
            </w: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12/29/2026</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12.25 %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L+475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 (9)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12/29/2026</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Arcfield Acquisition Corp. (Revolver) </w:t>
            </w:r>
            <w:r>
              <w:rPr>
                <w:rFonts w:ascii="Times New Roman" w:cs="Times New Roman" w:eastAsia="Times New Roman" w:hAnsi="Times New Roman"/>
                <w:sz w:val="14"/>
                <w:szCs w:val="14"/>
                <w:color w:val="auto"/>
                <w:vertAlign w:val="superscript"/>
              </w:rPr>
              <w:t>(9)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03/07/2028</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887</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07/01/2029</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8.99 %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1M L+525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09/17/2024</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9.18 %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L+500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Blackhawk Industrial Distribution, Inc. </w:t>
            </w:r>
            <w:r>
              <w:rPr>
                <w:rFonts w:ascii="Times New Roman" w:cs="Times New Roman" w:eastAsia="Times New Roman" w:hAnsi="Times New Roman"/>
                <w:sz w:val="14"/>
                <w:szCs w:val="14"/>
                <w:color w:val="auto"/>
                <w:vertAlign w:val="superscript"/>
              </w:rPr>
              <w:t>(7),(9)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09/17/2024</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3,045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(38 )</w:t>
            </w: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Blackhawk Industrial Distribution, Inc. (Revolver) </w:t>
            </w:r>
            <w:r>
              <w:rPr>
                <w:rFonts w:ascii="Times New Roman" w:cs="Times New Roman" w:eastAsia="Times New Roman" w:hAnsi="Times New Roman"/>
                <w:sz w:val="14"/>
                <w:szCs w:val="14"/>
                <w:color w:val="auto"/>
                <w:vertAlign w:val="superscript"/>
              </w:rPr>
              <w:t>(7)</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09/17/2024</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10.06 %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L+500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823</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823</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Blackhawk Industrial Distribution, Inc. </w:t>
            </w:r>
            <w:r>
              <w:rPr>
                <w:rFonts w:ascii="Times New Roman" w:cs="Times New Roman" w:eastAsia="Times New Roman" w:hAnsi="Times New Roman"/>
                <w:sz w:val="14"/>
                <w:szCs w:val="14"/>
                <w:color w:val="auto"/>
                <w:vertAlign w:val="superscript"/>
              </w:rPr>
              <w:t>(9)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09/17/2024</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(100 )</w:t>
            </w: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12/04/2025</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10.73 %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3,389</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3,389</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3,389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05/16/2024</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10.79 %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L+625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27,252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 (Revolver)</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05/16/2024</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10.92 %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L+663</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3,419</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3,419</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3,385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By Light Professional IT Services, LLC (Revolver) </w:t>
            </w:r>
            <w:r>
              <w:rPr>
                <w:rFonts w:ascii="Times New Roman" w:cs="Times New Roman" w:eastAsia="Times New Roman" w:hAnsi="Times New Roman"/>
                <w:sz w:val="14"/>
                <w:szCs w:val="14"/>
                <w:color w:val="auto"/>
                <w:vertAlign w:val="superscript"/>
              </w:rPr>
              <w:t>(9)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05/16/2024</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Cadence Aerospace, LLC </w:t>
            </w:r>
            <w:r>
              <w:rPr>
                <w:rFonts w:ascii="Times New Roman" w:cs="Times New Roman" w:eastAsia="Times New Roman" w:hAnsi="Times New Roman"/>
                <w:sz w:val="14"/>
                <w:szCs w:val="14"/>
                <w:color w:val="auto"/>
                <w:vertAlign w:val="superscript"/>
              </w:rPr>
              <w:t>(7)</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11/14/2023</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12.92 %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L+850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3,042</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3,035</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9.50%)</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05/13/2028</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10.58 %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1M L+600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13,176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Cartessa Aesthetics, LLC (Revolver) </w:t>
            </w:r>
            <w:r>
              <w:rPr>
                <w:rFonts w:ascii="Times New Roman" w:cs="Times New Roman" w:eastAsia="Times New Roman" w:hAnsi="Times New Roman"/>
                <w:sz w:val="14"/>
                <w:szCs w:val="14"/>
                <w:color w:val="auto"/>
                <w:vertAlign w:val="superscript"/>
              </w:rPr>
              <w:t>(7)</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05/13/2028</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10.58 %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1M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Cartessa Aesthetics, LLC (Revolver) </w:t>
            </w:r>
            <w:r>
              <w:rPr>
                <w:rFonts w:ascii="Times New Roman" w:cs="Times New Roman" w:eastAsia="Times New Roman" w:hAnsi="Times New Roman"/>
                <w:sz w:val="14"/>
                <w:szCs w:val="14"/>
                <w:color w:val="auto"/>
                <w:vertAlign w:val="superscript"/>
              </w:rPr>
              <w:t>(7)(9)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05/13/2028</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08/20/2026</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10.75 %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8,077</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7,976</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7,916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CF512, Inc. </w:t>
            </w:r>
            <w:r>
              <w:rPr>
                <w:rFonts w:ascii="Times New Roman" w:cs="Times New Roman" w:eastAsia="Times New Roman" w:hAnsi="Times New Roman"/>
                <w:sz w:val="14"/>
                <w:szCs w:val="14"/>
                <w:color w:val="auto"/>
                <w:vertAlign w:val="superscript"/>
              </w:rPr>
              <w:t>(7), (9)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08/20/2026</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CF512, Inc. (Revolver) </w:t>
            </w:r>
            <w:r>
              <w:rPr>
                <w:rFonts w:ascii="Times New Roman" w:cs="Times New Roman" w:eastAsia="Times New Roman" w:hAnsi="Times New Roman"/>
                <w:sz w:val="14"/>
                <w:szCs w:val="14"/>
                <w:color w:val="auto"/>
                <w:vertAlign w:val="superscript"/>
              </w:rPr>
              <w:t>(7), (9)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08/20/2026</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 Holdings, Inc.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04/10/2025</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Industries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9.23 %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L+450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1,577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Challenger Performance Optimization, Inc. (Revolver) </w:t>
            </w:r>
            <w:r>
              <w:rPr>
                <w:rFonts w:ascii="Times New Roman" w:cs="Times New Roman" w:eastAsia="Times New Roman" w:hAnsi="Times New Roman"/>
                <w:sz w:val="14"/>
                <w:szCs w:val="14"/>
                <w:color w:val="auto"/>
                <w:vertAlign w:val="superscript"/>
              </w:rPr>
              <w:t>(7)</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08/31/2023</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10.82 %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1M L+675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Challenger Performance Optimization, Inc. (Revolver) </w:t>
            </w:r>
            <w:r>
              <w:rPr>
                <w:rFonts w:ascii="Times New Roman" w:cs="Times New Roman" w:eastAsia="Times New Roman" w:hAnsi="Times New Roman"/>
                <w:sz w:val="14"/>
                <w:szCs w:val="14"/>
                <w:color w:val="auto"/>
                <w:vertAlign w:val="superscript"/>
              </w:rPr>
              <w:t>(7), (9)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08/31/2023</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Compex Legal Services, Inc.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02/09/2026</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9.97 %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L+525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8,017</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7,991</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7,993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02/07/2025</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9.61 %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L+525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 (9)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02/07/2025</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703</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07/13/2027</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10.14 %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L+550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3,897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 (9)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01/13/2023</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2,105</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 (9)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07/13/2027</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(40 )</w:t>
            </w: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08/16/2027</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9.75 %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L+575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889</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883</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08/16/2027</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10.48 %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L+575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08/16/2027</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08/31/2027</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10.48 %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L+600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08/31/2027</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10.46 %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1,118</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1,118</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 (9)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08/31/2027</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2,236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11/03/2025</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10.47 %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L+575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16,533</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16,368</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16,004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14"/>
                <w:szCs w:val="14"/>
                <w:color w:val="auto"/>
                <w:vertAlign w:val="superscript"/>
              </w:rPr>
              <w:t>(7), (9)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11/03/2025</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(46 )</w:t>
            </w: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06/30/2024</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Containers and Packaging</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9.89 %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L+550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3,239</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3,205</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3,187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05/01/2028</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11.88 %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1M L+750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5,190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ECM Industries, LLC (Revolver)</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12/23/2025</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9.50 %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1M L+475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ECM Industries, LLC (Revolver) </w:t>
            </w:r>
            <w:r>
              <w:rPr>
                <w:rFonts w:ascii="Times New Roman" w:cs="Times New Roman" w:eastAsia="Times New Roman" w:hAnsi="Times New Roman"/>
                <w:sz w:val="14"/>
                <w:szCs w:val="14"/>
                <w:color w:val="auto"/>
                <w:vertAlign w:val="superscript"/>
              </w:rPr>
              <w:t>(9)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12/23/2025</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(27 )</w:t>
            </w: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eCommission Financial Services, Inc. </w:t>
            </w:r>
            <w:r>
              <w:rPr>
                <w:rFonts w:ascii="Times New Roman" w:cs="Times New Roman" w:eastAsia="Times New Roman" w:hAnsi="Times New Roman"/>
                <w:sz w:val="14"/>
                <w:szCs w:val="14"/>
                <w:color w:val="auto"/>
                <w:vertAlign w:val="superscript"/>
              </w:rPr>
              <w:t>(10)</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10/05/2023</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9.17 %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1M L+500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5,528</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5,528</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eCommission Financial Services, Inc. (Revolver) </w:t>
            </w:r>
            <w:r>
              <w:rPr>
                <w:rFonts w:ascii="Times New Roman" w:cs="Times New Roman" w:eastAsia="Times New Roman" w:hAnsi="Times New Roman"/>
                <w:sz w:val="14"/>
                <w:szCs w:val="14"/>
                <w:color w:val="auto"/>
                <w:vertAlign w:val="superscript"/>
              </w:rPr>
              <w:t>(7), (9), (10)</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10/05/2023</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EDS Buyer, LLC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12/22/2028</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10.91 %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L+625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9,000</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8,865</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8,865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EDS Buyer, LLC - Unfunded Term Loan</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12/22/2028</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6,750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EDS Buyer, LLC. (Revolver) </w:t>
            </w:r>
            <w:r>
              <w:rPr>
                <w:rFonts w:ascii="Times New Roman" w:cs="Times New Roman" w:eastAsia="Times New Roman" w:hAnsi="Times New Roman"/>
                <w:sz w:val="14"/>
                <w:szCs w:val="14"/>
                <w:color w:val="auto"/>
                <w:vertAlign w:val="superscript"/>
              </w:rPr>
              <w:t>(7), (9)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12/22/2028</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Efficient Collaborative Retail Marketing Company,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06/15/2024</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11.13 %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L+675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Exigo Intermediate II, LLC </w:t>
            </w:r>
            <w:r>
              <w:rPr>
                <w:rFonts w:ascii="Times New Roman" w:cs="Times New Roman" w:eastAsia="Times New Roman" w:hAnsi="Times New Roman"/>
                <w:sz w:val="14"/>
                <w:szCs w:val="14"/>
                <w:color w:val="auto"/>
                <w:vertAlign w:val="superscript"/>
              </w:rPr>
              <w:t>(9)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03/15/2024</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2,758</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Exigo Intermediate II, LLC (Revolver)</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03/15/2027</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10.13 %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L+575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Exigo Intermediate II, LLC (Revolver) </w:t>
            </w:r>
            <w:r>
              <w:rPr>
                <w:rFonts w:ascii="Times New Roman" w:cs="Times New Roman" w:eastAsia="Times New Roman" w:hAnsi="Times New Roman"/>
                <w:sz w:val="14"/>
                <w:szCs w:val="14"/>
                <w:color w:val="auto"/>
                <w:vertAlign w:val="superscript"/>
              </w:rPr>
              <w:t>(9)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03/15/2027</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Findex Group Limited </w:t>
            </w:r>
            <w:r>
              <w:rPr>
                <w:rFonts w:ascii="Times New Roman" w:cs="Times New Roman" w:eastAsia="Times New Roman" w:hAnsi="Times New Roman"/>
                <w:sz w:val="14"/>
                <w:szCs w:val="14"/>
                <w:color w:val="auto"/>
                <w:vertAlign w:val="superscript"/>
              </w:rPr>
              <w:t>(5)(10)(11)</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05/31/2024</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7.68 %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L+450</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AUD 10,000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05/14/2026</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10.63 %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1M L+625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21,869</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21,541</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21,213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05/14/2026</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10.63 %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1M L+625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 (9)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05/14/2026</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2,489</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(75 )</w:t>
            </w:r>
          </w:p>
        </w:tc>
        <w:tc>
          <w:tcPr>
            <w:tcW w:w="0" w:type="dxa"/>
            <w:vAlign w:val="bottom"/>
          </w:tcPr>
          <w:p>
            <w:pPr>
              <w:spacing w:after="0"/>
              <w:rPr>
                <w:sz w:val="1"/>
                <w:szCs w:val="1"/>
                <w:color w:val="auto"/>
              </w:rPr>
            </w:pPr>
          </w:p>
        </w:tc>
      </w:tr>
      <w:tr>
        <w:trPr>
          <w:trHeight w:val="140"/>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03/16/2026</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10.19 %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L+600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-6689090</wp:posOffset>
            </wp:positionV>
            <wp:extent cx="7132320" cy="93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(in thousands, except share data)</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right"/>
              <w:ind w:right="386"/>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220" w:type="dxa"/>
            <w:vAlign w:val="bottom"/>
          </w:tcPr>
          <w:p>
            <w:pPr>
              <w:spacing w:after="0"/>
              <w:rPr>
                <w:sz w:val="9"/>
                <w:szCs w:val="9"/>
                <w:color w:val="auto"/>
              </w:rPr>
            </w:pPr>
          </w:p>
        </w:tc>
        <w:tc>
          <w:tcPr>
            <w:tcW w:w="780" w:type="dxa"/>
            <w:vAlign w:val="bottom"/>
          </w:tcPr>
          <w:p>
            <w:pPr>
              <w:jc w:val="right"/>
              <w:ind w:right="22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(2)</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6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 w:type="dxa"/>
            <w:vAlign w:val="bottom"/>
          </w:tcPr>
          <w:p>
            <w:pPr>
              <w:spacing w:after="0"/>
              <w:rPr>
                <w:sz w:val="14"/>
                <w:szCs w:val="14"/>
                <w:color w:val="auto"/>
              </w:rPr>
            </w:pPr>
          </w:p>
        </w:tc>
        <w:tc>
          <w:tcPr>
            <w:tcW w:w="1040" w:type="dxa"/>
            <w:vAlign w:val="bottom"/>
            <w:gridSpan w:val="2"/>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20" w:type="dxa"/>
            <w:vAlign w:val="bottom"/>
          </w:tcPr>
          <w:p>
            <w:pPr>
              <w:spacing w:after="0"/>
              <w:rPr>
                <w:sz w:val="14"/>
                <w:szCs w:val="14"/>
                <w:color w:val="auto"/>
              </w:rPr>
            </w:pPr>
          </w:p>
        </w:tc>
        <w:tc>
          <w:tcPr>
            <w:tcW w:w="7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160" w:type="dxa"/>
            <w:vAlign w:val="bottom"/>
            <w:shd w:val="clear" w:color="auto" w:fill="CCECFF"/>
          </w:tcPr>
          <w:p>
            <w:pPr>
              <w:spacing w:after="0"/>
              <w:rPr>
                <w:sz w:val="12"/>
                <w:szCs w:val="12"/>
                <w:color w:val="auto"/>
              </w:rPr>
            </w:pPr>
          </w:p>
        </w:tc>
        <w:tc>
          <w:tcPr>
            <w:tcW w:w="76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08/10/2027</w:t>
            </w:r>
          </w:p>
        </w:tc>
        <w:tc>
          <w:tcPr>
            <w:tcW w:w="160" w:type="dxa"/>
            <w:vAlign w:val="bottom"/>
            <w:shd w:val="clear" w:color="auto" w:fill="CCECFF"/>
          </w:tcPr>
          <w:p>
            <w:pPr>
              <w:spacing w:after="0"/>
              <w:rPr>
                <w:sz w:val="12"/>
                <w:szCs w:val="12"/>
                <w:color w:val="auto"/>
              </w:rPr>
            </w:pPr>
          </w:p>
        </w:tc>
        <w:tc>
          <w:tcPr>
            <w:tcW w:w="21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00" w:type="dxa"/>
            <w:vAlign w:val="bottom"/>
            <w:shd w:val="clear" w:color="auto" w:fill="CCECFF"/>
          </w:tcPr>
          <w:p>
            <w:pPr>
              <w:spacing w:after="0"/>
              <w:rPr>
                <w:sz w:val="12"/>
                <w:szCs w:val="12"/>
                <w:color w:val="auto"/>
              </w:rPr>
            </w:pPr>
          </w:p>
        </w:tc>
        <w:tc>
          <w:tcPr>
            <w:tcW w:w="8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10.23</w:t>
            </w:r>
          </w:p>
        </w:tc>
        <w:tc>
          <w:tcPr>
            <w:tcW w:w="22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86"/>
              </w:rPr>
              <w:t>%</w:t>
            </w:r>
          </w:p>
        </w:tc>
        <w:tc>
          <w:tcPr>
            <w:tcW w:w="7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220" w:type="dxa"/>
            <w:vAlign w:val="bottom"/>
            <w:shd w:val="clear" w:color="auto" w:fill="CCECFF"/>
          </w:tcPr>
          <w:p>
            <w:pPr>
              <w:spacing w:after="0"/>
              <w:rPr>
                <w:sz w:val="12"/>
                <w:szCs w:val="12"/>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200" w:type="dxa"/>
            <w:vAlign w:val="bottom"/>
            <w:shd w:val="clear" w:color="auto" w:fill="CCECFF"/>
          </w:tcPr>
          <w:p>
            <w:pPr>
              <w:spacing w:after="0"/>
              <w:rPr>
                <w:sz w:val="12"/>
                <w:szCs w:val="12"/>
                <w:color w:val="auto"/>
              </w:rPr>
            </w:pPr>
          </w:p>
        </w:tc>
        <w:tc>
          <w:tcPr>
            <w:tcW w:w="200" w:type="dxa"/>
            <w:vAlign w:val="bottom"/>
            <w:tcBorders>
              <w:top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200" w:type="dxa"/>
            <w:vAlign w:val="bottom"/>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Graffiti Buyer, Inc. </w:t>
            </w:r>
            <w:r>
              <w:rPr>
                <w:rFonts w:ascii="Times New Roman" w:cs="Times New Roman" w:eastAsia="Times New Roman" w:hAnsi="Times New Roman"/>
                <w:sz w:val="14"/>
                <w:szCs w:val="14"/>
                <w:color w:val="auto"/>
                <w:vertAlign w:val="superscript"/>
              </w:rPr>
              <w:t>(7), (9)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08/10/2023</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08/10/2027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10.16 %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348</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348</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 (9)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08/10/2027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12/31/2026</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10.23 %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4,438</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4,362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4,349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12/31/2026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9.79 %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 (9)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12/31/2026</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590</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11/23/2028</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10.17 %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Holdco Sands Intermediate, LLC (Revolver)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11/23/2027</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1,791</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(36 )</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12/10/2024</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6.00 %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8,392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HW Holdco, LLC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12/10/2024</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1,686</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 (9)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12/10/2024</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12/30/2026</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11.47 %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5,709</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5,609</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IDC Infusion Services, Inc. (Revolver) </w:t>
            </w:r>
            <w:r>
              <w:rPr>
                <w:rFonts w:ascii="Times New Roman" w:cs="Times New Roman" w:eastAsia="Times New Roman" w:hAnsi="Times New Roman"/>
                <w:sz w:val="14"/>
                <w:szCs w:val="14"/>
                <w:color w:val="auto"/>
                <w:vertAlign w:val="superscript"/>
              </w:rPr>
              <w:t>(9)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12/30/2026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4,167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(146 )</w:t>
            </w: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IG Investments Holdings, LLC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09/22/2028</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10.38 %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4,462</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4,381</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4,395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IG Investments Holdings, LLC (Revolver)</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09/22/2027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10.39 %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 (9)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09/22/2027</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Acquisitionco, LLC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11/15/2027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10.14 %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3,969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3,901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Imagine Acquisitionco, LLC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11/15/2027</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Imagine Acquisitionco, LLC (Revolver) </w:t>
            </w:r>
            <w:r>
              <w:rPr>
                <w:rFonts w:ascii="Times New Roman" w:cs="Times New Roman" w:eastAsia="Times New Roman" w:hAnsi="Times New Roman"/>
                <w:sz w:val="14"/>
                <w:szCs w:val="14"/>
                <w:color w:val="auto"/>
                <w:vertAlign w:val="superscript"/>
              </w:rPr>
              <w:t>(9)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11/15/2027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(36 )</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12/07/2023</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11.94 %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L+715</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14,916</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14,739</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14,618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Infinity Home Services Holdco, Inc. - Unfunded Term Loan</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12/28/2023</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0.00 %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3,230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Infinity Home Services Holdco, Inc. (Revolver)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12/28/2028</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0.00 %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1,292</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Infolinks Media Buyco, LLC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11/01/2026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10.23 %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2,618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Infolinks Media Buyco, LLC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11/01/2023</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969</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09/29/2023</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Services</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9.48 %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15,583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15,556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Integrative Nutrition, LLC (Revolver) </w:t>
            </w:r>
            <w:r>
              <w:rPr>
                <w:rFonts w:ascii="Times New Roman" w:cs="Times New Roman" w:eastAsia="Times New Roman" w:hAnsi="Times New Roman"/>
                <w:sz w:val="14"/>
                <w:szCs w:val="14"/>
                <w:color w:val="auto"/>
                <w:vertAlign w:val="superscript"/>
              </w:rPr>
              <w:t>(7), (9)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09/29/2023</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Services</w:t>
            </w:r>
          </w:p>
        </w:tc>
        <w:tc>
          <w:tcPr>
            <w:tcW w:w="1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14"/>
                <w:szCs w:val="14"/>
                <w:color w:val="auto"/>
                <w:vertAlign w:val="superscript"/>
              </w:rPr>
              <w:t>(7)</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08/27/2025</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10.81 %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15,785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15,667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ITI Holdings, Inc. (Revolver)</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03/03/2028</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10.77 %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ITI Holdings, Inc. (Revolver) </w:t>
            </w:r>
            <w:r>
              <w:rPr>
                <w:rFonts w:ascii="Times New Roman" w:cs="Times New Roman" w:eastAsia="Times New Roman" w:hAnsi="Times New Roman"/>
                <w:sz w:val="14"/>
                <w:szCs w:val="14"/>
                <w:color w:val="auto"/>
                <w:vertAlign w:val="superscript"/>
              </w:rPr>
              <w:t>(9)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03/03/2028</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 (9)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12/20/2023</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1,429</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11/10/2027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10.73 %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17,384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17,089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Kinetic Purchaser, LLC - (Revolver)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11/10/2026</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10.73 %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3,435</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3,435</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3,349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02/18/2027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11.17 %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10,484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10,308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08/16/2026</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11.57 %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784</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784</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 (9)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08/16/2026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40"/>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10/31/2024</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10.23 %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L+565</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9,543</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9,522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9,409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0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(PIK 5.50%)</w:t>
            </w:r>
          </w:p>
        </w:tc>
        <w:tc>
          <w:tcPr>
            <w:tcW w:w="7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LAV Gear Holdings, Inc.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10/31/2024</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10.23 %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L+565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1,721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(PIK 5.50%)</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Ledge Lounger, Inc.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11/09/2026</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10.98 %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3,738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3,682</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3,663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Ledge Lounger, Inc.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11/09/2026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10.98 %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Ledge Lounger, Inc. (Revolver)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11/09/2026</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526</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02/03/2026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9.88 %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24,295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24,022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02/03/2026</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9.88 %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1,083</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1,083</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 (9)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02/03/2026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1,416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(35 )</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07/20/2027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10.43 %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4,275</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4,206</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2,426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04/01/2027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10.23 %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3,704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05/14/2026</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10.23 %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8,794</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8,654</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8,706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Mars Acquisition Holdings Corp. (Revolver)</w:t>
            </w:r>
            <w:r>
              <w:rPr>
                <w:rFonts w:ascii="Times New Roman" w:cs="Times New Roman" w:eastAsia="Times New Roman" w:hAnsi="Times New Roman"/>
                <w:sz w:val="14"/>
                <w:szCs w:val="14"/>
                <w:color w:val="auto"/>
                <w:vertAlign w:val="superscript"/>
              </w:rPr>
              <w:t>(7)(9)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05/14/2026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2,435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MBS Holdings, Inc. (Revolver)</w:t>
            </w:r>
            <w:r>
              <w:rPr>
                <w:rFonts w:ascii="Times New Roman" w:cs="Times New Roman" w:eastAsia="Times New Roman" w:hAnsi="Times New Roman"/>
                <w:sz w:val="14"/>
                <w:szCs w:val="14"/>
                <w:color w:val="auto"/>
                <w:vertAlign w:val="superscript"/>
              </w:rPr>
              <w:t>(7)(9)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04/16/2027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1,157</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MDI Buyer, Inc. - Unfunded Term Loan</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07/25/2028</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Commodity Chemicals</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10.36 %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2,057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MDI Buyer, inc.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07/25/2028</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Commodity Chemicals</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10.26 %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MDI Buyer, inc. (Revolver) </w:t>
            </w:r>
            <w:r>
              <w:rPr>
                <w:rFonts w:ascii="Times New Roman" w:cs="Times New Roman" w:eastAsia="Times New Roman" w:hAnsi="Times New Roman"/>
                <w:sz w:val="14"/>
                <w:szCs w:val="14"/>
                <w:color w:val="auto"/>
                <w:vertAlign w:val="superscript"/>
              </w:rPr>
              <w:t>(9)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07/25/2028</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Commodity Chemicals</w:t>
            </w: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12/10/2027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9.73 %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1,315</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Meadowlark Acquirer, LLC - Term Loan I </w:t>
            </w:r>
            <w:r>
              <w:rPr>
                <w:rFonts w:ascii="Times New Roman" w:cs="Times New Roman" w:eastAsia="Times New Roman" w:hAnsi="Times New Roman"/>
                <w:sz w:val="14"/>
                <w:szCs w:val="14"/>
                <w:color w:val="auto"/>
                <w:vertAlign w:val="superscript"/>
              </w:rPr>
              <w:t>(9)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12/10/2027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Meadowlark Acquirer, LLC - Term Loan II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12/10/2027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9,483</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Meadowlark Acquirer, LLC (Revolver) </w:t>
            </w:r>
            <w:r>
              <w:rPr>
                <w:rFonts w:ascii="Times New Roman" w:cs="Times New Roman" w:eastAsia="Times New Roman" w:hAnsi="Times New Roman"/>
                <w:sz w:val="14"/>
                <w:szCs w:val="14"/>
                <w:color w:val="auto"/>
                <w:vertAlign w:val="superscript"/>
              </w:rPr>
              <w:t>(9)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12/10/2027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1,693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03/28/2024</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8.09 %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 +500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3,600</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3,570</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3,585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Mission Critical Electronics, Inc. </w:t>
            </w:r>
            <w:r>
              <w:rPr>
                <w:rFonts w:ascii="Times New Roman" w:cs="Times New Roman" w:eastAsia="Times New Roman" w:hAnsi="Times New Roman"/>
                <w:sz w:val="14"/>
                <w:szCs w:val="14"/>
                <w:color w:val="auto"/>
                <w:vertAlign w:val="superscript"/>
              </w:rPr>
              <w:t>(9)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03/28/2024</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Mission Critical Electronics, Inc.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03/28/2024</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11.50 %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L+400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Mission Critical Electronics, Inc. (Revolver) </w:t>
            </w:r>
            <w:r>
              <w:rPr>
                <w:rFonts w:ascii="Times New Roman" w:cs="Times New Roman" w:eastAsia="Times New Roman" w:hAnsi="Times New Roman"/>
                <w:sz w:val="14"/>
                <w:szCs w:val="14"/>
                <w:color w:val="auto"/>
                <w:vertAlign w:val="superscript"/>
              </w:rPr>
              <w:t>(7), (9)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03/28/2024</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1,060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09/28/2027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8.91 %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675</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668</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 (9)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09/28/2027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 - Unfunded Term Loan A</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06/16/2023</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 - Unfunded Term Loan B</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12/16/2024</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1,264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(51 )</w:t>
            </w: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09/28/2027</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10.29 %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568</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 (9)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09/28/2027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NBH Group LLC (Revolver) </w:t>
            </w:r>
            <w:r>
              <w:rPr>
                <w:rFonts w:ascii="Times New Roman" w:cs="Times New Roman" w:eastAsia="Times New Roman" w:hAnsi="Times New Roman"/>
                <w:sz w:val="14"/>
                <w:szCs w:val="14"/>
                <w:color w:val="auto"/>
                <w:vertAlign w:val="superscript"/>
              </w:rPr>
              <w:t>(7), (9)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08/19/2026</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1,677</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05/07/2027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Air Freight and Logistics</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10.63 %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8,736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8,596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ORL Acquisition, Inc.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09/03/2027</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9.98 %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7,177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7,057</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7,177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ORL Acquisition, Inc. (Revolver) </w:t>
            </w:r>
            <w:r>
              <w:rPr>
                <w:rFonts w:ascii="Times New Roman" w:cs="Times New Roman" w:eastAsia="Times New Roman" w:hAnsi="Times New Roman"/>
                <w:sz w:val="14"/>
                <w:szCs w:val="14"/>
                <w:color w:val="auto"/>
                <w:vertAlign w:val="superscript"/>
              </w:rPr>
              <w:t>(7), (9)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09/03/2027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100" w:type="dxa"/>
            <w:vAlign w:val="bottom"/>
          </w:tcPr>
          <w:p>
            <w:pPr>
              <w:spacing w:after="0"/>
              <w:rPr>
                <w:sz w:val="12"/>
                <w:szCs w:val="12"/>
                <w:color w:val="auto"/>
              </w:rPr>
            </w:pPr>
          </w:p>
        </w:tc>
        <w:tc>
          <w:tcPr>
            <w:tcW w:w="104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06/27/2026</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11.30 %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L+675</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4,880</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4,439</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02/04/2028</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8.41 %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3,980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05/18/2026</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14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10.84 %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25,707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25,396</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24,936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05/18/2026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10.84 %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2,710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05/18/2026</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677</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11/09/2027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10.88 %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6,095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PL Acquisitionco, LLC - (Revolver)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11/09/2027</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2,290</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(57 )</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05/08/2026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14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12.00 %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3,430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(in thousands, except share data)</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bl>
      <w:tblPr>
        <w:tblLayout w:type="fixed"/>
        <w:tblInd w:w="0" w:type="dxa"/>
        <w:tblCellMar>
          <w:top w:w="0" w:type="dxa"/>
          <w:left w:w="0" w:type="dxa"/>
          <w:bottom w:w="0" w:type="dxa"/>
          <w:right w:w="0" w:type="dxa"/>
        </w:tblCellMar>
      </w:tblPr>
      <w:tr>
        <w:trPr>
          <w:trHeight w:val="114"/>
        </w:trPr>
        <w:tc>
          <w:tcPr>
            <w:tcW w:w="3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ind w:left="140"/>
              <w:spacing w:after="0" w:line="114" w:lineRule="exact"/>
              <w:rPr>
                <w:sz w:val="20"/>
                <w:szCs w:val="20"/>
                <w:color w:val="auto"/>
              </w:rPr>
            </w:pPr>
            <w:r>
              <w:rPr>
                <w:rFonts w:ascii="Times New Roman" w:cs="Times New Roman" w:eastAsia="Times New Roman" w:hAnsi="Times New Roman"/>
                <w:sz w:val="11"/>
                <w:szCs w:val="11"/>
                <w:b w:val="1"/>
                <w:bCs w:val="1"/>
                <w:color w:val="auto"/>
              </w:rPr>
              <w:t>Basis</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b w:val="1"/>
                <w:bCs w:val="1"/>
                <w:color w:val="auto"/>
              </w:rPr>
              <w:t>Point</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Spread</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2"/>
          </w:tcPr>
          <w:p>
            <w:pPr>
              <w:jc w:val="right"/>
              <w:ind w:right="44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540" w:type="dxa"/>
            <w:vAlign w:val="bottom"/>
          </w:tcPr>
          <w:p>
            <w:pPr>
              <w:ind w:left="140"/>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120" w:type="dxa"/>
            <w:vAlign w:val="bottom"/>
          </w:tcPr>
          <w:p>
            <w:pPr>
              <w:spacing w:after="0"/>
              <w:rPr>
                <w:sz w:val="9"/>
                <w:szCs w:val="9"/>
                <w:color w:val="auto"/>
              </w:rPr>
            </w:pPr>
          </w:p>
        </w:tc>
        <w:tc>
          <w:tcPr>
            <w:tcW w:w="70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62"/>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8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4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 xml:space="preserve">Index </w:t>
            </w:r>
            <w:r>
              <w:rPr>
                <w:rFonts w:ascii="Times New Roman" w:cs="Times New Roman" w:eastAsia="Times New Roman" w:hAnsi="Times New Roman"/>
                <w:sz w:val="14"/>
                <w:szCs w:val="14"/>
                <w:b w:val="1"/>
                <w:bCs w:val="1"/>
                <w:color w:val="auto"/>
                <w:vertAlign w:val="superscript"/>
              </w:rPr>
              <w:t>(1)</w:t>
            </w:r>
          </w:p>
        </w:tc>
        <w:tc>
          <w:tcPr>
            <w:tcW w:w="120" w:type="dxa"/>
            <w:vAlign w:val="bottom"/>
          </w:tcPr>
          <w:p>
            <w:pPr>
              <w:spacing w:after="0"/>
              <w:rPr>
                <w:sz w:val="14"/>
                <w:szCs w:val="14"/>
                <w:color w:val="auto"/>
              </w:rPr>
            </w:pPr>
          </w:p>
        </w:tc>
        <w:tc>
          <w:tcPr>
            <w:tcW w:w="70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160" w:type="dxa"/>
            <w:vAlign w:val="bottom"/>
            <w:tcBorders>
              <w:top w:val="single" w:sz="8" w:color="auto"/>
            </w:tcBorders>
            <w:shd w:val="clear" w:color="auto" w:fill="CCECFF"/>
          </w:tcPr>
          <w:p>
            <w:pPr>
              <w:ind w:left="20"/>
              <w:spacing w:after="0" w:line="115" w:lineRule="exact"/>
              <w:rPr>
                <w:sz w:val="20"/>
                <w:szCs w:val="20"/>
                <w:color w:val="auto"/>
              </w:rPr>
            </w:pPr>
            <w:r>
              <w:rPr>
                <w:rFonts w:ascii="Times New Roman" w:cs="Times New Roman" w:eastAsia="Times New Roman" w:hAnsi="Times New Roman"/>
                <w:sz w:val="11"/>
                <w:szCs w:val="11"/>
                <w:color w:val="auto"/>
              </w:rPr>
              <w:t>PRA Events, Inc.</w:t>
            </w:r>
          </w:p>
        </w:tc>
        <w:tc>
          <w:tcPr>
            <w:tcW w:w="60" w:type="dxa"/>
            <w:vAlign w:val="bottom"/>
            <w:shd w:val="clear" w:color="auto" w:fill="CCECFF"/>
          </w:tcPr>
          <w:p>
            <w:pPr>
              <w:spacing w:after="0"/>
              <w:rPr>
                <w:sz w:val="9"/>
                <w:szCs w:val="9"/>
                <w:color w:val="auto"/>
              </w:rPr>
            </w:pPr>
          </w:p>
        </w:tc>
        <w:tc>
          <w:tcPr>
            <w:tcW w:w="720" w:type="dxa"/>
            <w:vAlign w:val="bottom"/>
            <w:tcBorders>
              <w:top w:val="single" w:sz="8" w:color="auto"/>
            </w:tcBorders>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08/07/2025</w:t>
            </w:r>
          </w:p>
        </w:tc>
        <w:tc>
          <w:tcPr>
            <w:tcW w:w="80" w:type="dxa"/>
            <w:vAlign w:val="bottom"/>
            <w:shd w:val="clear" w:color="auto" w:fill="CCECFF"/>
          </w:tcPr>
          <w:p>
            <w:pPr>
              <w:spacing w:after="0"/>
              <w:rPr>
                <w:sz w:val="9"/>
                <w:szCs w:val="9"/>
                <w:color w:val="auto"/>
              </w:rPr>
            </w:pPr>
          </w:p>
        </w:tc>
        <w:tc>
          <w:tcPr>
            <w:tcW w:w="3040" w:type="dxa"/>
            <w:vAlign w:val="bottom"/>
            <w:tcBorders>
              <w:top w:val="single" w:sz="8" w:color="auto"/>
            </w:tcBorders>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shd w:val="clear" w:color="auto" w:fill="CCECFF"/>
          </w:tcPr>
          <w:p>
            <w:pPr>
              <w:spacing w:after="0"/>
              <w:rPr>
                <w:sz w:val="9"/>
                <w:szCs w:val="9"/>
                <w:color w:val="auto"/>
              </w:rPr>
            </w:pPr>
          </w:p>
        </w:tc>
        <w:tc>
          <w:tcPr>
            <w:tcW w:w="760" w:type="dxa"/>
            <w:vAlign w:val="bottom"/>
            <w:tcBorders>
              <w:top w:val="single" w:sz="8" w:color="auto"/>
            </w:tcBorders>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54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1M</w:t>
            </w:r>
          </w:p>
        </w:tc>
        <w:tc>
          <w:tcPr>
            <w:tcW w:w="120" w:type="dxa"/>
            <w:vAlign w:val="bottom"/>
            <w:shd w:val="clear" w:color="auto" w:fill="CCECFF"/>
          </w:tcPr>
          <w:p>
            <w:pPr>
              <w:spacing w:after="0"/>
              <w:rPr>
                <w:sz w:val="9"/>
                <w:szCs w:val="9"/>
                <w:color w:val="auto"/>
              </w:rPr>
            </w:pPr>
          </w:p>
        </w:tc>
        <w:tc>
          <w:tcPr>
            <w:tcW w:w="700" w:type="dxa"/>
            <w:vAlign w:val="bottom"/>
            <w:tcBorders>
              <w:top w:val="single" w:sz="8" w:color="auto"/>
            </w:tcBorders>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0" w:type="dxa"/>
            <w:vAlign w:val="bottom"/>
            <w:tcBorders>
              <w:top w:val="single" w:sz="8" w:color="auto"/>
            </w:tcBorders>
            <w:shd w:val="clear" w:color="auto" w:fill="CCECFF"/>
          </w:tcPr>
          <w:p>
            <w:pPr>
              <w:spacing w:after="0"/>
              <w:rPr>
                <w:sz w:val="9"/>
                <w:szCs w:val="9"/>
                <w:color w:val="auto"/>
              </w:rPr>
            </w:pPr>
          </w:p>
        </w:tc>
        <w:tc>
          <w:tcPr>
            <w:tcW w:w="540" w:type="dxa"/>
            <w:vAlign w:val="bottom"/>
            <w:tcBorders>
              <w:top w:val="single" w:sz="8" w:color="auto"/>
            </w:tcBorders>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 w:type="dxa"/>
            <w:vAlign w:val="bottom"/>
            <w:tcBorders>
              <w:top w:val="single" w:sz="8" w:color="auto"/>
            </w:tcBorders>
            <w:shd w:val="clear" w:color="auto" w:fill="CCECFF"/>
          </w:tcPr>
          <w:p>
            <w:pPr>
              <w:spacing w:after="0"/>
              <w:rPr>
                <w:sz w:val="9"/>
                <w:szCs w:val="9"/>
                <w:color w:val="auto"/>
              </w:rPr>
            </w:pPr>
          </w:p>
        </w:tc>
        <w:tc>
          <w:tcPr>
            <w:tcW w:w="680" w:type="dxa"/>
            <w:vAlign w:val="bottom"/>
            <w:tcBorders>
              <w:top w:val="single" w:sz="8" w:color="auto"/>
            </w:tcBorders>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spacing w:after="0"/>
              <w:rPr>
                <w:sz w:val="12"/>
                <w:szCs w:val="12"/>
                <w:color w:val="auto"/>
              </w:rPr>
            </w:pP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15.23 %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L+1,050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3,323</w:t>
            </w:r>
          </w:p>
        </w:tc>
        <w:tc>
          <w:tcPr>
            <w:tcW w:w="2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2,903</w:t>
            </w:r>
          </w:p>
        </w:tc>
        <w:tc>
          <w:tcPr>
            <w:tcW w:w="1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3,323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(PIK 10.50%)</w:t>
            </w:r>
          </w:p>
        </w:tc>
        <w:tc>
          <w:tcPr>
            <w:tcW w:w="5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Pragmatic Institute, LLC - Unfunded Term Loan</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07/06/2028</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2,290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Pragmatic Institute, LLC (Revolver)</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07/06/2028</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10.33 %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Pragmatic Institute, LLC (Revolver) </w:t>
            </w:r>
            <w:r>
              <w:rPr>
                <w:rFonts w:ascii="Times New Roman" w:cs="Times New Roman" w:eastAsia="Times New Roman" w:hAnsi="Times New Roman"/>
                <w:sz w:val="14"/>
                <w:szCs w:val="14"/>
                <w:color w:val="auto"/>
                <w:vertAlign w:val="superscript"/>
              </w:rPr>
              <w:t>(9)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07/06/2028</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780" w:type="dxa"/>
            <w:vAlign w:val="bottom"/>
            <w:gridSpan w:val="2"/>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11/19/2026</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10.32 %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6,705</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6,619</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Quantic Electronics, LLC - Unfunded Term Loan</w:t>
            </w:r>
          </w:p>
        </w:tc>
        <w:tc>
          <w:tcPr>
            <w:tcW w:w="780" w:type="dxa"/>
            <w:vAlign w:val="bottom"/>
            <w:gridSpan w:val="2"/>
          </w:tcPr>
          <w:p>
            <w:pPr>
              <w:jc w:val="center"/>
              <w:ind w:left="6"/>
              <w:spacing w:after="0"/>
              <w:rPr>
                <w:sz w:val="20"/>
                <w:szCs w:val="20"/>
                <w:color w:val="auto"/>
              </w:rPr>
            </w:pPr>
            <w:r>
              <w:rPr>
                <w:rFonts w:ascii="Times New Roman" w:cs="Times New Roman" w:eastAsia="Times New Roman" w:hAnsi="Times New Roman"/>
                <w:sz w:val="11"/>
                <w:szCs w:val="11"/>
                <w:color w:val="auto"/>
                <w:w w:val="95"/>
              </w:rPr>
              <w:t>11/19/2026</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783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11/19/2026</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10.84 %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536</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536</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6"/>
              <w:spacing w:after="0"/>
              <w:rPr>
                <w:sz w:val="20"/>
                <w:szCs w:val="20"/>
                <w:color w:val="auto"/>
              </w:rPr>
            </w:pPr>
            <w:r>
              <w:rPr>
                <w:rFonts w:ascii="Times New Roman" w:cs="Times New Roman" w:eastAsia="Times New Roman" w:hAnsi="Times New Roman"/>
                <w:sz w:val="11"/>
                <w:szCs w:val="11"/>
                <w:color w:val="auto"/>
                <w:w w:val="95"/>
              </w:rPr>
              <w:t>11/19/2026</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Questex, LLC</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09/09/2024</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8.98 %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7,181</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7,135</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7,038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09/09/2024</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Rancho Health MSO, Inc.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12/18/2025</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9.42 %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1,037</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1,037</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12/18/2025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01/29/2026</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10.98 %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1,474</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1,454</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01/29/2026</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(45 )</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Inc. and Dynata, LLC</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12/20/2024</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8.84 %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17,097</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16,957</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12,670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06/20/2025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9.73 %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7,980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06/20/2025</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03/10/2025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10.48 %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15,317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15,177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01/03/2025</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10.73 %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7,105</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7,041</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7,069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01/03/2025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12/20/2024</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9.89 %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3,449</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3,427</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 (Revolver)</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12/20/2024</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10.27 %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14"/>
                <w:szCs w:val="14"/>
                <w:color w:val="auto"/>
                <w:vertAlign w:val="superscript"/>
              </w:rPr>
              <w:t>(9)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12/20/2024</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Schlesinger Global, Inc.</w:t>
            </w:r>
          </w:p>
        </w:tc>
        <w:tc>
          <w:tcPr>
            <w:tcW w:w="7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9"/>
              </w:rPr>
              <w:t>07/14/2025</w:t>
            </w:r>
          </w:p>
        </w:tc>
        <w:tc>
          <w:tcPr>
            <w:tcW w:w="80" w:type="dxa"/>
            <w:vAlign w:val="bottom"/>
          </w:tcPr>
          <w:p>
            <w:pPr>
              <w:spacing w:after="0"/>
              <w:rPr>
                <w:sz w:val="10"/>
                <w:szCs w:val="10"/>
                <w:color w:val="auto"/>
              </w:rPr>
            </w:pPr>
          </w:p>
        </w:tc>
        <w:tc>
          <w:tcPr>
            <w:tcW w:w="3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SOFR +</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10.92 %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14,541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14,456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Schlesinger Global, Inc. (Revolver)</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07/14/2025</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10.92 %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Schlesinger Global,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07/14/2025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(10 )</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Seaway Buyer, LLC</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06/13/2029</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10.73 %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1,935</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1,907</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12/18/2025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13.23 %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10,898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10,688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12/18/2025</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13.23 %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1,048</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1,048</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12/18/2025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1,572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(31 )</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05/03/2024</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11.23 %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10,195</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10,148</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10,195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05/03/2024</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1,747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Smile Brands Inc.</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10/14/2025</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8.35 %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2,456</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2,456</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2,364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Smile Brands Inc. (Revolver)</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10/14/2025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8.89 %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Smile Brands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10/14/2025</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(36 )</w:t>
            </w: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Smile Brands Inc. 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10/14/2025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01/17/2024</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10.13 %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5,723</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5,695</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5,568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01/17/2024</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(45 )</w:t>
            </w:r>
          </w:p>
        </w:tc>
        <w:tc>
          <w:tcPr>
            <w:tcW w:w="0" w:type="dxa"/>
            <w:vAlign w:val="bottom"/>
          </w:tcPr>
          <w:p>
            <w:pPr>
              <w:spacing w:after="0"/>
              <w:rPr>
                <w:sz w:val="1"/>
                <w:szCs w:val="1"/>
                <w:color w:val="auto"/>
              </w:rPr>
            </w:pPr>
          </w:p>
        </w:tc>
      </w:tr>
      <w:tr>
        <w:trPr>
          <w:trHeight w:val="121"/>
        </w:trPr>
        <w:tc>
          <w:tcPr>
            <w:tcW w:w="316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Spendmend Holdings LLC</w:t>
            </w:r>
          </w:p>
        </w:tc>
        <w:tc>
          <w:tcPr>
            <w:tcW w:w="78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9"/>
              </w:rPr>
              <w:t>03/01/2028</w:t>
            </w:r>
          </w:p>
        </w:tc>
        <w:tc>
          <w:tcPr>
            <w:tcW w:w="80" w:type="dxa"/>
            <w:vAlign w:val="bottom"/>
            <w:shd w:val="clear" w:color="auto" w:fill="CCECFF"/>
          </w:tcPr>
          <w:p>
            <w:pPr>
              <w:spacing w:after="0"/>
              <w:rPr>
                <w:sz w:val="10"/>
                <w:szCs w:val="10"/>
                <w:color w:val="auto"/>
              </w:rPr>
            </w:pPr>
          </w:p>
        </w:tc>
        <w:tc>
          <w:tcPr>
            <w:tcW w:w="30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4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ind w:left="140"/>
              <w:spacing w:after="0" w:line="122" w:lineRule="exact"/>
              <w:rPr>
                <w:sz w:val="20"/>
                <w:szCs w:val="20"/>
                <w:color w:val="auto"/>
              </w:rPr>
            </w:pPr>
            <w:r>
              <w:rPr>
                <w:rFonts w:ascii="Times New Roman" w:cs="Times New Roman" w:eastAsia="Times New Roman" w:hAnsi="Times New Roman"/>
                <w:sz w:val="11"/>
                <w:szCs w:val="11"/>
                <w:color w:val="auto"/>
              </w:rPr>
              <w:t>SOFR +</w:t>
            </w:r>
          </w:p>
        </w:tc>
        <w:tc>
          <w:tcPr>
            <w:tcW w:w="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3,173</w:t>
            </w: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spacing w:after="0"/>
              <w:rPr>
                <w:sz w:val="12"/>
                <w:szCs w:val="12"/>
                <w:color w:val="auto"/>
              </w:rPr>
            </w:pP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10.17 %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3,208</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3,103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Spendmend Holdings LLC </w:t>
            </w:r>
            <w:r>
              <w:rPr>
                <w:rFonts w:ascii="Times New Roman" w:cs="Times New Roman" w:eastAsia="Times New Roman" w:hAnsi="Times New Roman"/>
                <w:sz w:val="14"/>
                <w:szCs w:val="14"/>
                <w:color w:val="auto"/>
                <w:vertAlign w:val="superscript"/>
              </w:rPr>
              <w:t>(9)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03/01/2023</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1,771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(45 )</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Spendmend Holdings LLC (Revolver)</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03/01/2028</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10.17 %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Spendmend Holdings LLC (Revolver) </w:t>
            </w:r>
            <w:r>
              <w:rPr>
                <w:rFonts w:ascii="Times New Roman" w:cs="Times New Roman" w:eastAsia="Times New Roman" w:hAnsi="Times New Roman"/>
                <w:sz w:val="14"/>
                <w:szCs w:val="14"/>
                <w:color w:val="auto"/>
                <w:vertAlign w:val="superscript"/>
              </w:rPr>
              <w:t>(9)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03/01/2028</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780" w:type="dxa"/>
            <w:vAlign w:val="bottom"/>
            <w:gridSpan w:val="2"/>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12/11/2026</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4,752</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4,720</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System Planning and Analysis, Inc.</w:t>
            </w:r>
          </w:p>
        </w:tc>
        <w:tc>
          <w:tcPr>
            <w:tcW w:w="7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9"/>
              </w:rPr>
              <w:t>08/16/2027</w:t>
            </w:r>
          </w:p>
        </w:tc>
        <w:tc>
          <w:tcPr>
            <w:tcW w:w="80" w:type="dxa"/>
            <w:vAlign w:val="bottom"/>
          </w:tcPr>
          <w:p>
            <w:pPr>
              <w:spacing w:after="0"/>
              <w:rPr>
                <w:sz w:val="10"/>
                <w:szCs w:val="10"/>
                <w:color w:val="auto"/>
              </w:rPr>
            </w:pPr>
          </w:p>
        </w:tc>
        <w:tc>
          <w:tcPr>
            <w:tcW w:w="3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10.94 %</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SOFR+600</w:t>
            </w:r>
          </w:p>
        </w:tc>
        <w:tc>
          <w:tcPr>
            <w:tcW w:w="8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18,513</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18,205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18,272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(f/k/a Management Consulting &amp; Research, LLC)</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System Planning and Analysis, Inc. (Revolver)</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08/16/2027</w:t>
            </w:r>
          </w:p>
        </w:tc>
        <w:tc>
          <w:tcPr>
            <w:tcW w:w="80" w:type="dxa"/>
            <w:vAlign w:val="bottom"/>
            <w:shd w:val="clear" w:color="auto" w:fill="CCECFF"/>
          </w:tcPr>
          <w:p>
            <w:pPr>
              <w:spacing w:after="0"/>
              <w:rPr>
                <w:sz w:val="10"/>
                <w:szCs w:val="10"/>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shd w:val="clear" w:color="auto" w:fill="CCECFF"/>
          </w:tcPr>
          <w:p>
            <w:pPr>
              <w:spacing w:after="0"/>
              <w:rPr>
                <w:sz w:val="10"/>
                <w:szCs w:val="10"/>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5,188</w:t>
            </w: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(67 )</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(f/k/a Management Consulting &amp; Research, LLC)</w:t>
            </w: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07/18/2025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Diversified Financial Services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9.59 %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5,778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5,710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10/31/2025</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10.70 %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4,909</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4,859</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07/27/2026</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11.72 %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6,234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The Bluebird Group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07/27/2026</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Infosoft Group,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09/16/2024</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10.42 %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15,143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15,036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08/30/2027</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9.79 %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2,154</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2,118</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2,108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08/30/2027</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 (Revolver)</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08/30/2027</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9.79 %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The Vertex Companies,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08/30/2027</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TPC Canada Parent, Inc. and TPC US Parent, LLC </w:t>
            </w:r>
            <w:r>
              <w:rPr>
                <w:rFonts w:ascii="Times New Roman" w:cs="Times New Roman" w:eastAsia="Times New Roman" w:hAnsi="Times New Roman"/>
                <w:sz w:val="14"/>
                <w:szCs w:val="14"/>
                <w:color w:val="auto"/>
                <w:vertAlign w:val="superscript"/>
              </w:rPr>
              <w:t>(5), (10)</w:t>
            </w:r>
          </w:p>
        </w:tc>
        <w:tc>
          <w:tcPr>
            <w:tcW w:w="780" w:type="dxa"/>
            <w:vAlign w:val="bottom"/>
            <w:gridSpan w:val="2"/>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11/24/2025</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Food Products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9.24 %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4,850</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4,824</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4,718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03/26/2026</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10.13 %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24,267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23,948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03/26/2026</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06/16/2025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11.46 %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5,468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06/16/2025</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2,628</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04/01/2028</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9.25 %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12,612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12,461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04/01/2026</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(98 )</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04/03/2024</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9.23 %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17,926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17,880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UBEO, LLC (Revolver) </w:t>
            </w:r>
            <w:r>
              <w:rPr>
                <w:rFonts w:ascii="Times New Roman" w:cs="Times New Roman" w:eastAsia="Times New Roman" w:hAnsi="Times New Roman"/>
                <w:sz w:val="14"/>
                <w:szCs w:val="14"/>
                <w:color w:val="auto"/>
                <w:vertAlign w:val="superscript"/>
              </w:rPr>
              <w:t>(9)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04/03/2024</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2,933</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(44 )</w:t>
            </w: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Unique Indoor Comfort, LLC</w:t>
            </w:r>
          </w:p>
        </w:tc>
        <w:tc>
          <w:tcPr>
            <w:tcW w:w="7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9"/>
              </w:rPr>
              <w:t>05/24/2027</w:t>
            </w:r>
          </w:p>
        </w:tc>
        <w:tc>
          <w:tcPr>
            <w:tcW w:w="80" w:type="dxa"/>
            <w:vAlign w:val="bottom"/>
          </w:tcPr>
          <w:p>
            <w:pPr>
              <w:spacing w:after="0"/>
              <w:rPr>
                <w:sz w:val="10"/>
                <w:szCs w:val="10"/>
                <w:color w:val="auto"/>
              </w:rPr>
            </w:pPr>
          </w:p>
        </w:tc>
        <w:tc>
          <w:tcPr>
            <w:tcW w:w="3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Consumer Services</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 +</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15,365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15,173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9.90 %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15,578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Unique Indoor Comfort, LLC Term Loan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05/24/2027</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4,360</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(70 )</w:t>
            </w: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Unique Indoor Comfort,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05/24/2027</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(52 )</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(6)</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03/31/2027</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4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12,684</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12,440</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6,410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02/27/2026</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10.48 %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9,828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 (Revolver)</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02/27/2026</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10.09 %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L+585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14"/>
                <w:szCs w:val="14"/>
                <w:color w:val="auto"/>
                <w:vertAlign w:val="superscript"/>
              </w:rPr>
              <w:t>(9)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02/27/2026</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(27 )</w:t>
            </w:r>
          </w:p>
        </w:tc>
        <w:tc>
          <w:tcPr>
            <w:tcW w:w="0" w:type="dxa"/>
            <w:vAlign w:val="bottom"/>
          </w:tcPr>
          <w:p>
            <w:pPr>
              <w:spacing w:after="0"/>
              <w:rPr>
                <w:sz w:val="1"/>
                <w:szCs w:val="1"/>
                <w:color w:val="auto"/>
              </w:rPr>
            </w:pPr>
          </w:p>
        </w:tc>
      </w:tr>
      <w:tr>
        <w:trPr>
          <w:trHeight w:val="144"/>
        </w:trPr>
        <w:tc>
          <w:tcPr>
            <w:tcW w:w="31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780" w:type="dxa"/>
            <w:vAlign w:val="bottom"/>
            <w:tcBorders>
              <w:bottom w:val="single" w:sz="8" w:color="CCECFF"/>
            </w:tcBorders>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03/01/2024</w:t>
            </w:r>
          </w:p>
        </w:tc>
        <w:tc>
          <w:tcPr>
            <w:tcW w:w="80" w:type="dxa"/>
            <w:vAlign w:val="bottom"/>
            <w:tcBorders>
              <w:bottom w:val="single" w:sz="8" w:color="CCECFF"/>
            </w:tcBorders>
            <w:shd w:val="clear" w:color="auto" w:fill="CCECFF"/>
          </w:tcPr>
          <w:p>
            <w:pPr>
              <w:spacing w:after="0"/>
              <w:rPr>
                <w:sz w:val="12"/>
                <w:szCs w:val="12"/>
                <w:color w:val="auto"/>
              </w:rPr>
            </w:pPr>
          </w:p>
        </w:tc>
        <w:tc>
          <w:tcPr>
            <w:tcW w:w="30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040" w:type="dxa"/>
            <w:vAlign w:val="bottom"/>
            <w:tcBorders>
              <w:bottom w:val="single" w:sz="8" w:color="CCECFF"/>
            </w:tcBorders>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11.63 %</w:t>
            </w:r>
          </w:p>
        </w:tc>
        <w:tc>
          <w:tcPr>
            <w:tcW w:w="5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82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13,394</w:t>
            </w:r>
          </w:p>
        </w:tc>
        <w:tc>
          <w:tcPr>
            <w:tcW w:w="1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13,276</w:t>
            </w:r>
          </w:p>
        </w:tc>
        <w:tc>
          <w:tcPr>
            <w:tcW w:w="1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13,092</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802,187</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768,488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Debt—0%</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 xml:space="preserve">0.00 % </w:t>
            </w:r>
            <w:r>
              <w:rPr>
                <w:rFonts w:ascii="Times New Roman" w:cs="Times New Roman" w:eastAsia="Times New Roman" w:hAnsi="Times New Roman"/>
                <w:sz w:val="14"/>
                <w:szCs w:val="14"/>
                <w:color w:val="auto"/>
                <w:vertAlign w:val="superscript"/>
              </w:rPr>
              <w:t>(6)</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Mailsouth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04/23/2025</w:t>
            </w:r>
          </w:p>
        </w:tc>
        <w:tc>
          <w:tcPr>
            <w:tcW w:w="8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040" w:type="dxa"/>
            <w:vAlign w:val="bottom"/>
            <w:gridSpan w:val="3"/>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16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QuantiTech LLC</w:t>
            </w:r>
          </w:p>
        </w:tc>
        <w:tc>
          <w:tcPr>
            <w:tcW w:w="78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9"/>
              </w:rPr>
              <w:t>02/04/2027</w:t>
            </w:r>
          </w:p>
        </w:tc>
        <w:tc>
          <w:tcPr>
            <w:tcW w:w="80" w:type="dxa"/>
            <w:vAlign w:val="bottom"/>
            <w:shd w:val="clear" w:color="auto" w:fill="CCECFF"/>
          </w:tcPr>
          <w:p>
            <w:pPr>
              <w:spacing w:after="0"/>
              <w:rPr>
                <w:sz w:val="10"/>
                <w:szCs w:val="10"/>
                <w:color w:val="auto"/>
              </w:rPr>
            </w:pPr>
          </w:p>
        </w:tc>
        <w:tc>
          <w:tcPr>
            <w:tcW w:w="30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w:t>
            </w:r>
          </w:p>
        </w:tc>
        <w:tc>
          <w:tcPr>
            <w:tcW w:w="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6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CCECFF"/>
            </w:tcBorders>
            <w:shd w:val="clear" w:color="auto" w:fill="CCECFF"/>
          </w:tcPr>
          <w:p>
            <w:pPr>
              <w:spacing w:after="0"/>
              <w:rPr>
                <w:sz w:val="11"/>
                <w:szCs w:val="11"/>
                <w:color w:val="auto"/>
              </w:rPr>
            </w:pPr>
          </w:p>
        </w:tc>
        <w:tc>
          <w:tcPr>
            <w:tcW w:w="3040" w:type="dxa"/>
            <w:vAlign w:val="bottom"/>
            <w:tcBorders>
              <w:bottom w:val="single" w:sz="8" w:color="CCECFF"/>
            </w:tcBorders>
            <w:shd w:val="clear" w:color="auto" w:fill="CCECFF"/>
          </w:tcPr>
          <w:p>
            <w:pPr>
              <w:spacing w:after="0"/>
              <w:rPr>
                <w:sz w:val="11"/>
                <w:szCs w:val="11"/>
                <w:color w:val="auto"/>
              </w:rPr>
            </w:pPr>
          </w:p>
        </w:tc>
        <w:tc>
          <w:tcPr>
            <w:tcW w:w="1040" w:type="dxa"/>
            <w:vAlign w:val="bottom"/>
            <w:tcBorders>
              <w:bottom w:val="single" w:sz="8" w:color="CCECFF"/>
            </w:tcBorders>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14.29 %</w:t>
            </w:r>
          </w:p>
        </w:tc>
        <w:tc>
          <w:tcPr>
            <w:tcW w:w="5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L+1,000</w:t>
            </w:r>
          </w:p>
        </w:tc>
        <w:tc>
          <w:tcPr>
            <w:tcW w:w="82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vMerge w:val="continue"/>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vMerge w:val="continue"/>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1,113</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-110490</wp:posOffset>
            </wp:positionV>
            <wp:extent cx="68580" cy="111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111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(in thousands, except share data)</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bl>
      <w:tblPr>
        <w:tblLayout w:type="fixed"/>
        <w:tblInd w:w="0" w:type="dxa"/>
        <w:tblCellMar>
          <w:top w:w="0" w:type="dxa"/>
          <w:left w:w="0" w:type="dxa"/>
          <w:bottom w:w="0" w:type="dxa"/>
          <w:right w:w="0" w:type="dxa"/>
        </w:tblCellMar>
      </w:tblPr>
      <w:tr>
        <w:trPr>
          <w:trHeight w:val="114"/>
        </w:trPr>
        <w:tc>
          <w:tcPr>
            <w:tcW w:w="3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Spread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gridSpan w:val="2"/>
          </w:tcPr>
          <w:p>
            <w:pPr>
              <w:jc w:val="right"/>
              <w:ind w:right="30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6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140" w:type="dxa"/>
            <w:vAlign w:val="bottom"/>
          </w:tcPr>
          <w:p>
            <w:pPr>
              <w:spacing w:after="0"/>
              <w:rPr>
                <w:sz w:val="9"/>
                <w:szCs w:val="9"/>
                <w:color w:val="auto"/>
              </w:rPr>
            </w:pPr>
          </w:p>
        </w:tc>
        <w:tc>
          <w:tcPr>
            <w:tcW w:w="70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62"/>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0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4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40" w:type="dxa"/>
            <w:vAlign w:val="bottom"/>
          </w:tcPr>
          <w:p>
            <w:pPr>
              <w:spacing w:after="0"/>
              <w:rPr>
                <w:sz w:val="14"/>
                <w:szCs w:val="14"/>
                <w:color w:val="auto"/>
              </w:rPr>
            </w:pPr>
          </w:p>
        </w:tc>
        <w:tc>
          <w:tcPr>
            <w:tcW w:w="70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Borders>
              <w:top w:val="single" w:sz="8" w:color="auto"/>
            </w:tcBorders>
            <w:shd w:val="clear" w:color="auto" w:fill="CCECFF"/>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Preferred Equity— 1.7% </w:t>
            </w:r>
            <w:r>
              <w:rPr>
                <w:rFonts w:ascii="Times New Roman" w:cs="Times New Roman" w:eastAsia="Times New Roman" w:hAnsi="Times New Roman"/>
                <w:sz w:val="14"/>
                <w:szCs w:val="14"/>
                <w:b w:val="1"/>
                <w:bCs w:val="1"/>
                <w:color w:val="auto"/>
                <w:vertAlign w:val="superscript"/>
              </w:rPr>
              <w:t>(6)</w:t>
            </w:r>
          </w:p>
        </w:tc>
        <w:tc>
          <w:tcPr>
            <w:tcW w:w="40" w:type="dxa"/>
            <w:vAlign w:val="bottom"/>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3080" w:type="dxa"/>
            <w:vAlign w:val="bottom"/>
            <w:tcBorders>
              <w:top w:val="single" w:sz="8" w:color="auto"/>
            </w:tcBorders>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780" w:type="dxa"/>
            <w:vAlign w:val="bottom"/>
            <w:tcBorders>
              <w:top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(7),(8)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6,720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Imagine Topco, LP</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8.00 %</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1,236,027</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1,236</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Anteriad Holdings, LP (f/k/a MeritDirect Holdings, LP) </w:t>
            </w:r>
            <w:r>
              <w:rPr>
                <w:rFonts w:ascii="Times New Roman" w:cs="Times New Roman" w:eastAsia="Times New Roman" w:hAnsi="Times New Roman"/>
                <w:sz w:val="14"/>
                <w:szCs w:val="14"/>
                <w:color w:val="auto"/>
                <w:vertAlign w:val="superscript"/>
              </w:rPr>
              <w:t>(7), (8)</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2,598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NXOF Holdings, Inc. (Tyto Athene, LLC)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ORL Holdco, Inc.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1,327</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12.00 %</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(5), (7), (10)</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Food Products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TWD Parent Holdings, LLC (The Vertex Companies, LLC)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UniTek Global Services, Inc. -</w:t>
            </w:r>
          </w:p>
        </w:tc>
        <w:tc>
          <w:tcPr>
            <w:tcW w:w="40" w:type="dxa"/>
            <w:vAlign w:val="bottom"/>
            <w:shd w:val="clear" w:color="auto" w:fill="CCECFF"/>
          </w:tcPr>
          <w:p>
            <w:pPr>
              <w:spacing w:after="0"/>
              <w:rPr>
                <w:sz w:val="11"/>
                <w:szCs w:val="11"/>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1"/>
                <w:szCs w:val="11"/>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20.00 %</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343,861</w:t>
            </w:r>
          </w:p>
        </w:tc>
        <w:tc>
          <w:tcPr>
            <w:tcW w:w="1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31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Super Senior Preferred Equity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30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UniTek Global Services, Inc. - Senior Preferred Equity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19.00 %</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448,851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13.50 %</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1,047,317</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316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w:t>
            </w:r>
          </w:p>
        </w:tc>
        <w:tc>
          <w:tcPr>
            <w:tcW w:w="40" w:type="dxa"/>
            <w:vAlign w:val="bottom"/>
            <w:tcBorders>
              <w:top w:val="single" w:sz="8" w:color="CCECFF"/>
            </w:tcBorders>
          </w:tcPr>
          <w:p>
            <w:pPr>
              <w:spacing w:after="0"/>
              <w:rPr>
                <w:sz w:val="11"/>
                <w:szCs w:val="11"/>
                <w:color w:val="auto"/>
              </w:rPr>
            </w:pPr>
          </w:p>
        </w:tc>
        <w:tc>
          <w:tcPr>
            <w:tcW w:w="540" w:type="dxa"/>
            <w:vAlign w:val="bottom"/>
            <w:tcBorders>
              <w:top w:val="single" w:sz="8" w:color="CCECFF"/>
            </w:tcBorders>
          </w:tcPr>
          <w:p>
            <w:pPr>
              <w:spacing w:after="0"/>
              <w:rPr>
                <w:sz w:val="11"/>
                <w:szCs w:val="11"/>
                <w:color w:val="auto"/>
              </w:rPr>
            </w:pPr>
          </w:p>
        </w:tc>
        <w:tc>
          <w:tcPr>
            <w:tcW w:w="200" w:type="dxa"/>
            <w:vAlign w:val="bottom"/>
            <w:tcBorders>
              <w:top w:val="single" w:sz="8" w:color="CCECFF"/>
            </w:tcBorders>
          </w:tcPr>
          <w:p>
            <w:pPr>
              <w:spacing w:after="0"/>
              <w:rPr>
                <w:sz w:val="11"/>
                <w:szCs w:val="11"/>
                <w:color w:val="auto"/>
              </w:rPr>
            </w:pPr>
          </w:p>
        </w:tc>
        <w:tc>
          <w:tcPr>
            <w:tcW w:w="3080" w:type="dxa"/>
            <w:vAlign w:val="bottom"/>
            <w:tcBorders>
              <w:top w:val="single" w:sz="8" w:color="CCECFF"/>
            </w:tcBorders>
          </w:tcPr>
          <w:p>
            <w:pPr>
              <w:spacing w:after="0"/>
              <w:rPr>
                <w:sz w:val="11"/>
                <w:szCs w:val="11"/>
                <w:color w:val="auto"/>
              </w:rPr>
            </w:pPr>
          </w:p>
        </w:tc>
        <w:tc>
          <w:tcPr>
            <w:tcW w:w="40" w:type="dxa"/>
            <w:vAlign w:val="bottom"/>
            <w:tcBorders>
              <w:top w:val="single" w:sz="8" w:color="CCECFF"/>
            </w:tcBorders>
          </w:tcPr>
          <w:p>
            <w:pPr>
              <w:spacing w:after="0"/>
              <w:rPr>
                <w:sz w:val="11"/>
                <w:szCs w:val="11"/>
                <w:color w:val="auto"/>
              </w:rPr>
            </w:pPr>
          </w:p>
        </w:tc>
        <w:tc>
          <w:tcPr>
            <w:tcW w:w="780" w:type="dxa"/>
            <w:vAlign w:val="bottom"/>
            <w:tcBorders>
              <w:top w:val="single" w:sz="8" w:color="CCECFF"/>
            </w:tcBorders>
          </w:tcPr>
          <w:p>
            <w:pPr>
              <w:spacing w:after="0"/>
              <w:rPr>
                <w:sz w:val="11"/>
                <w:szCs w:val="11"/>
                <w:color w:val="auto"/>
              </w:rPr>
            </w:pPr>
          </w:p>
        </w:tc>
        <w:tc>
          <w:tcPr>
            <w:tcW w:w="100" w:type="dxa"/>
            <w:vAlign w:val="bottom"/>
            <w:tcBorders>
              <w:top w:val="single" w:sz="8" w:color="CCECFF"/>
            </w:tcBorders>
          </w:tcPr>
          <w:p>
            <w:pPr>
              <w:spacing w:after="0"/>
              <w:rPr>
                <w:sz w:val="11"/>
                <w:szCs w:val="11"/>
                <w:color w:val="auto"/>
              </w:rPr>
            </w:pPr>
          </w:p>
        </w:tc>
        <w:tc>
          <w:tcPr>
            <w:tcW w:w="620" w:type="dxa"/>
            <w:vAlign w:val="bottom"/>
            <w:tcBorders>
              <w:top w:val="single" w:sz="8" w:color="CCECFF"/>
            </w:tcBorders>
          </w:tcPr>
          <w:p>
            <w:pPr>
              <w:spacing w:after="0"/>
              <w:rPr>
                <w:sz w:val="11"/>
                <w:szCs w:val="11"/>
                <w:color w:val="auto"/>
              </w:rPr>
            </w:pPr>
          </w:p>
        </w:tc>
        <w:tc>
          <w:tcPr>
            <w:tcW w:w="140" w:type="dxa"/>
            <w:vAlign w:val="bottom"/>
            <w:tcBorders>
              <w:top w:val="single" w:sz="8" w:color="CCECFF"/>
            </w:tcBorders>
          </w:tcPr>
          <w:p>
            <w:pPr>
              <w:spacing w:after="0"/>
              <w:rPr>
                <w:sz w:val="11"/>
                <w:szCs w:val="11"/>
                <w:color w:val="auto"/>
              </w:rPr>
            </w:pPr>
          </w:p>
        </w:tc>
        <w:tc>
          <w:tcPr>
            <w:tcW w:w="700" w:type="dxa"/>
            <w:vAlign w:val="bottom"/>
            <w:tcBorders>
              <w:top w:val="single" w:sz="8" w:color="CCECFF"/>
            </w:tcBorders>
          </w:tcPr>
          <w:p>
            <w:pPr>
              <w:spacing w:after="0"/>
              <w:rPr>
                <w:sz w:val="11"/>
                <w:szCs w:val="11"/>
                <w:color w:val="auto"/>
              </w:rPr>
            </w:pPr>
          </w:p>
        </w:tc>
        <w:tc>
          <w:tcPr>
            <w:tcW w:w="140" w:type="dxa"/>
            <w:vAlign w:val="bottom"/>
            <w:tcBorders>
              <w:top w:val="single" w:sz="8" w:color="CCEC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8,859</w:t>
            </w:r>
          </w:p>
        </w:tc>
        <w:tc>
          <w:tcPr>
            <w:tcW w:w="120" w:type="dxa"/>
            <w:vAlign w:val="bottom"/>
            <w:tcBorders>
              <w:top w:val="single" w:sz="8" w:color="CCEC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8,592</w:t>
            </w:r>
          </w:p>
        </w:tc>
        <w:tc>
          <w:tcPr>
            <w:tcW w:w="100" w:type="dxa"/>
            <w:vAlign w:val="bottom"/>
            <w:tcBorders>
              <w:top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Common Equity/Warrants— 18.2% </w:t>
            </w:r>
            <w:r>
              <w:rPr>
                <w:rFonts w:ascii="Times New Roman" w:cs="Times New Roman" w:eastAsia="Times New Roman" w:hAnsi="Times New Roman"/>
                <w:sz w:val="14"/>
                <w:szCs w:val="14"/>
                <w:b w:val="1"/>
                <w:bCs w:val="1"/>
                <w:color w:val="auto"/>
                <w:vertAlign w:val="superscript"/>
              </w:rPr>
              <w:t>(6)</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A1 Garage Equity, LLC </w:t>
            </w:r>
            <w:r>
              <w:rPr>
                <w:rFonts w:ascii="Times New Roman" w:cs="Times New Roman" w:eastAsia="Times New Roman" w:hAnsi="Times New Roman"/>
                <w:sz w:val="14"/>
                <w:szCs w:val="14"/>
                <w:color w:val="auto"/>
                <w:vertAlign w:val="superscript"/>
              </w:rPr>
              <w:t>(8)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647,943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(7),(8)</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7,467</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Affinion Group Holdings, Inc. (Warrants)</w:t>
            </w:r>
            <w:r>
              <w:rPr>
                <w:rFonts w:ascii="Times New Roman" w:cs="Times New Roman" w:eastAsia="Times New Roman" w:hAnsi="Times New Roman"/>
                <w:sz w:val="14"/>
                <w:szCs w:val="14"/>
                <w:color w:val="auto"/>
                <w:vertAlign w:val="superscript"/>
              </w:rPr>
              <w:t>(7)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04/10/2024</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8,893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(8)</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1,187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(8), (9)</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Altamira Intermediate Company II, Inc.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1,437</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Anteriad Holdings, LP (f/k/a MeritDirect Holdings, LP) </w:t>
            </w:r>
            <w:r>
              <w:rPr>
                <w:rFonts w:ascii="Times New Roman" w:cs="Times New Roman" w:eastAsia="Times New Roman" w:hAnsi="Times New Roman"/>
                <w:sz w:val="14"/>
                <w:szCs w:val="14"/>
                <w:color w:val="auto"/>
                <w:vertAlign w:val="superscript"/>
              </w:rPr>
              <w:t>(7), (8)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Athletico Holdings, LLC </w:t>
            </w:r>
            <w:r>
              <w:rPr>
                <w:rFonts w:ascii="Times New Roman" w:cs="Times New Roman" w:eastAsia="Times New Roman" w:hAnsi="Times New Roman"/>
                <w:sz w:val="14"/>
                <w:szCs w:val="14"/>
                <w:color w:val="auto"/>
                <w:vertAlign w:val="superscript"/>
              </w:rPr>
              <w:t>(8)</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4,678</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3,783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Burgess Point Holdings, LP</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Auto Components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14"/>
                <w:szCs w:val="14"/>
                <w:color w:val="auto"/>
                <w:vertAlign w:val="superscript"/>
              </w:rPr>
              <w:t>(7), (8)</w:t>
            </w:r>
          </w:p>
        </w:tc>
        <w:tc>
          <w:tcPr>
            <w:tcW w:w="40" w:type="dxa"/>
            <w:vAlign w:val="bottom"/>
            <w:shd w:val="clear" w:color="auto" w:fill="CCECFF"/>
          </w:tcPr>
          <w:p>
            <w:pPr>
              <w:spacing w:after="0"/>
              <w:rPr>
                <w:sz w:val="13"/>
                <w:szCs w:val="13"/>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4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22,090</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177</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17,283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14"/>
                <w:szCs w:val="14"/>
                <w:color w:val="auto"/>
                <w:vertAlign w:val="superscript"/>
              </w:rPr>
              <w:t>(7), (8), (9)</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3,223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Cartessa Aesthetics, LLC </w:t>
            </w:r>
            <w:r>
              <w:rPr>
                <w:rFonts w:ascii="Times New Roman" w:cs="Times New Roman" w:eastAsia="Times New Roman" w:hAnsi="Times New Roman"/>
                <w:sz w:val="14"/>
                <w:szCs w:val="14"/>
                <w:color w:val="auto"/>
                <w:vertAlign w:val="superscript"/>
              </w:rPr>
              <w:t>(8)</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1,437</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CI (Allied) Investment Holdings, LLC</w:t>
            </w:r>
          </w:p>
        </w:tc>
        <w:tc>
          <w:tcPr>
            <w:tcW w:w="4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120,962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14"/>
                <w:szCs w:val="14"/>
                <w:color w:val="auto"/>
                <w:vertAlign w:val="superscript"/>
              </w:rPr>
              <w:t>(7), (8)</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Connatix Parent, LLC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38,278</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Crane 1 Acquisition Parent Holdings, L.P.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(7), (8)</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615,484</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(7), (8),(9)</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389,386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14"/>
                <w:szCs w:val="14"/>
                <w:color w:val="auto"/>
                <w:vertAlign w:val="superscript"/>
              </w:rPr>
              <w:t>(7), (8)</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295,982</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14"/>
                <w:szCs w:val="14"/>
                <w:color w:val="auto"/>
                <w:vertAlign w:val="superscript"/>
              </w:rPr>
              <w:t>(7), (10)</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EDS Topco, LP</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1,125,000</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1,125</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Exigo, LLC </w:t>
            </w:r>
            <w:r>
              <w:rPr>
                <w:rFonts w:ascii="Times New Roman" w:cs="Times New Roman" w:eastAsia="Times New Roman" w:hAnsi="Times New Roman"/>
                <w:sz w:val="14"/>
                <w:szCs w:val="14"/>
                <w:color w:val="auto"/>
                <w:vertAlign w:val="superscript"/>
              </w:rPr>
              <w:t>(8)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541,667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Express Wash Topco, LLC</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20,000</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21,083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(7),(8),(9)</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9,488</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30"/>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Gauge InfosoftCoInvest, LLC</w:t>
            </w:r>
          </w:p>
        </w:tc>
        <w:tc>
          <w:tcPr>
            <w:tcW w:w="4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4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(The Infosoft Group, LLC)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Gauge Lash Coinvest LLC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1,485,953</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7,553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Gauge Schlesinger Coinvest LLC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Gauge TVC Coinvest, LLC (TVC Enterprises, LLC)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391,144</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(7),(8)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19,184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Go Dawgs Capital III, LP</w:t>
            </w:r>
          </w:p>
        </w:tc>
        <w:tc>
          <w:tcPr>
            <w:tcW w:w="40" w:type="dxa"/>
            <w:vAlign w:val="bottom"/>
            <w:shd w:val="clear" w:color="auto" w:fill="CCECFF"/>
          </w:tcPr>
          <w:p>
            <w:pPr>
              <w:spacing w:after="0"/>
              <w:rPr>
                <w:sz w:val="11"/>
                <w:szCs w:val="11"/>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1"/>
                <w:szCs w:val="11"/>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Building Products</w:t>
            </w:r>
          </w:p>
        </w:tc>
        <w:tc>
          <w:tcPr>
            <w:tcW w:w="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324,675</w:t>
            </w:r>
          </w:p>
        </w:tc>
        <w:tc>
          <w:tcPr>
            <w:tcW w:w="1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325</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14"/>
                <w:szCs w:val="14"/>
                <w:color w:val="auto"/>
                <w:vertAlign w:val="superscript"/>
              </w:rPr>
              <w:t>(7), (8)</w:t>
            </w:r>
          </w:p>
        </w:tc>
        <w:tc>
          <w:tcPr>
            <w:tcW w:w="4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30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(7), (8)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Icon Partners V C, L.P.</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1,851,852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Icon Partners V C, L.P. </w:t>
            </w:r>
            <w:r>
              <w:rPr>
                <w:rFonts w:ascii="Times New Roman" w:cs="Times New Roman" w:eastAsia="Times New Roman" w:hAnsi="Times New Roman"/>
                <w:sz w:val="14"/>
                <w:szCs w:val="14"/>
                <w:color w:val="auto"/>
                <w:vertAlign w:val="superscript"/>
              </w:rPr>
              <w:t>(7), (9)</w:t>
            </w:r>
          </w:p>
        </w:tc>
        <w:tc>
          <w:tcPr>
            <w:tcW w:w="40" w:type="dxa"/>
            <w:vAlign w:val="bottom"/>
            <w:shd w:val="clear" w:color="auto" w:fill="CCECFF"/>
          </w:tcPr>
          <w:p>
            <w:pPr>
              <w:spacing w:after="0"/>
              <w:rPr>
                <w:sz w:val="13"/>
                <w:szCs w:val="13"/>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4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648,148</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(71 )</w:t>
            </w:r>
          </w:p>
        </w:tc>
        <w:tc>
          <w:tcPr>
            <w:tcW w:w="0" w:type="dxa"/>
            <w:vAlign w:val="bottom"/>
          </w:tcPr>
          <w:p>
            <w:pPr>
              <w:spacing w:after="0"/>
              <w:rPr>
                <w:sz w:val="1"/>
                <w:szCs w:val="1"/>
                <w:color w:val="auto"/>
              </w:rPr>
            </w:pPr>
          </w:p>
        </w:tc>
      </w:tr>
      <w:tr>
        <w:trPr>
          <w:trHeight w:val="130"/>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IIN Group Holdings, LLC</w:t>
            </w:r>
          </w:p>
        </w:tc>
        <w:tc>
          <w:tcPr>
            <w:tcW w:w="4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Services</w:t>
            </w:r>
          </w:p>
        </w:tc>
        <w:tc>
          <w:tcPr>
            <w:tcW w:w="4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(Integrative Nutrition, LLC) </w:t>
            </w:r>
            <w:r>
              <w:rPr>
                <w:rFonts w:ascii="Times New Roman" w:cs="Times New Roman" w:eastAsia="Times New Roman" w:hAnsi="Times New Roman"/>
                <w:sz w:val="14"/>
                <w:szCs w:val="14"/>
                <w:color w:val="auto"/>
                <w:vertAlign w:val="superscript"/>
              </w:rPr>
              <w:t>(7), (8)</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Imagine Topco, LP (Common)</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1,236,027</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IHS Parent Holdngs, L.P.</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1,218,045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Ironclad Holdco, LLC (Applied Technical Services, LLC) </w:t>
            </w:r>
            <w:r>
              <w:rPr>
                <w:rFonts w:ascii="Times New Roman" w:cs="Times New Roman" w:eastAsia="Times New Roman" w:hAnsi="Times New Roman"/>
                <w:sz w:val="14"/>
                <w:szCs w:val="14"/>
                <w:color w:val="auto"/>
                <w:vertAlign w:val="superscript"/>
              </w:rPr>
              <w:t>(7), (8)</w:t>
            </w:r>
          </w:p>
        </w:tc>
        <w:tc>
          <w:tcPr>
            <w:tcW w:w="40" w:type="dxa"/>
            <w:vAlign w:val="bottom"/>
            <w:shd w:val="clear" w:color="auto" w:fill="CCECFF"/>
          </w:tcPr>
          <w:p>
            <w:pPr>
              <w:spacing w:after="0"/>
              <w:rPr>
                <w:sz w:val="13"/>
                <w:szCs w:val="13"/>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4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5,811</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573</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ITC Infusion Co-invest, LP </w:t>
            </w:r>
            <w:r>
              <w:rPr>
                <w:rFonts w:ascii="Times New Roman" w:cs="Times New Roman" w:eastAsia="Times New Roman" w:hAnsi="Times New Roman"/>
                <w:sz w:val="14"/>
                <w:szCs w:val="14"/>
                <w:color w:val="auto"/>
                <w:vertAlign w:val="superscript"/>
              </w:rPr>
              <w:t>(8)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116,032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ITC Rumba, LLC (Cano Health, LLC) </w:t>
            </w:r>
            <w:r>
              <w:rPr>
                <w:rFonts w:ascii="Times New Roman" w:cs="Times New Roman" w:eastAsia="Times New Roman" w:hAnsi="Times New Roman"/>
                <w:sz w:val="14"/>
                <w:szCs w:val="14"/>
                <w:color w:val="auto"/>
                <w:vertAlign w:val="superscript"/>
              </w:rPr>
              <w:t>(7),(8)</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46,763</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JWC-WE Holdings, L.P.</w:t>
            </w:r>
          </w:p>
        </w:tc>
        <w:tc>
          <w:tcPr>
            <w:tcW w:w="4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4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1,948</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3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(7), (8)</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1,734,775</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1,735</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KL Stockton Co-Invest LP (Any Hour Services) </w:t>
            </w:r>
            <w:r>
              <w:rPr>
                <w:rFonts w:ascii="Times New Roman" w:cs="Times New Roman" w:eastAsia="Times New Roman" w:hAnsi="Times New Roman"/>
                <w:sz w:val="14"/>
                <w:szCs w:val="14"/>
                <w:color w:val="auto"/>
                <w:vertAlign w:val="superscript"/>
              </w:rPr>
              <w:t>(7),(8)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382,353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Kentucky Racing Holdco, LLC (Warrants) </w:t>
            </w:r>
            <w:r>
              <w:rPr>
                <w:rFonts w:ascii="Times New Roman" w:cs="Times New Roman" w:eastAsia="Times New Roman" w:hAnsi="Times New Roman"/>
                <w:sz w:val="14"/>
                <w:szCs w:val="14"/>
                <w:color w:val="auto"/>
                <w:vertAlign w:val="superscript"/>
              </w:rPr>
              <w:t>(7), (8)</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87,345</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Lightspeed Investment Holdco LLC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585,587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MDI Aggregator, LP</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Commodity Chemicals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10,761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Meadowlark Title, LLC </w:t>
            </w:r>
            <w:r>
              <w:rPr>
                <w:rFonts w:ascii="Times New Roman" w:cs="Times New Roman" w:eastAsia="Times New Roman" w:hAnsi="Times New Roman"/>
                <w:sz w:val="14"/>
                <w:szCs w:val="14"/>
                <w:color w:val="auto"/>
                <w:vertAlign w:val="superscript"/>
              </w:rPr>
              <w:t>(8)</w:t>
            </w:r>
          </w:p>
        </w:tc>
        <w:tc>
          <w:tcPr>
            <w:tcW w:w="40" w:type="dxa"/>
            <w:vAlign w:val="bottom"/>
            <w:shd w:val="clear" w:color="auto" w:fill="CCECFF"/>
          </w:tcPr>
          <w:p>
            <w:pPr>
              <w:spacing w:after="0"/>
              <w:rPr>
                <w:sz w:val="13"/>
                <w:szCs w:val="13"/>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819,231</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806</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MSpark, LLC</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3,988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3"/>
                <w:szCs w:val="13"/>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4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1,973,370</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2,005</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NEPRT Parent Holdings, LLC (Recteq, LLC) </w:t>
            </w:r>
            <w:r>
              <w:rPr>
                <w:rFonts w:ascii="Times New Roman" w:cs="Times New Roman" w:eastAsia="Times New Roman" w:hAnsi="Times New Roman"/>
                <w:sz w:val="14"/>
                <w:szCs w:val="14"/>
                <w:color w:val="auto"/>
                <w:vertAlign w:val="superscript"/>
              </w:rPr>
              <w:t>(7), (8)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North Haven Saints Equity Holdings, LP </w:t>
            </w:r>
            <w:r>
              <w:rPr>
                <w:rFonts w:ascii="Times New Roman" w:cs="Times New Roman" w:eastAsia="Times New Roman" w:hAnsi="Times New Roman"/>
                <w:sz w:val="14"/>
                <w:szCs w:val="14"/>
                <w:color w:val="auto"/>
                <w:vertAlign w:val="superscript"/>
              </w:rPr>
              <w:t>(8)</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223,602</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NXOF Holdings, Inc. (Tyto Athene, LLC)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14,960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3160" w:type="dxa"/>
            <w:vAlign w:val="bottom"/>
            <w:shd w:val="clear" w:color="auto" w:fill="CCECFF"/>
          </w:tcPr>
          <w:p>
            <w:pPr>
              <w:ind w:left="20"/>
              <w:spacing w:after="0" w:line="108" w:lineRule="exact"/>
              <w:rPr>
                <w:sz w:val="20"/>
                <w:szCs w:val="20"/>
                <w:color w:val="auto"/>
              </w:rPr>
            </w:pPr>
            <w:r>
              <w:rPr>
                <w:rFonts w:ascii="Times New Roman" w:cs="Times New Roman" w:eastAsia="Times New Roman" w:hAnsi="Times New Roman"/>
                <w:sz w:val="11"/>
                <w:szCs w:val="11"/>
                <w:color w:val="auto"/>
              </w:rPr>
              <w:t>OceanSound Discovery Equity, LP (Holdco Sands Intermediate,</w:t>
            </w:r>
          </w:p>
        </w:tc>
        <w:tc>
          <w:tcPr>
            <w:tcW w:w="40" w:type="dxa"/>
            <w:vAlign w:val="bottom"/>
            <w:shd w:val="clear" w:color="auto" w:fill="CCECFF"/>
          </w:tcPr>
          <w:p>
            <w:pPr>
              <w:spacing w:after="0"/>
              <w:rPr>
                <w:sz w:val="9"/>
                <w:szCs w:val="9"/>
                <w:color w:val="auto"/>
              </w:rPr>
            </w:pPr>
          </w:p>
        </w:tc>
        <w:tc>
          <w:tcPr>
            <w:tcW w:w="540" w:type="dxa"/>
            <w:vAlign w:val="bottom"/>
            <w:shd w:val="clear" w:color="auto" w:fill="CCECFF"/>
          </w:tcPr>
          <w:p>
            <w:pPr>
              <w:ind w:left="420"/>
              <w:spacing w:after="0" w:line="108"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9"/>
                <w:szCs w:val="9"/>
                <w:color w:val="auto"/>
              </w:rPr>
            </w:pPr>
          </w:p>
        </w:tc>
        <w:tc>
          <w:tcPr>
            <w:tcW w:w="3080" w:type="dxa"/>
            <w:vAlign w:val="bottom"/>
            <w:shd w:val="clear" w:color="auto" w:fill="CCECFF"/>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shd w:val="clear" w:color="auto" w:fill="CCECFF"/>
          </w:tcPr>
          <w:p>
            <w:pPr>
              <w:spacing w:after="0"/>
              <w:rPr>
                <w:sz w:val="9"/>
                <w:szCs w:val="9"/>
                <w:color w:val="auto"/>
              </w:rPr>
            </w:pPr>
          </w:p>
        </w:tc>
        <w:tc>
          <w:tcPr>
            <w:tcW w:w="880" w:type="dxa"/>
            <w:vAlign w:val="bottom"/>
            <w:gridSpan w:val="2"/>
            <w:shd w:val="clear" w:color="auto" w:fill="CCECFF"/>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line="108" w:lineRule="exact"/>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173,638</w:t>
            </w:r>
          </w:p>
        </w:tc>
        <w:tc>
          <w:tcPr>
            <w:tcW w:w="1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6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1,697</w:t>
            </w:r>
          </w:p>
        </w:tc>
        <w:tc>
          <w:tcPr>
            <w:tcW w:w="1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680" w:type="dxa"/>
            <w:vAlign w:val="bottom"/>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3,054</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CFF"/>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(7), (8)</w:t>
            </w:r>
          </w:p>
        </w:tc>
        <w:tc>
          <w:tcPr>
            <w:tcW w:w="4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30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OHCP V BC COI, L.P.</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743,750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OHCP V BC COI, L.P. </w:t>
            </w:r>
            <w:r>
              <w:rPr>
                <w:rFonts w:ascii="Times New Roman" w:cs="Times New Roman" w:eastAsia="Times New Roman" w:hAnsi="Times New Roman"/>
                <w:sz w:val="14"/>
                <w:szCs w:val="14"/>
                <w:color w:val="auto"/>
                <w:vertAlign w:val="superscript"/>
              </w:rPr>
              <w:t>(9)</w:t>
            </w:r>
          </w:p>
        </w:tc>
        <w:tc>
          <w:tcPr>
            <w:tcW w:w="40" w:type="dxa"/>
            <w:vAlign w:val="bottom"/>
            <w:shd w:val="clear" w:color="auto" w:fill="CCECFF"/>
          </w:tcPr>
          <w:p>
            <w:pPr>
              <w:spacing w:after="0"/>
              <w:rPr>
                <w:sz w:val="13"/>
                <w:szCs w:val="13"/>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4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506,250</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(74 )</w:t>
            </w: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ORL Holdco, Inc. </w:t>
            </w:r>
            <w:r>
              <w:rPr>
                <w:rFonts w:ascii="Times New Roman" w:cs="Times New Roman" w:eastAsia="Times New Roman" w:hAnsi="Times New Roman"/>
                <w:sz w:val="14"/>
                <w:szCs w:val="14"/>
                <w:color w:val="auto"/>
                <w:vertAlign w:val="superscript"/>
              </w:rPr>
              <w:t>(7)(8)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PennantPark-TSO Senior Loan Fund, LP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11,167,847</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11,168</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Pink Lily Holdco, LLC (PL Acquisitions, LLC) </w:t>
            </w:r>
            <w:r>
              <w:rPr>
                <w:rFonts w:ascii="Times New Roman" w:cs="Times New Roman" w:eastAsia="Times New Roman" w:hAnsi="Times New Roman"/>
                <w:sz w:val="14"/>
                <w:szCs w:val="14"/>
                <w:color w:val="auto"/>
                <w:vertAlign w:val="superscript"/>
              </w:rPr>
              <w:t>(8)</w:t>
            </w:r>
          </w:p>
        </w:tc>
        <w:tc>
          <w:tcPr>
            <w:tcW w:w="40" w:type="dxa"/>
            <w:vAlign w:val="bottom"/>
          </w:tcPr>
          <w:p>
            <w:pPr>
              <w:spacing w:after="0"/>
              <w:rPr>
                <w:sz w:val="16"/>
                <w:szCs w:val="16"/>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6"/>
                <w:szCs w:val="16"/>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-6344285</wp:posOffset>
            </wp:positionV>
            <wp:extent cx="68580" cy="111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-6344285</wp:posOffset>
            </wp:positionV>
            <wp:extent cx="68580" cy="11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(in thousands, except share data)</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bl>
      <w:tblPr>
        <w:tblLayout w:type="fixed"/>
        <w:tblInd w:w="0" w:type="dxa"/>
        <w:tblCellMar>
          <w:top w:w="0" w:type="dxa"/>
          <w:left w:w="0" w:type="dxa"/>
          <w:bottom w:w="0" w:type="dxa"/>
          <w:right w:w="0" w:type="dxa"/>
        </w:tblCellMar>
      </w:tblPr>
      <w:tr>
        <w:trPr>
          <w:trHeight w:val="114"/>
        </w:trPr>
        <w:tc>
          <w:tcPr>
            <w:tcW w:w="3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5"/>
              </w:rPr>
              <w:t>Basis Point</w:t>
            </w: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2"/>
          </w:tcPr>
          <w:p>
            <w:pPr>
              <w:jc w:val="right"/>
              <w:ind w:right="34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6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120" w:type="dxa"/>
            <w:vAlign w:val="bottom"/>
          </w:tcPr>
          <w:p>
            <w:pPr>
              <w:spacing w:after="0"/>
              <w:rPr>
                <w:sz w:val="9"/>
                <w:szCs w:val="9"/>
                <w:color w:val="auto"/>
              </w:rPr>
            </w:pPr>
          </w:p>
        </w:tc>
        <w:tc>
          <w:tcPr>
            <w:tcW w:w="720" w:type="dxa"/>
            <w:vAlign w:val="bottom"/>
          </w:tcPr>
          <w:p>
            <w:pPr>
              <w:jc w:val="right"/>
              <w:ind w:right="20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(2)</w:t>
            </w:r>
          </w:p>
        </w:tc>
        <w:tc>
          <w:tcPr>
            <w:tcW w:w="0" w:type="dxa"/>
            <w:vAlign w:val="bottom"/>
          </w:tcPr>
          <w:p>
            <w:pPr>
              <w:spacing w:after="0"/>
              <w:rPr>
                <w:sz w:val="1"/>
                <w:szCs w:val="1"/>
                <w:color w:val="auto"/>
              </w:rPr>
            </w:pPr>
          </w:p>
        </w:tc>
      </w:tr>
      <w:tr>
        <w:trPr>
          <w:trHeight w:val="162"/>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8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2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20" w:type="dxa"/>
            <w:vAlign w:val="bottom"/>
          </w:tcPr>
          <w:p>
            <w:pPr>
              <w:spacing w:after="0"/>
              <w:rPr>
                <w:sz w:val="14"/>
                <w:szCs w:val="14"/>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Pragmatic Institute, LLC</w:t>
            </w: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30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20" w:type="dxa"/>
            <w:vAlign w:val="bottom"/>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610,583</w:t>
            </w:r>
          </w:p>
        </w:tc>
        <w:tc>
          <w:tcPr>
            <w:tcW w:w="120" w:type="dxa"/>
            <w:vAlign w:val="bottom"/>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611</w:t>
            </w:r>
          </w:p>
        </w:tc>
        <w:tc>
          <w:tcPr>
            <w:tcW w:w="120" w:type="dxa"/>
            <w:vAlign w:val="bottom"/>
            <w:shd w:val="clear" w:color="auto" w:fill="CCECFF"/>
          </w:tcPr>
          <w:p>
            <w:pPr>
              <w:spacing w:after="0"/>
              <w:rPr>
                <w:sz w:val="12"/>
                <w:szCs w:val="12"/>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Quad (U.S.) Co-Invest, L.P.</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250,000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 (8)</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3"/>
                <w:szCs w:val="13"/>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712</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 (8), (9)</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(7), (8),</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RFMG Parent, LP (Rancho Health MSO, Inc.) </w:t>
            </w:r>
            <w:r>
              <w:rPr>
                <w:rFonts w:ascii="Times New Roman" w:cs="Times New Roman" w:eastAsia="Times New Roman" w:hAnsi="Times New Roman"/>
                <w:sz w:val="14"/>
                <w:szCs w:val="14"/>
                <w:color w:val="auto"/>
                <w:vertAlign w:val="superscript"/>
              </w:rPr>
              <w:t>(7)</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SBI Holdings Investments LLC (Sales Benchmark Index LLC) </w:t>
            </w:r>
            <w:r>
              <w:rPr>
                <w:rFonts w:ascii="Times New Roman" w:cs="Times New Roman" w:eastAsia="Times New Roman" w:hAnsi="Times New Roman"/>
                <w:sz w:val="14"/>
                <w:szCs w:val="14"/>
                <w:color w:val="auto"/>
                <w:vertAlign w:val="superscript"/>
              </w:rPr>
              <w:t>(7), (8)</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64,634</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Seaway Topco, LP </w:t>
            </w:r>
            <w:r>
              <w:rPr>
                <w:rFonts w:ascii="Times New Roman" w:cs="Times New Roman" w:eastAsia="Times New Roman" w:hAnsi="Times New Roman"/>
                <w:sz w:val="14"/>
                <w:szCs w:val="14"/>
                <w:color w:val="auto"/>
                <w:vertAlign w:val="superscript"/>
              </w:rPr>
              <w:t>(8)</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14"/>
                <w:szCs w:val="14"/>
                <w:color w:val="auto"/>
                <w:vertAlign w:val="superscript"/>
              </w:rPr>
              <w:t>(7)</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 L2 Holdings, LLC (Ledge Lounger, Inc.)</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360,103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SSC Dominion Holdings, LLC</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1"/>
                <w:szCs w:val="11"/>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Class A (US Dominion, Inc.) </w:t>
            </w:r>
            <w:r>
              <w:rPr>
                <w:rFonts w:ascii="Times New Roman" w:cs="Times New Roman" w:eastAsia="Times New Roman" w:hAnsi="Times New Roman"/>
                <w:sz w:val="14"/>
                <w:szCs w:val="14"/>
                <w:color w:val="auto"/>
                <w:vertAlign w:val="superscript"/>
              </w:rPr>
              <w:t>(7)</w:t>
            </w:r>
          </w:p>
        </w:tc>
        <w:tc>
          <w:tcPr>
            <w:tcW w:w="5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5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SSC Dominion Holdings, LLC</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2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Class B (US Dominion, Inc.) </w:t>
            </w:r>
            <w:r>
              <w:rPr>
                <w:rFonts w:ascii="Times New Roman" w:cs="Times New Roman" w:eastAsia="Times New Roman" w:hAnsi="Times New Roman"/>
                <w:sz w:val="14"/>
                <w:szCs w:val="14"/>
                <w:color w:val="auto"/>
                <w:vertAlign w:val="superscript"/>
              </w:rPr>
              <w:t>(7)</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StellPen Holdings, LLC (CF512, Inc.) </w:t>
            </w:r>
            <w:r>
              <w:rPr>
                <w:rFonts w:ascii="Times New Roman" w:cs="Times New Roman" w:eastAsia="Times New Roman" w:hAnsi="Times New Roman"/>
                <w:sz w:val="14"/>
                <w:szCs w:val="14"/>
                <w:color w:val="auto"/>
                <w:vertAlign w:val="superscript"/>
              </w:rPr>
              <w:t>(7)</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161,538</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(7),(8)</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488,372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Tower Arch Infolinks Media, LP (Infolinks Media Buyco, LLC) </w:t>
            </w:r>
            <w:r>
              <w:rPr>
                <w:rFonts w:ascii="Times New Roman" w:cs="Times New Roman" w:eastAsia="Times New Roman" w:hAnsi="Times New Roman"/>
                <w:sz w:val="14"/>
                <w:szCs w:val="14"/>
                <w:color w:val="auto"/>
                <w:vertAlign w:val="superscript"/>
              </w:rPr>
              <w:t>(8)</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217,991</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Tower Arch Infolinks Media, LP (Infolinks Media Buyco, LLC)</w:t>
            </w:r>
            <w:r>
              <w:rPr>
                <w:rFonts w:ascii="Times New Roman" w:cs="Times New Roman" w:eastAsia="Times New Roman" w:hAnsi="Times New Roman"/>
                <w:sz w:val="14"/>
                <w:szCs w:val="14"/>
                <w:color w:val="auto"/>
                <w:vertAlign w:val="superscript"/>
              </w:rPr>
              <w:t>(8) (9)</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147,616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(5),(7),(8),(10)</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Food Products</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21,527</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TWD Parent Holdings, LLC (The Vertex Companies, LLC) </w:t>
            </w:r>
            <w:r>
              <w:rPr>
                <w:rFonts w:ascii="Times New Roman" w:cs="Times New Roman" w:eastAsia="Times New Roman" w:hAnsi="Times New Roman"/>
                <w:sz w:val="14"/>
                <w:szCs w:val="14"/>
                <w:color w:val="auto"/>
                <w:vertAlign w:val="superscript"/>
              </w:rPr>
              <w:t>(7)</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14"/>
                <w:szCs w:val="14"/>
                <w:color w:val="auto"/>
                <w:vertAlign w:val="superscript"/>
              </w:rPr>
              <w:t>(7)</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213,739</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UniTek Global Services, Inc. (Warrants) </w:t>
            </w:r>
            <w:r>
              <w:rPr>
                <w:rFonts w:ascii="Times New Roman" w:cs="Times New Roman" w:eastAsia="Times New Roman" w:hAnsi="Times New Roman"/>
                <w:sz w:val="14"/>
                <w:szCs w:val="14"/>
                <w:color w:val="auto"/>
                <w:vertAlign w:val="superscript"/>
              </w:rPr>
              <w:t>(7)</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23,889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UniVista Insurance </w:t>
            </w:r>
            <w:r>
              <w:rPr>
                <w:rFonts w:ascii="Times New Roman" w:cs="Times New Roman" w:eastAsia="Times New Roman" w:hAnsi="Times New Roman"/>
                <w:sz w:val="14"/>
                <w:szCs w:val="14"/>
                <w:color w:val="auto"/>
                <w:vertAlign w:val="superscript"/>
              </w:rPr>
              <w:t>(7),(8)</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WCP IvyRehab QP CF Feeder, LP </w:t>
            </w:r>
            <w:r>
              <w:rPr>
                <w:rFonts w:ascii="Times New Roman" w:cs="Times New Roman" w:eastAsia="Times New Roman" w:hAnsi="Times New Roman"/>
                <w:sz w:val="14"/>
                <w:szCs w:val="14"/>
                <w:color w:val="auto"/>
                <w:vertAlign w:val="superscript"/>
              </w:rPr>
              <w:t>(8)</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3,762,257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WCP IvyRehab QP CF Feeder, LP </w:t>
            </w:r>
            <w:r>
              <w:rPr>
                <w:rFonts w:ascii="Times New Roman" w:cs="Times New Roman" w:eastAsia="Times New Roman" w:hAnsi="Times New Roman"/>
                <w:sz w:val="14"/>
                <w:szCs w:val="14"/>
                <w:color w:val="auto"/>
                <w:vertAlign w:val="superscript"/>
              </w:rPr>
              <w:t>(8),(9)</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237,743</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Wildcat Parent, LP (Wildcat Buyerco, Inc.) </w:t>
            </w:r>
            <w:r>
              <w:rPr>
                <w:rFonts w:ascii="Times New Roman" w:cs="Times New Roman" w:eastAsia="Times New Roman" w:hAnsi="Times New Roman"/>
                <w:sz w:val="14"/>
                <w:szCs w:val="14"/>
                <w:color w:val="auto"/>
                <w:vertAlign w:val="superscript"/>
              </w:rPr>
              <w:t>(7)</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2,240</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Equity/Warrants</w:t>
            </w:r>
          </w:p>
        </w:tc>
        <w:tc>
          <w:tcPr>
            <w:tcW w:w="54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08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60,620</w:t>
            </w:r>
          </w:p>
        </w:tc>
        <w:tc>
          <w:tcPr>
            <w:tcW w:w="1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93,514</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Non-Controlled, Non-Affiliated Portfolio Companies</w:t>
            </w:r>
          </w:p>
        </w:tc>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872,779</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870,741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Investments in Controlled, Affiliated Portfolio Companies—54.6% </w:t>
            </w:r>
            <w:r>
              <w:rPr>
                <w:rFonts w:ascii="Times New Roman" w:cs="Times New Roman" w:eastAsia="Times New Roman" w:hAnsi="Times New Roman"/>
                <w:sz w:val="14"/>
                <w:szCs w:val="14"/>
                <w:b w:val="1"/>
                <w:bCs w:val="1"/>
                <w:color w:val="auto"/>
                <w:vertAlign w:val="superscript"/>
              </w:rPr>
              <w:t>(3), (4)</w:t>
            </w: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Debt—44.7%</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80" w:type="dxa"/>
            <w:vAlign w:val="bottom"/>
            <w:shd w:val="clear" w:color="auto" w:fill="CCECFF"/>
          </w:tcPr>
          <w:p>
            <w:pPr>
              <w:ind w:left="20"/>
              <w:spacing w:after="0" w:line="152" w:lineRule="exact"/>
              <w:rPr>
                <w:sz w:val="20"/>
                <w:szCs w:val="20"/>
                <w:color w:val="auto"/>
              </w:rPr>
            </w:pPr>
            <w:r>
              <w:rPr>
                <w:rFonts w:ascii="Times New Roman" w:cs="Times New Roman" w:eastAsia="Times New Roman" w:hAnsi="Times New Roman"/>
                <w:sz w:val="11"/>
                <w:szCs w:val="11"/>
                <w:color w:val="auto"/>
              </w:rPr>
              <w:t xml:space="preserve">Marketplace Events, LLC - Super Priority First Lien Term Loan </w:t>
            </w:r>
            <w:r>
              <w:rPr>
                <w:rFonts w:ascii="Times New Roman" w:cs="Times New Roman" w:eastAsia="Times New Roman" w:hAnsi="Times New Roman"/>
                <w:sz w:val="14"/>
                <w:szCs w:val="14"/>
                <w:color w:val="auto"/>
                <w:vertAlign w:val="superscript"/>
              </w:rPr>
              <w:t>(7)</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9"/>
              </w:rPr>
              <w:t>09/30/2025</w:t>
            </w:r>
          </w:p>
        </w:tc>
        <w:tc>
          <w:tcPr>
            <w:tcW w:w="180" w:type="dxa"/>
            <w:vAlign w:val="bottom"/>
            <w:shd w:val="clear" w:color="auto" w:fill="CCECFF"/>
          </w:tcPr>
          <w:p>
            <w:pPr>
              <w:spacing w:after="0"/>
              <w:rPr>
                <w:sz w:val="13"/>
                <w:szCs w:val="13"/>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9.90 %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3,582</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3,582</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3,582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(PIK 5.25%)</w:t>
            </w: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Marketplace Events, LLC - Super Priority First Lien </w:t>
            </w:r>
            <w:r>
              <w:rPr>
                <w:rFonts w:ascii="Times New Roman" w:cs="Times New Roman" w:eastAsia="Times New Roman" w:hAnsi="Times New Roman"/>
                <w:sz w:val="14"/>
                <w:szCs w:val="14"/>
                <w:color w:val="auto"/>
                <w:vertAlign w:val="superscript"/>
              </w:rPr>
              <w:t>(7), (9)</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09/30/2025</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3,261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Marketplace Events, LLC</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9"/>
              </w:rPr>
              <w:t>09/30/2026</w:t>
            </w: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9.90 %</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26,771</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19,851</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26,771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PennantPark Senior Secured Loan Fund I LLC </w:t>
            </w:r>
            <w:r>
              <w:rPr>
                <w:rFonts w:ascii="Times New Roman" w:cs="Times New Roman" w:eastAsia="Times New Roman" w:hAnsi="Times New Roman"/>
                <w:sz w:val="14"/>
                <w:szCs w:val="14"/>
                <w:color w:val="auto"/>
                <w:vertAlign w:val="superscript"/>
              </w:rPr>
              <w:t>(7), (9), (10)</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05/06/2024</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12.24 %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199,369</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199,369</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199,369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54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08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222,802</w:t>
            </w:r>
          </w:p>
        </w:tc>
        <w:tc>
          <w:tcPr>
            <w:tcW w:w="1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229,722</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Equity Interests—9.9%</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80" w:type="dxa"/>
            <w:vAlign w:val="bottom"/>
            <w:shd w:val="clear" w:color="auto" w:fill="CCECFF"/>
          </w:tcPr>
          <w:p>
            <w:pPr>
              <w:ind w:left="20"/>
              <w:spacing w:after="0" w:line="152" w:lineRule="exact"/>
              <w:rPr>
                <w:sz w:val="20"/>
                <w:szCs w:val="20"/>
                <w:color w:val="auto"/>
              </w:rPr>
            </w:pPr>
            <w:r>
              <w:rPr>
                <w:rFonts w:ascii="Times New Roman" w:cs="Times New Roman" w:eastAsia="Times New Roman" w:hAnsi="Times New Roman"/>
                <w:sz w:val="11"/>
                <w:szCs w:val="11"/>
                <w:color w:val="auto"/>
              </w:rPr>
              <w:t xml:space="preserve">New MPE Holdings, LLC (Marketplace Events, LLC) </w:t>
            </w:r>
            <w:r>
              <w:rPr>
                <w:rFonts w:ascii="Times New Roman" w:cs="Times New Roman" w:eastAsia="Times New Roman" w:hAnsi="Times New Roman"/>
                <w:sz w:val="14"/>
                <w:szCs w:val="14"/>
                <w:color w:val="auto"/>
                <w:vertAlign w:val="superscript"/>
              </w:rPr>
              <w:t>(7),(8)</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3"/>
                <w:szCs w:val="13"/>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2,379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PennantPark Senior Secured Loan Fund I LLC </w:t>
            </w:r>
            <w:r>
              <w:rPr>
                <w:rFonts w:ascii="Times New Roman" w:cs="Times New Roman" w:eastAsia="Times New Roman" w:hAnsi="Times New Roman"/>
                <w:sz w:val="14"/>
                <w:szCs w:val="14"/>
                <w:color w:val="auto"/>
                <w:vertAlign w:val="superscript"/>
              </w:rPr>
              <w:t>(7), (9), (10)</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85,444</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85,444</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48,295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Interests</w:t>
            </w:r>
          </w:p>
        </w:tc>
        <w:tc>
          <w:tcPr>
            <w:tcW w:w="54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08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85,444</w:t>
            </w:r>
          </w:p>
        </w:tc>
        <w:tc>
          <w:tcPr>
            <w:tcW w:w="1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50,674</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308,246</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280,396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Investments—224.2%</w:t>
            </w:r>
          </w:p>
        </w:tc>
        <w:tc>
          <w:tcPr>
            <w:tcW w:w="54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08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1,181,025</w:t>
            </w:r>
          </w:p>
        </w:tc>
        <w:tc>
          <w:tcPr>
            <w:tcW w:w="1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1,151,137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Equivalents—10.3%</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5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0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44,200</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BNY Mellon Cash</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8,744</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54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08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52,944</w:t>
            </w:r>
          </w:p>
        </w:tc>
        <w:tc>
          <w:tcPr>
            <w:tcW w:w="1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52,935</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Equivalents—234.5%</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1,233,969</w:t>
            </w:r>
          </w:p>
        </w:tc>
        <w:tc>
          <w:tcPr>
            <w:tcW w:w="1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1,204,072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Assets—(134.5)%</w:t>
            </w:r>
          </w:p>
        </w:tc>
        <w:tc>
          <w:tcPr>
            <w:tcW w:w="5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3080" w:type="dxa"/>
            <w:vAlign w:val="bottom"/>
            <w:tcBorders>
              <w:bottom w:val="single" w:sz="8" w:color="CCECFF"/>
            </w:tcBorders>
            <w:shd w:val="clear" w:color="auto" w:fill="CCECFF"/>
          </w:tcPr>
          <w:p>
            <w:pPr>
              <w:spacing w:after="0"/>
              <w:rPr>
                <w:sz w:val="11"/>
                <w:szCs w:val="11"/>
                <w:color w:val="auto"/>
              </w:rPr>
            </w:pPr>
          </w:p>
        </w:tc>
        <w:tc>
          <w:tcPr>
            <w:tcW w:w="20" w:type="dxa"/>
            <w:vAlign w:val="bottom"/>
            <w:tcBorders>
              <w:bottom w:val="single" w:sz="8" w:color="CCECFF"/>
            </w:tcBorders>
            <w:shd w:val="clear" w:color="auto" w:fill="CCECFF"/>
          </w:tcPr>
          <w:p>
            <w:pPr>
              <w:spacing w:after="0"/>
              <w:rPr>
                <w:sz w:val="11"/>
                <w:szCs w:val="11"/>
                <w:color w:val="auto"/>
              </w:rPr>
            </w:pPr>
          </w:p>
        </w:tc>
        <w:tc>
          <w:tcPr>
            <w:tcW w:w="8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top w:val="single" w:sz="8" w:color="auto"/>
              <w:bottom w:val="single" w:sz="8" w:color="CCECFF"/>
            </w:tcBorders>
            <w:shd w:val="clear" w:color="auto" w:fill="CCECFF"/>
          </w:tcPr>
          <w:p>
            <w:pPr>
              <w:spacing w:after="0"/>
              <w:rPr>
                <w:sz w:val="11"/>
                <w:szCs w:val="11"/>
                <w:color w:val="auto"/>
              </w:rPr>
            </w:pPr>
          </w:p>
        </w:tc>
        <w:tc>
          <w:tcPr>
            <w:tcW w:w="520" w:type="dxa"/>
            <w:vAlign w:val="bottom"/>
            <w:tcBorders>
              <w:top w:val="single" w:sz="8" w:color="auto"/>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top w:val="single" w:sz="8" w:color="auto"/>
              <w:bottom w:val="single" w:sz="8" w:color="auto"/>
            </w:tcBorders>
            <w:shd w:val="clear" w:color="auto" w:fill="CCECFF"/>
          </w:tcPr>
          <w:p>
            <w:pPr>
              <w:spacing w:after="0"/>
              <w:rPr>
                <w:sz w:val="11"/>
                <w:szCs w:val="11"/>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(690,542</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39"/>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513,530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-2219960</wp:posOffset>
            </wp:positionV>
            <wp:extent cx="68580" cy="111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-2219960</wp:posOffset>
            </wp:positionV>
            <wp:extent cx="68580" cy="1117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-1345565</wp:posOffset>
            </wp:positionV>
            <wp:extent cx="68580"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-1345565</wp:posOffset>
            </wp:positionV>
            <wp:extent cx="6858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-951230</wp:posOffset>
            </wp:positionV>
            <wp:extent cx="68580" cy="1117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-951230</wp:posOffset>
            </wp:positionV>
            <wp:extent cx="68580" cy="1117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-745490</wp:posOffset>
            </wp:positionV>
            <wp:extent cx="68580"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-351155</wp:posOffset>
            </wp:positionV>
            <wp:extent cx="6858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22288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80" w:right="100" w:hanging="372"/>
        <w:spacing w:after="0" w:line="218" w:lineRule="auto"/>
        <w:tabs>
          <w:tab w:leader="none" w:pos="409"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Offered Rate, or LIBOR or “L”,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380" w:hanging="372"/>
        <w:spacing w:after="0" w:line="187"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Valued based on our accounting policy (See Note 2). The value of all securities was determined using significant unobservable inputs (See Note 5).</w:t>
      </w:r>
    </w:p>
    <w:p>
      <w:pPr>
        <w:ind w:left="380" w:right="220" w:hanging="372"/>
        <w:spacing w:after="0" w:line="201" w:lineRule="auto"/>
        <w:tabs>
          <w:tab w:leader="none" w:pos="38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01" w:lineRule="auto"/>
        <w:tabs>
          <w:tab w:leader="none" w:pos="38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380" w:hanging="372"/>
        <w:spacing w:after="0" w:line="187"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Non-U.S. company or principal place of business outside the United States.</w:t>
      </w:r>
    </w:p>
    <w:p>
      <w:pPr>
        <w:ind w:left="380" w:hanging="372"/>
        <w:spacing w:after="0" w:line="187"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Non-income producing securities.</w:t>
      </w:r>
    </w:p>
    <w:p>
      <w:pPr>
        <w:ind w:left="380" w:hanging="372"/>
        <w:spacing w:after="0" w:line="187"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securities, or a portion thereof, are not 1) pledged as collateral under the Credit Facility and held through Funding I; or, 2) securing the 2031 Asset-Backed Debt (See Note 10) and held through PennantPark CLO I, Ltd.</w:t>
      </w:r>
    </w:p>
    <w:p>
      <w:pPr>
        <w:ind w:left="380" w:hanging="372"/>
        <w:spacing w:after="0" w:line="187"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Investment is held through our Taxable Subsidiary (See Note 1).</w:t>
      </w:r>
    </w:p>
    <w:p>
      <w:pPr>
        <w:ind w:left="380" w:hanging="372"/>
        <w:spacing w:after="0" w:line="187" w:lineRule="auto"/>
        <w:tabs>
          <w:tab w:leader="none" w:pos="38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ind w:left="380" w:right="20" w:hanging="372"/>
        <w:spacing w:after="0" w:line="201" w:lineRule="auto"/>
        <w:tabs>
          <w:tab w:leader="none" w:pos="38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2022, qualifying assets represent 80% of our total assets and non-qualifying assets represent 20% of our total assets.</w:t>
      </w:r>
    </w:p>
    <w:p>
      <w:pPr>
        <w:ind w:left="380" w:hanging="372"/>
        <w:spacing w:after="0" w:line="199" w:lineRule="auto"/>
        <w:tabs>
          <w:tab w:leader="none" w:pos="380" w:val="left"/>
        </w:tabs>
        <w:numPr>
          <w:ilvl w:val="0"/>
          <w:numId w:val="3"/>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Par amount is denominated in Australian Dollars (AUD) as denoted.</w:t>
      </w: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Basis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Point</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2"/>
          </w:tcPr>
          <w:p>
            <w:pPr>
              <w:jc w:val="right"/>
              <w:ind w:right="34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20" w:type="dxa"/>
            <w:vAlign w:val="bottom"/>
          </w:tcPr>
          <w:p>
            <w:pPr>
              <w:spacing w:after="0"/>
              <w:rPr>
                <w:sz w:val="9"/>
                <w:szCs w:val="9"/>
                <w:color w:val="auto"/>
              </w:rPr>
            </w:pPr>
          </w:p>
        </w:tc>
        <w:tc>
          <w:tcPr>
            <w:tcW w:w="5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120" w:type="dxa"/>
            <w:vAlign w:val="bottom"/>
          </w:tcPr>
          <w:p>
            <w:pPr>
              <w:spacing w:after="0"/>
              <w:rPr>
                <w:sz w:val="9"/>
                <w:szCs w:val="9"/>
                <w:color w:val="auto"/>
              </w:rPr>
            </w:pPr>
          </w:p>
        </w:tc>
        <w:tc>
          <w:tcPr>
            <w:tcW w:w="70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60" w:type="dxa"/>
            <w:vAlign w:val="bottom"/>
          </w:tcPr>
          <w:p>
            <w:pPr>
              <w:spacing w:after="0"/>
              <w:rPr>
                <w:sz w:val="14"/>
                <w:szCs w:val="1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20" w:type="dxa"/>
            <w:vAlign w:val="bottom"/>
          </w:tcPr>
          <w:p>
            <w:pPr>
              <w:spacing w:after="0"/>
              <w:rPr>
                <w:sz w:val="14"/>
                <w:szCs w:val="14"/>
                <w:color w:val="auto"/>
              </w:rPr>
            </w:pPr>
          </w:p>
        </w:tc>
        <w:tc>
          <w:tcPr>
            <w:tcW w:w="80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gridSpan w:val="3"/>
            <w:shd w:val="clear" w:color="auto" w:fill="CCECFF"/>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Investments in Non-Controlled, Non-Affiliated Portfolio Companies—169.5% </w:t>
            </w:r>
            <w:r>
              <w:rPr>
                <w:rFonts w:ascii="Times New Roman" w:cs="Times New Roman" w:eastAsia="Times New Roman" w:hAnsi="Times New Roman"/>
                <w:sz w:val="14"/>
                <w:szCs w:val="14"/>
                <w:b w:val="1"/>
                <w:bCs w:val="1"/>
                <w:color w:val="auto"/>
                <w:vertAlign w:val="superscript"/>
              </w:rPr>
              <w:t>(3), (4)</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Debt—149.7%</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05/06/2026</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9.67 %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4,938</w:t>
            </w:r>
          </w:p>
        </w:tc>
        <w:tc>
          <w:tcPr>
            <w:tcW w:w="2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4,882</w:t>
            </w:r>
          </w:p>
        </w:tc>
        <w:tc>
          <w:tcPr>
            <w:tcW w:w="2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 (9)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05/06/2026</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07/24/2025</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10.81 %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L+800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4,794</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4,756</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4,626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07/24/2025</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11.67 %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L+800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 (9)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07/24/2025</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1,581</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(55 )</w:t>
            </w:r>
          </w:p>
        </w:tc>
        <w:tc>
          <w:tcPr>
            <w:tcW w:w="0" w:type="dxa"/>
            <w:vAlign w:val="bottom"/>
          </w:tcPr>
          <w:p>
            <w:pPr>
              <w:spacing w:after="0"/>
              <w:rPr>
                <w:sz w:val="1"/>
                <w:szCs w:val="1"/>
                <w:color w:val="auto"/>
              </w:rPr>
            </w:pPr>
          </w:p>
        </w:tc>
      </w:tr>
      <w:tr>
        <w:trPr>
          <w:trHeight w:val="130"/>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12/21/2023</w:t>
            </w:r>
          </w:p>
        </w:tc>
        <w:tc>
          <w:tcPr>
            <w:tcW w:w="60" w:type="dxa"/>
            <w:vAlign w:val="bottom"/>
          </w:tcPr>
          <w:p>
            <w:pPr>
              <w:spacing w:after="0"/>
              <w:rPr>
                <w:sz w:val="11"/>
                <w:szCs w:val="11"/>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Building Products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7.79 %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w w:val="97"/>
              </w:rPr>
              <w:t>(6)</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L+550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7,601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7,559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3240" w:type="dxa"/>
            <w:vAlign w:val="bottom"/>
            <w:vMerge w:val="restart"/>
          </w:tcPr>
          <w:p>
            <w:pPr>
              <w:ind w:left="20"/>
              <w:spacing w:after="0" w:line="149" w:lineRule="exact"/>
              <w:rPr>
                <w:sz w:val="20"/>
                <w:szCs w:val="20"/>
                <w:color w:val="auto"/>
              </w:rPr>
            </w:pPr>
            <w:r>
              <w:rPr>
                <w:rFonts w:ascii="Times New Roman" w:cs="Times New Roman" w:eastAsia="Times New Roman" w:hAnsi="Times New Roman"/>
                <w:sz w:val="11"/>
                <w:szCs w:val="11"/>
                <w:color w:val="auto"/>
              </w:rPr>
              <w:t>American Teleconferencing Services, Ltd.</w:t>
            </w:r>
            <w:r>
              <w:rPr>
                <w:rFonts w:ascii="Times New Roman" w:cs="Times New Roman" w:eastAsia="Times New Roman" w:hAnsi="Times New Roman"/>
                <w:sz w:val="14"/>
                <w:szCs w:val="14"/>
                <w:color w:val="auto"/>
                <w:vertAlign w:val="superscript"/>
              </w:rPr>
              <w:t>(7)</w:t>
            </w:r>
          </w:p>
        </w:tc>
        <w:tc>
          <w:tcPr>
            <w:tcW w:w="82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1"/>
                <w:szCs w:val="11"/>
                <w:color w:val="auto"/>
                <w:w w:val="99"/>
              </w:rPr>
              <w:t>06/08/2023</w:t>
            </w:r>
          </w:p>
        </w:tc>
        <w:tc>
          <w:tcPr>
            <w:tcW w:w="60" w:type="dxa"/>
            <w:vAlign w:val="bottom"/>
          </w:tcPr>
          <w:p>
            <w:pPr>
              <w:spacing w:after="0"/>
              <w:rPr>
                <w:sz w:val="5"/>
                <w:szCs w:val="5"/>
                <w:color w:val="auto"/>
              </w:rPr>
            </w:pP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7,986</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7,915</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24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w w:val="97"/>
              </w:rPr>
              <w:t>(6)</w:t>
            </w:r>
          </w:p>
        </w:tc>
        <w:tc>
          <w:tcPr>
            <w:tcW w:w="5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American Teleconferencing Services, Ltd. (Revolver) </w:t>
            </w:r>
            <w:r>
              <w:rPr>
                <w:rFonts w:ascii="Times New Roman" w:cs="Times New Roman" w:eastAsia="Times New Roman" w:hAnsi="Times New Roman"/>
                <w:sz w:val="14"/>
                <w:szCs w:val="14"/>
                <w:color w:val="auto"/>
                <w:vertAlign w:val="superscript"/>
              </w:rPr>
              <w:t>(7)</w:t>
            </w:r>
          </w:p>
        </w:tc>
        <w:tc>
          <w:tcPr>
            <w:tcW w:w="820" w:type="dxa"/>
            <w:vAlign w:val="bottom"/>
            <w:gridSpan w:val="2"/>
            <w:vMerge w:val="restart"/>
          </w:tcPr>
          <w:p>
            <w:pPr>
              <w:jc w:val="center"/>
              <w:ind w:left="26"/>
              <w:spacing w:after="0"/>
              <w:rPr>
                <w:sz w:val="20"/>
                <w:szCs w:val="20"/>
                <w:color w:val="auto"/>
              </w:rPr>
            </w:pPr>
            <w:r>
              <w:rPr>
                <w:rFonts w:ascii="Times New Roman" w:cs="Times New Roman" w:eastAsia="Times New Roman" w:hAnsi="Times New Roman"/>
                <w:sz w:val="11"/>
                <w:szCs w:val="11"/>
                <w:color w:val="auto"/>
                <w:w w:val="99"/>
              </w:rPr>
              <w:t>12/08/2022</w:t>
            </w:r>
          </w:p>
        </w:tc>
        <w:tc>
          <w:tcPr>
            <w:tcW w:w="60" w:type="dxa"/>
            <w:vAlign w:val="bottom"/>
          </w:tcPr>
          <w:p>
            <w:pPr>
              <w:spacing w:after="0"/>
              <w:rPr>
                <w:sz w:val="5"/>
                <w:szCs w:val="5"/>
                <w:color w:val="auto"/>
              </w:rPr>
            </w:pPr>
          </w:p>
        </w:tc>
        <w:tc>
          <w:tcPr>
            <w:tcW w:w="3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1,656</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1,642</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24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300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Amsive Holding Corporation (f/k/a Vision Purchaser Corporation)</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06/10/2025</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9.85 %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L+625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14,104</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13,951</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13,892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Anteriad, LLC (f/k/a MeritDirect,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05/23/2024</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9.17 %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L+550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14,568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Anteriad, LLC (f/k/a MeritDirect, LLC) (Revolver) </w:t>
            </w:r>
            <w:r>
              <w:rPr>
                <w:rFonts w:ascii="Times New Roman" w:cs="Times New Roman" w:eastAsia="Times New Roman" w:hAnsi="Times New Roman"/>
                <w:sz w:val="14"/>
                <w:szCs w:val="14"/>
                <w:color w:val="auto"/>
                <w:vertAlign w:val="superscript"/>
              </w:rPr>
              <w:t>(7), (9)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05/23/2024</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2,869</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07/21/2027</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7.43 %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L+525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10,536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 (9)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07/21/2027</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07/31/2025</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6.72 %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1M L+525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6,208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07/31/2025</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9.67 %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1M L+550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07/31/2025</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7.75 %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1M L+525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12,906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 (9)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07/31/2025</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1,845</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API Holding III Corp.</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05/11/2026</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7.92 %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1M L+425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5,805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5,785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12/29/2026</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9.42 %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L+575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7,147</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7,040</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6,968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 (Unfunded Term Loan)</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04/21/2023</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2,298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12/29/2026</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10.25 %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L+475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 (9)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12/29/2026</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Arcfield Acquisition Corp. (Revolver) </w:t>
            </w:r>
            <w:r>
              <w:rPr>
                <w:rFonts w:ascii="Times New Roman" w:cs="Times New Roman" w:eastAsia="Times New Roman" w:hAnsi="Times New Roman"/>
                <w:sz w:val="14"/>
                <w:szCs w:val="14"/>
                <w:color w:val="auto"/>
                <w:vertAlign w:val="superscript"/>
              </w:rPr>
              <w:t>(9)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03/07/2028</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887</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07/01/2029</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7.76 %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1M L+525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09/17/2024</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8.33 %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L+500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Blackhawk Industrial Distribution, Inc. </w:t>
            </w:r>
            <w:r>
              <w:rPr>
                <w:rFonts w:ascii="Times New Roman" w:cs="Times New Roman" w:eastAsia="Times New Roman" w:hAnsi="Times New Roman"/>
                <w:sz w:val="14"/>
                <w:szCs w:val="14"/>
                <w:color w:val="auto"/>
                <w:vertAlign w:val="superscript"/>
              </w:rPr>
              <w:t>(7),(9)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09/17/2024</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3,232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(40 )</w:t>
            </w: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Blackhawk Industrial Distribution, Inc. (Revolver) </w:t>
            </w:r>
            <w:r>
              <w:rPr>
                <w:rFonts w:ascii="Times New Roman" w:cs="Times New Roman" w:eastAsia="Times New Roman" w:hAnsi="Times New Roman"/>
                <w:sz w:val="14"/>
                <w:szCs w:val="14"/>
                <w:color w:val="auto"/>
                <w:vertAlign w:val="superscript"/>
              </w:rPr>
              <w:t>(7)</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09/17/2024</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8.87 %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L+500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Blackhawk Industrial Distribution, Inc. </w:t>
            </w:r>
            <w:r>
              <w:rPr>
                <w:rFonts w:ascii="Times New Roman" w:cs="Times New Roman" w:eastAsia="Times New Roman" w:hAnsi="Times New Roman"/>
                <w:sz w:val="14"/>
                <w:szCs w:val="14"/>
                <w:color w:val="auto"/>
                <w:vertAlign w:val="superscript"/>
              </w:rPr>
              <w:t>(9)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09/17/2024</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(62 )</w:t>
            </w: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12/02/2022</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7.39 %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3,405</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3,405</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05/16/2024</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9.26 %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L+625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27,533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 (Revolver)</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05/16/2024</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9.75 %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L+663</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877</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877</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By Light Professional IT Services, LLC (Revolver) </w:t>
            </w:r>
            <w:r>
              <w:rPr>
                <w:rFonts w:ascii="Times New Roman" w:cs="Times New Roman" w:eastAsia="Times New Roman" w:hAnsi="Times New Roman"/>
                <w:sz w:val="14"/>
                <w:szCs w:val="14"/>
                <w:color w:val="auto"/>
                <w:vertAlign w:val="superscript"/>
              </w:rPr>
              <w:t>(9)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05/16/2024</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3,189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Cadence Aerospace, LLC </w:t>
            </w:r>
            <w:r>
              <w:rPr>
                <w:rFonts w:ascii="Times New Roman" w:cs="Times New Roman" w:eastAsia="Times New Roman" w:hAnsi="Times New Roman"/>
                <w:sz w:val="14"/>
                <w:szCs w:val="14"/>
                <w:color w:val="auto"/>
                <w:vertAlign w:val="superscript"/>
              </w:rPr>
              <w:t>(7)</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11/14/2023</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11.31 %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L+850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3,033</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3,024</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9.50%)</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05/13/2028</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9.55 %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1M L+600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16,459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Cartessa Aesthetics, LLC (Revolver) </w:t>
            </w:r>
            <w:r>
              <w:rPr>
                <w:rFonts w:ascii="Times New Roman" w:cs="Times New Roman" w:eastAsia="Times New Roman" w:hAnsi="Times New Roman"/>
                <w:sz w:val="14"/>
                <w:szCs w:val="14"/>
                <w:color w:val="auto"/>
                <w:vertAlign w:val="superscript"/>
              </w:rPr>
              <w:t>(7)</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05/13/2028</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9.55 %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1M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511</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Cartessa Aesthetics, LLC (Revolver) </w:t>
            </w:r>
            <w:r>
              <w:rPr>
                <w:rFonts w:ascii="Times New Roman" w:cs="Times New Roman" w:eastAsia="Times New Roman" w:hAnsi="Times New Roman"/>
                <w:sz w:val="14"/>
                <w:szCs w:val="14"/>
                <w:color w:val="auto"/>
                <w:vertAlign w:val="superscript"/>
              </w:rPr>
              <w:t>(7)(9)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05/13/2028</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08/20/2026</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9.28 %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8,098</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7,988</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CF512, Inc. </w:t>
            </w:r>
            <w:r>
              <w:rPr>
                <w:rFonts w:ascii="Times New Roman" w:cs="Times New Roman" w:eastAsia="Times New Roman" w:hAnsi="Times New Roman"/>
                <w:sz w:val="14"/>
                <w:szCs w:val="14"/>
                <w:color w:val="auto"/>
                <w:vertAlign w:val="superscript"/>
              </w:rPr>
              <w:t>(7), (9)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08/20/2026</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CF512, Inc. (Revolver) </w:t>
            </w:r>
            <w:r>
              <w:rPr>
                <w:rFonts w:ascii="Times New Roman" w:cs="Times New Roman" w:eastAsia="Times New Roman" w:hAnsi="Times New Roman"/>
                <w:sz w:val="14"/>
                <w:szCs w:val="14"/>
                <w:color w:val="auto"/>
                <w:vertAlign w:val="superscript"/>
              </w:rPr>
              <w:t>(7), (9)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08/20/2026</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 Holdings, Inc.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04/10/2025</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Industries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8.17 %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L+450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1,581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Challenger Performance Optimization, Inc. (Revolver) </w:t>
            </w:r>
            <w:r>
              <w:rPr>
                <w:rFonts w:ascii="Times New Roman" w:cs="Times New Roman" w:eastAsia="Times New Roman" w:hAnsi="Times New Roman"/>
                <w:sz w:val="14"/>
                <w:szCs w:val="14"/>
                <w:color w:val="auto"/>
                <w:vertAlign w:val="superscript"/>
              </w:rPr>
              <w:t>(7), (9)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08/31/2023</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9.27 %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1M L+675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Challenger Performance Optimization, Inc. (Revolver) </w:t>
            </w:r>
            <w:r>
              <w:rPr>
                <w:rFonts w:ascii="Times New Roman" w:cs="Times New Roman" w:eastAsia="Times New Roman" w:hAnsi="Times New Roman"/>
                <w:sz w:val="14"/>
                <w:szCs w:val="14"/>
                <w:color w:val="auto"/>
                <w:vertAlign w:val="superscript"/>
              </w:rPr>
              <w:t>(7), (9)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08/31/2023</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Compex Legal Services, Inc.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02/09/2026</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8.83 %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L+525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8,038</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8,010</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8,038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02/07/2025</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8.92 %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L+525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 (9)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02/07/2025</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633</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07/13/2027</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8.42 %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L+550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3,907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 (9)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01/13/2023</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2,105</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 (9)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07/13/2027</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08/16/2027</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9.39 %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L+575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885</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08/16/2027</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8.87 %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L+575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08/16/2027</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10/19/2022</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8.87 %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L+575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6,477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Douglas Products and Packaging Company LLC (Revolver)</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10/19/2022</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11.00 %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P+475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2,627</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2,627</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Douglas Products and Packaging Company LLC (Revolver) </w:t>
            </w:r>
            <w:r>
              <w:rPr>
                <w:rFonts w:ascii="Times New Roman" w:cs="Times New Roman" w:eastAsia="Times New Roman" w:hAnsi="Times New Roman"/>
                <w:sz w:val="14"/>
                <w:szCs w:val="14"/>
                <w:color w:val="auto"/>
                <w:vertAlign w:val="superscript"/>
              </w:rPr>
              <w:t>(9)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10/19/2022</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10/19/2022</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8.87 %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L+575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3,920</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3,920</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08/31/2027</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9.42 %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L+600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4,428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08/31/2027</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8.95 %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1,118</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1,118</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 (9)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08/31/2027</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2,236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11/03/2025</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8.87 %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L+575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17,111</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16,993</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16,564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14"/>
                <w:szCs w:val="14"/>
                <w:color w:val="auto"/>
                <w:vertAlign w:val="superscript"/>
              </w:rPr>
              <w:t>(7), (9)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11/03/2025</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(46 )</w:t>
            </w: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06/30/2024</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Containers and Packaging</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8.62 %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3M L+550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3,247</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3,208</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3,169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05/01/2028</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10.62 %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1M L+750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5,203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5,158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ECM Industries, LLC (Revolver)</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12/23/2025</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8.00 %</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1M L+475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ECM Industries, LLC (Revolver) </w:t>
            </w:r>
            <w:r>
              <w:rPr>
                <w:rFonts w:ascii="Times New Roman" w:cs="Times New Roman" w:eastAsia="Times New Roman" w:hAnsi="Times New Roman"/>
                <w:sz w:val="14"/>
                <w:szCs w:val="14"/>
                <w:color w:val="auto"/>
                <w:vertAlign w:val="superscript"/>
              </w:rPr>
              <w:t>(9)</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12/23/2025</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eCommission Financial Services, Inc. </w:t>
            </w:r>
            <w:r>
              <w:rPr>
                <w:rFonts w:ascii="Times New Roman" w:cs="Times New Roman" w:eastAsia="Times New Roman" w:hAnsi="Times New Roman"/>
                <w:sz w:val="14"/>
                <w:szCs w:val="14"/>
                <w:color w:val="auto"/>
                <w:vertAlign w:val="superscript"/>
              </w:rPr>
              <w:t>(10)</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10/05/2023</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7.63 %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1M L+500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eCommission Financial Services, Inc. (Revolver) </w:t>
            </w:r>
            <w:r>
              <w:rPr>
                <w:rFonts w:ascii="Times New Roman" w:cs="Times New Roman" w:eastAsia="Times New Roman" w:hAnsi="Times New Roman"/>
                <w:sz w:val="14"/>
                <w:szCs w:val="14"/>
                <w:color w:val="auto"/>
                <w:vertAlign w:val="superscript"/>
              </w:rPr>
              <w:t>(7), (10)</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10/05/2023</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7.63 %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1M L+500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eCommission Financial Services, Inc. (Revolver) </w:t>
            </w:r>
            <w:r>
              <w:rPr>
                <w:rFonts w:ascii="Times New Roman" w:cs="Times New Roman" w:eastAsia="Times New Roman" w:hAnsi="Times New Roman"/>
                <w:sz w:val="14"/>
                <w:szCs w:val="14"/>
                <w:color w:val="auto"/>
                <w:vertAlign w:val="superscript"/>
              </w:rPr>
              <w:t>(7), (9), (10)</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10/05/2023</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Efficient Collaborative Retail Marketing Company,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06/15/2024</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10.42 %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L+675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7,150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Exigo Intermediate II, LLC </w:t>
            </w:r>
            <w:r>
              <w:rPr>
                <w:rFonts w:ascii="Times New Roman" w:cs="Times New Roman" w:eastAsia="Times New Roman" w:hAnsi="Times New Roman"/>
                <w:sz w:val="14"/>
                <w:szCs w:val="14"/>
                <w:color w:val="auto"/>
                <w:vertAlign w:val="superscript"/>
              </w:rPr>
              <w:t>(9)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03/15/2024</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2,758</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(41 )</w:t>
            </w: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Exigo Intermediate II, LLC (Revolver)</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03/15/2027</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8.87 %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L+575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Exigo Intermediate II, LLC (Revolver) </w:t>
            </w:r>
            <w:r>
              <w:rPr>
                <w:rFonts w:ascii="Times New Roman" w:cs="Times New Roman" w:eastAsia="Times New Roman" w:hAnsi="Times New Roman"/>
                <w:sz w:val="14"/>
                <w:szCs w:val="14"/>
                <w:color w:val="auto"/>
                <w:vertAlign w:val="superscript"/>
              </w:rPr>
              <w:t>(9)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03/15/2027</w:t>
            </w:r>
          </w:p>
        </w:tc>
        <w:tc>
          <w:tcPr>
            <w:tcW w:w="60" w:type="dxa"/>
            <w:vAlign w:val="bottom"/>
            <w:shd w:val="clear" w:color="auto" w:fill="CCECFF"/>
          </w:tcPr>
          <w:p>
            <w:pPr>
              <w:spacing w:after="0"/>
              <w:rPr>
                <w:sz w:val="13"/>
                <w:szCs w:val="13"/>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Findex Group Limited </w:t>
            </w:r>
            <w:r>
              <w:rPr>
                <w:rFonts w:ascii="Times New Roman" w:cs="Times New Roman" w:eastAsia="Times New Roman" w:hAnsi="Times New Roman"/>
                <w:sz w:val="14"/>
                <w:szCs w:val="14"/>
                <w:color w:val="auto"/>
                <w:vertAlign w:val="superscript"/>
              </w:rPr>
              <w:t>(5)(10)(11)</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05/31/2024</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7.17 %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L+450</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AUD 10,000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05/14/2026</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9.37 %</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1M L+625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21,982</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21,632</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21,322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05/14/2026</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9.37 %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1M L+625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 (9)</w:t>
            </w:r>
          </w:p>
        </w:tc>
        <w:tc>
          <w:tcPr>
            <w:tcW w:w="82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05/14/2026</w:t>
            </w:r>
          </w:p>
        </w:tc>
        <w:tc>
          <w:tcPr>
            <w:tcW w:w="60" w:type="dxa"/>
            <w:vAlign w:val="bottom"/>
            <w:shd w:val="clear" w:color="auto" w:fill="CCECFF"/>
          </w:tcPr>
          <w:p>
            <w:pPr>
              <w:spacing w:after="0"/>
              <w:rPr>
                <w:sz w:val="12"/>
                <w:szCs w:val="12"/>
                <w:color w:val="auto"/>
              </w:rPr>
            </w:pPr>
          </w:p>
        </w:tc>
        <w:tc>
          <w:tcPr>
            <w:tcW w:w="3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3,484</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(105 )</w:t>
            </w:r>
          </w:p>
        </w:tc>
        <w:tc>
          <w:tcPr>
            <w:tcW w:w="0" w:type="dxa"/>
            <w:vAlign w:val="bottom"/>
          </w:tcPr>
          <w:p>
            <w:pPr>
              <w:spacing w:after="0"/>
              <w:rPr>
                <w:sz w:val="1"/>
                <w:szCs w:val="1"/>
                <w:color w:val="auto"/>
              </w:rPr>
            </w:pPr>
          </w:p>
        </w:tc>
      </w:tr>
      <w:tr>
        <w:trPr>
          <w:trHeight w:val="140"/>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03/16/2026</w:t>
            </w:r>
          </w:p>
        </w:tc>
        <w:tc>
          <w:tcPr>
            <w:tcW w:w="6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8.74 %</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3M L+600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3,427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-6689090</wp:posOffset>
            </wp:positionV>
            <wp:extent cx="7132320" cy="939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right"/>
              <w:ind w:right="44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220" w:type="dxa"/>
            <w:vAlign w:val="bottom"/>
          </w:tcPr>
          <w:p>
            <w:pPr>
              <w:spacing w:after="0"/>
              <w:rPr>
                <w:sz w:val="9"/>
                <w:szCs w:val="9"/>
                <w:color w:val="auto"/>
              </w:rPr>
            </w:pPr>
          </w:p>
        </w:tc>
        <w:tc>
          <w:tcPr>
            <w:tcW w:w="780" w:type="dxa"/>
            <w:vAlign w:val="bottom"/>
          </w:tcPr>
          <w:p>
            <w:pPr>
              <w:jc w:val="right"/>
              <w:ind w:right="22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(2)</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6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0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20" w:type="dxa"/>
            <w:vAlign w:val="bottom"/>
          </w:tcPr>
          <w:p>
            <w:pPr>
              <w:spacing w:after="0"/>
              <w:rPr>
                <w:sz w:val="14"/>
                <w:szCs w:val="14"/>
                <w:color w:val="auto"/>
              </w:rPr>
            </w:pPr>
          </w:p>
        </w:tc>
        <w:tc>
          <w:tcPr>
            <w:tcW w:w="7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CFF"/>
          </w:tcPr>
          <w:p>
            <w:pPr>
              <w:ind w:left="20"/>
              <w:spacing w:after="0" w:line="142" w:lineRule="exact"/>
              <w:rPr>
                <w:sz w:val="20"/>
                <w:szCs w:val="20"/>
                <w:color w:val="auto"/>
              </w:rPr>
            </w:pPr>
            <w:r>
              <w:rPr>
                <w:rFonts w:ascii="Times New Roman" w:cs="Times New Roman" w:eastAsia="Times New Roman" w:hAnsi="Times New Roman"/>
                <w:sz w:val="11"/>
                <w:szCs w:val="11"/>
                <w:color w:val="auto"/>
              </w:rPr>
              <w:t xml:space="preserve">Graffiti Buyer, Inc. </w:t>
            </w:r>
            <w:r>
              <w:rPr>
                <w:rFonts w:ascii="Times New Roman" w:cs="Times New Roman" w:eastAsia="Times New Roman" w:hAnsi="Times New Roman"/>
                <w:sz w:val="14"/>
                <w:szCs w:val="14"/>
                <w:color w:val="auto"/>
                <w:vertAlign w:val="superscript"/>
              </w:rPr>
              <w:t>(7), (9)</w:t>
            </w:r>
          </w:p>
        </w:tc>
        <w:tc>
          <w:tcPr>
            <w:tcW w:w="160" w:type="dxa"/>
            <w:vAlign w:val="bottom"/>
            <w:shd w:val="clear" w:color="auto" w:fill="CCECFF"/>
          </w:tcPr>
          <w:p>
            <w:pPr>
              <w:spacing w:after="0"/>
              <w:rPr>
                <w:sz w:val="12"/>
                <w:szCs w:val="12"/>
                <w:color w:val="auto"/>
              </w:rPr>
            </w:pPr>
          </w:p>
        </w:tc>
        <w:tc>
          <w:tcPr>
            <w:tcW w:w="76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08/10/2023</w:t>
            </w:r>
          </w:p>
        </w:tc>
        <w:tc>
          <w:tcPr>
            <w:tcW w:w="160" w:type="dxa"/>
            <w:vAlign w:val="bottom"/>
            <w:shd w:val="clear" w:color="auto" w:fill="CCECFF"/>
          </w:tcPr>
          <w:p>
            <w:pPr>
              <w:spacing w:after="0"/>
              <w:rPr>
                <w:sz w:val="12"/>
                <w:szCs w:val="12"/>
                <w:color w:val="auto"/>
              </w:rPr>
            </w:pPr>
          </w:p>
        </w:tc>
        <w:tc>
          <w:tcPr>
            <w:tcW w:w="21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00" w:type="dxa"/>
            <w:vAlign w:val="bottom"/>
            <w:shd w:val="clear" w:color="auto" w:fill="CCECFF"/>
          </w:tcPr>
          <w:p>
            <w:pPr>
              <w:spacing w:after="0"/>
              <w:rPr>
                <w:sz w:val="12"/>
                <w:szCs w:val="12"/>
                <w:color w:val="auto"/>
              </w:rPr>
            </w:pPr>
          </w:p>
        </w:tc>
        <w:tc>
          <w:tcPr>
            <w:tcW w:w="8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2"/>
                <w:szCs w:val="12"/>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2"/>
                <w:szCs w:val="12"/>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1,071</w:t>
            </w:r>
          </w:p>
        </w:tc>
        <w:tc>
          <w:tcPr>
            <w:tcW w:w="200" w:type="dxa"/>
            <w:vAlign w:val="bottom"/>
            <w:shd w:val="clear" w:color="auto" w:fill="CCECFF"/>
          </w:tcPr>
          <w:p>
            <w:pPr>
              <w:spacing w:after="0"/>
              <w:rPr>
                <w:sz w:val="12"/>
                <w:szCs w:val="12"/>
                <w:color w:val="auto"/>
              </w:rPr>
            </w:pPr>
          </w:p>
        </w:tc>
        <w:tc>
          <w:tcPr>
            <w:tcW w:w="200" w:type="dxa"/>
            <w:vAlign w:val="bottom"/>
            <w:tcBorders>
              <w:top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CEC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08/10/2027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8.92 %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 (9)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08/10/2027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12/31/2026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8.67 %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4,441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Hancock Roofing and Construction L.L.C. </w:t>
            </w:r>
            <w:r>
              <w:rPr>
                <w:rFonts w:ascii="Times New Roman" w:cs="Times New Roman" w:eastAsia="Times New Roman" w:hAnsi="Times New Roman"/>
                <w:sz w:val="14"/>
                <w:szCs w:val="14"/>
                <w:color w:val="auto"/>
                <w:vertAlign w:val="superscript"/>
              </w:rPr>
              <w:t>(7), (9)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12/31/2022</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12/31/2026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7.82 %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 (9)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12/31/2026</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480</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11/23/2028</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10.17 %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Holdco Sands Intermediate, LLC (Revolver)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11/23/2027</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1,791</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(36 )</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12/10/2024</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6.00 %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8,457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HW Holdco, LLC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12/10/2024</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1,686</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 (9)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12/10/2024</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12/30/2026</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1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10.44 %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5,723</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5,616</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IDC Infusion Services, Inc. (Revolver) </w:t>
            </w:r>
            <w:r>
              <w:rPr>
                <w:rFonts w:ascii="Times New Roman" w:cs="Times New Roman" w:eastAsia="Times New Roman" w:hAnsi="Times New Roman"/>
                <w:sz w:val="14"/>
                <w:szCs w:val="14"/>
                <w:color w:val="auto"/>
                <w:vertAlign w:val="superscript"/>
              </w:rPr>
              <w:t>(9)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12/30/2026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4,167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(188 )</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IG Investments Holdings, LLC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09/22/2028</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9.45 %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4,473</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4,390</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 (9)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09/22/2027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Imagine Acquisitionco, LLC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11/15/2027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1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8.42 %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3,979</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3,909</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3,879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Imagine Acquisitionco, LLC </w:t>
            </w:r>
            <w:r>
              <w:rPr>
                <w:rFonts w:ascii="Times New Roman" w:cs="Times New Roman" w:eastAsia="Times New Roman" w:hAnsi="Times New Roman"/>
                <w:sz w:val="14"/>
                <w:szCs w:val="14"/>
                <w:color w:val="auto"/>
                <w:vertAlign w:val="superscript"/>
              </w:rPr>
              <w:t>(9)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11/15/2027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Imagine Acquisitionco, LLC (Revolver)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11/15/2027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1,193</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12/07/2023</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10.13 %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14,954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14,711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Infolinks Media Buyco, LLC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11/01/2026</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9.42 %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2,581</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Infolinks Media Buyco, LLC </w:t>
            </w:r>
            <w:r>
              <w:rPr>
                <w:rFonts w:ascii="Times New Roman" w:cs="Times New Roman" w:eastAsia="Times New Roman" w:hAnsi="Times New Roman"/>
                <w:sz w:val="14"/>
                <w:szCs w:val="14"/>
                <w:color w:val="auto"/>
                <w:vertAlign w:val="superscript"/>
              </w:rPr>
              <w:t>(9)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11/01/2023</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09/29/2023</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Services</w:t>
            </w:r>
          </w:p>
        </w:tc>
        <w:tc>
          <w:tcPr>
            <w:tcW w:w="11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8.42 %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15,636</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15,600</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15,323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Integrative Nutrition, LLC (Revolver) </w:t>
            </w:r>
            <w:r>
              <w:rPr>
                <w:rFonts w:ascii="Times New Roman" w:cs="Times New Roman" w:eastAsia="Times New Roman" w:hAnsi="Times New Roman"/>
                <w:sz w:val="14"/>
                <w:szCs w:val="14"/>
                <w:color w:val="auto"/>
                <w:vertAlign w:val="superscript"/>
              </w:rPr>
              <w:t>(7), (9)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09/29/2023</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Services</w:t>
            </w:r>
          </w:p>
        </w:tc>
        <w:tc>
          <w:tcPr>
            <w:tcW w:w="1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08/27/2025</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7.58 %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SOFR+550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15,825</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15,697</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15,667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ITI Holdings, Inc. (Revolver)</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03/03/2028</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8.25 %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ITI Holdings, Inc. (Revolver)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03/03/2028</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 (9)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12/20/2023</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11/10/2027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1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9.67 %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17,428</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17,120</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17,079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Kinetic Purchaser, LLC - (Revolver) </w:t>
            </w:r>
            <w:r>
              <w:rPr>
                <w:rFonts w:ascii="Times New Roman" w:cs="Times New Roman" w:eastAsia="Times New Roman" w:hAnsi="Times New Roman"/>
                <w:sz w:val="14"/>
                <w:szCs w:val="14"/>
                <w:color w:val="auto"/>
                <w:vertAlign w:val="superscript"/>
              </w:rPr>
              <w:t>(9)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11/10/2026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9.67 %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3,435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02/18/2027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1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11.17 %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10,511</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10,323</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08/16/2026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9.38 %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 (9)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08/16/2026</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1,321</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(26 )</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10/31/2024</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9.95 %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9,565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9,542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(PIK 5.50%)</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LAV Gear Holdings, Inc.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10/31/2024</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9.95 %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1,721</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1,721</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(PIK 5.50%)</w:t>
            </w: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Ledge Lounger, Inc.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11/09/2026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9.92 %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3,747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3,683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Ledge Lounger, Inc. (Revolver)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11/09/2026</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789</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02/03/2026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8.87 %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24,357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24,065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02/03/2026</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1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8.87 %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1,083</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1,083</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 (9)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02/03/2026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1,416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(46 )</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07/20/2027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1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8.31 %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4,331</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4,258</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3,183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04/01/2027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9.17 %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3,714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05/14/2026</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8.62 %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6,052</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5,958</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6,022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Mars Acquisition Holdings Corp. (Revolver)</w:t>
            </w:r>
            <w:r>
              <w:rPr>
                <w:rFonts w:ascii="Times New Roman" w:cs="Times New Roman" w:eastAsia="Times New Roman" w:hAnsi="Times New Roman"/>
                <w:sz w:val="14"/>
                <w:szCs w:val="14"/>
                <w:color w:val="auto"/>
                <w:vertAlign w:val="superscript"/>
              </w:rPr>
              <w:t>(7)(9)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05/14/2026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1,624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MBS Holdings, Inc. (Revolver)</w:t>
            </w:r>
            <w:r>
              <w:rPr>
                <w:rFonts w:ascii="Times New Roman" w:cs="Times New Roman" w:eastAsia="Times New Roman" w:hAnsi="Times New Roman"/>
                <w:sz w:val="14"/>
                <w:szCs w:val="14"/>
                <w:color w:val="auto"/>
                <w:vertAlign w:val="superscript"/>
              </w:rPr>
              <w:t>(7)(9)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04/16/2027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1,157</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MDI Buyer, Inc. - Unfunded Term Loan</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07/25/2028</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Commodity Chemicals</w:t>
            </w:r>
          </w:p>
        </w:tc>
        <w:tc>
          <w:tcPr>
            <w:tcW w:w="1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1,804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MDI Buyer, inc. (Revolver)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07/25/2028</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Commodity Chemicals</w:t>
            </w:r>
          </w:p>
        </w:tc>
        <w:tc>
          <w:tcPr>
            <w:tcW w:w="1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12/10/2027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9.17 %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1,319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Meadowlark Acquirer, LLC - Term Loan I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12/10/2027</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1,782</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Meadowlark Acquirer, LLC - Term Loan II </w:t>
            </w:r>
            <w:r>
              <w:rPr>
                <w:rFonts w:ascii="Times New Roman" w:cs="Times New Roman" w:eastAsia="Times New Roman" w:hAnsi="Times New Roman"/>
                <w:sz w:val="14"/>
                <w:szCs w:val="14"/>
                <w:color w:val="auto"/>
                <w:vertAlign w:val="superscript"/>
              </w:rPr>
              <w:t>(9)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12/10/2027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9,483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Meadowlark Acquirer, LLC (Revolver)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12/10/2027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1,693</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03/28/2024</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8.03 %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 +500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3,430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Mission Critical Electronics, Inc. </w:t>
            </w:r>
            <w:r>
              <w:rPr>
                <w:rFonts w:ascii="Times New Roman" w:cs="Times New Roman" w:eastAsia="Times New Roman" w:hAnsi="Times New Roman"/>
                <w:sz w:val="14"/>
                <w:szCs w:val="14"/>
                <w:color w:val="auto"/>
                <w:vertAlign w:val="superscript"/>
              </w:rPr>
              <w:t>(9)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03/28/2024</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00" w:type="dxa"/>
            <w:vAlign w:val="bottom"/>
            <w:shd w:val="clear" w:color="auto" w:fill="CCECFF"/>
          </w:tcPr>
          <w:p>
            <w:pPr>
              <w:spacing w:after="0"/>
              <w:rPr>
                <w:sz w:val="13"/>
                <w:szCs w:val="13"/>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883</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84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Mission Critical Electronics, Inc.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03/28/2024</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6.67 %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Mission Critical Electronics, Inc. (Revolver) </w:t>
            </w:r>
            <w:r>
              <w:rPr>
                <w:rFonts w:ascii="Times New Roman" w:cs="Times New Roman" w:eastAsia="Times New Roman" w:hAnsi="Times New Roman"/>
                <w:sz w:val="14"/>
                <w:szCs w:val="14"/>
                <w:color w:val="auto"/>
                <w:vertAlign w:val="superscript"/>
              </w:rPr>
              <w:t>(7), (9)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03/28/2024</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09/28/2027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8.67 %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 (9)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09/28/2027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592</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(29 )</w:t>
            </w: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09/28/2027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8.67 %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 (9)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09/28/2027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22"/>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NBH Group LLC (Revolver) </w:t>
            </w:r>
            <w:r>
              <w:rPr>
                <w:rFonts w:ascii="Times New Roman" w:cs="Times New Roman" w:eastAsia="Times New Roman" w:hAnsi="Times New Roman"/>
                <w:sz w:val="14"/>
                <w:szCs w:val="14"/>
                <w:color w:val="auto"/>
                <w:vertAlign w:val="superscript"/>
              </w:rPr>
              <w:t>(7), (9)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08/19/2026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07/09/2026</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1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9.45 %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 + 575</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1,975</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1,951</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1,975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OIS Management Services, LLC (Revolver) </w:t>
            </w:r>
            <w:r>
              <w:rPr>
                <w:rFonts w:ascii="Times New Roman" w:cs="Times New Roman" w:eastAsia="Times New Roman" w:hAnsi="Times New Roman"/>
                <w:sz w:val="14"/>
                <w:szCs w:val="14"/>
                <w:color w:val="auto"/>
                <w:vertAlign w:val="superscript"/>
              </w:rPr>
              <w:t>(7), (9)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07/09/2026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05/07/2027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Air Freight and Logistics</w:t>
            </w:r>
          </w:p>
        </w:tc>
        <w:tc>
          <w:tcPr>
            <w:tcW w:w="11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9.37 %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8,759</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8,612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8,496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ORL Acquisition, Inc. </w:t>
            </w:r>
            <w:r>
              <w:rPr>
                <w:rFonts w:ascii="Times New Roman" w:cs="Times New Roman" w:eastAsia="Times New Roman" w:hAnsi="Times New Roman"/>
                <w:sz w:val="14"/>
                <w:szCs w:val="14"/>
                <w:color w:val="auto"/>
                <w:vertAlign w:val="superscript"/>
              </w:rPr>
              <w:t>(7)</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09/03/2027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8.92 %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7,195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7,069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ORL Acquisition, Inc. (Revolver) </w:t>
            </w:r>
            <w:r>
              <w:rPr>
                <w:rFonts w:ascii="Times New Roman" w:cs="Times New Roman" w:eastAsia="Times New Roman" w:hAnsi="Times New Roman"/>
                <w:sz w:val="14"/>
                <w:szCs w:val="14"/>
                <w:color w:val="auto"/>
                <w:vertAlign w:val="superscript"/>
              </w:rPr>
              <w:t>(7), (9)</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09/03/2027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100" w:type="dxa"/>
            <w:vAlign w:val="bottom"/>
            <w:shd w:val="clear" w:color="auto" w:fill="CCECFF"/>
          </w:tcPr>
          <w:p>
            <w:pPr>
              <w:spacing w:after="0"/>
              <w:rPr>
                <w:sz w:val="12"/>
                <w:szCs w:val="12"/>
                <w:color w:val="auto"/>
              </w:rPr>
            </w:pPr>
          </w:p>
        </w:tc>
        <w:tc>
          <w:tcPr>
            <w:tcW w:w="10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40" w:type="dxa"/>
            <w:vAlign w:val="bottom"/>
            <w:gridSpan w:val="2"/>
            <w:shd w:val="clear" w:color="auto" w:fill="CCECFF"/>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03/27/2024</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9.80 %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4,874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02/04/2028</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8.41 %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3,990</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3,874</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3,890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05/18/2026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9.81 %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25,772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25,440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4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05/18/2026</w:t>
            </w:r>
          </w:p>
        </w:tc>
        <w:tc>
          <w:tcPr>
            <w:tcW w:w="160" w:type="dxa"/>
            <w:vAlign w:val="bottom"/>
            <w:shd w:val="clear" w:color="auto" w:fill="CCECFF"/>
          </w:tcPr>
          <w:p>
            <w:pPr>
              <w:spacing w:after="0"/>
              <w:rPr>
                <w:sz w:val="13"/>
                <w:szCs w:val="13"/>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1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9.81 %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2,484</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2,484</w:t>
            </w: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2,434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05/18/2026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11/09/2027</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1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9.62 %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6,110</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6,015</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PL Acquisitionco, LLC - (Revolver) </w:t>
            </w:r>
            <w:r>
              <w:rPr>
                <w:rFonts w:ascii="Times New Roman" w:cs="Times New Roman" w:eastAsia="Times New Roman" w:hAnsi="Times New Roman"/>
                <w:sz w:val="14"/>
                <w:szCs w:val="14"/>
                <w:color w:val="auto"/>
                <w:vertAlign w:val="superscript"/>
              </w:rPr>
              <w:t>(9)</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11/09/2027</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2,290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(57 )</w:t>
            </w: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5"/>
              </w:rPr>
              <w:t>10/19/2022</w:t>
            </w:r>
          </w:p>
        </w:tc>
        <w:tc>
          <w:tcPr>
            <w:tcW w:w="160" w:type="dxa"/>
            <w:vAlign w:val="bottom"/>
            <w:shd w:val="clear" w:color="auto" w:fill="CCECFF"/>
          </w:tcPr>
          <w:p>
            <w:pPr>
              <w:spacing w:after="0"/>
              <w:rPr>
                <w:sz w:val="12"/>
                <w:szCs w:val="12"/>
                <w:color w:val="auto"/>
              </w:rPr>
            </w:pPr>
          </w:p>
        </w:tc>
        <w:tc>
          <w:tcPr>
            <w:tcW w:w="21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8.87 %</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10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5"/>
              </w:rPr>
              <w:t>05/08/2026</w:t>
            </w:r>
          </w:p>
        </w:tc>
        <w:tc>
          <w:tcPr>
            <w:tcW w:w="1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9.17 %</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3,440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14"/>
        </w:trPr>
        <w:tc>
          <w:tcPr>
            <w:tcW w:w="3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ind w:left="140"/>
              <w:spacing w:after="0" w:line="114" w:lineRule="exact"/>
              <w:rPr>
                <w:sz w:val="20"/>
                <w:szCs w:val="20"/>
                <w:color w:val="auto"/>
              </w:rPr>
            </w:pPr>
            <w:r>
              <w:rPr>
                <w:rFonts w:ascii="Times New Roman" w:cs="Times New Roman" w:eastAsia="Times New Roman" w:hAnsi="Times New Roman"/>
                <w:sz w:val="11"/>
                <w:szCs w:val="11"/>
                <w:b w:val="1"/>
                <w:bCs w:val="1"/>
                <w:color w:val="auto"/>
              </w:rPr>
              <w:t>Basis</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b w:val="1"/>
                <w:bCs w:val="1"/>
                <w:color w:val="auto"/>
              </w:rPr>
              <w:t>Point</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Spread</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2"/>
          </w:tcPr>
          <w:p>
            <w:pPr>
              <w:jc w:val="right"/>
              <w:ind w:right="44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540" w:type="dxa"/>
            <w:vAlign w:val="bottom"/>
          </w:tcPr>
          <w:p>
            <w:pPr>
              <w:ind w:left="140"/>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120" w:type="dxa"/>
            <w:vAlign w:val="bottom"/>
          </w:tcPr>
          <w:p>
            <w:pPr>
              <w:spacing w:after="0"/>
              <w:rPr>
                <w:sz w:val="9"/>
                <w:szCs w:val="9"/>
                <w:color w:val="auto"/>
              </w:rPr>
            </w:pPr>
          </w:p>
        </w:tc>
        <w:tc>
          <w:tcPr>
            <w:tcW w:w="70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62"/>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8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4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 xml:space="preserve">Index </w:t>
            </w:r>
            <w:r>
              <w:rPr>
                <w:rFonts w:ascii="Times New Roman" w:cs="Times New Roman" w:eastAsia="Times New Roman" w:hAnsi="Times New Roman"/>
                <w:sz w:val="14"/>
                <w:szCs w:val="14"/>
                <w:b w:val="1"/>
                <w:bCs w:val="1"/>
                <w:color w:val="auto"/>
                <w:vertAlign w:val="superscript"/>
              </w:rPr>
              <w:t>(1)</w:t>
            </w:r>
          </w:p>
        </w:tc>
        <w:tc>
          <w:tcPr>
            <w:tcW w:w="120" w:type="dxa"/>
            <w:vAlign w:val="bottom"/>
          </w:tcPr>
          <w:p>
            <w:pPr>
              <w:spacing w:after="0"/>
              <w:rPr>
                <w:sz w:val="14"/>
                <w:szCs w:val="14"/>
                <w:color w:val="auto"/>
              </w:rPr>
            </w:pPr>
          </w:p>
        </w:tc>
        <w:tc>
          <w:tcPr>
            <w:tcW w:w="70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160" w:type="dxa"/>
            <w:vAlign w:val="bottom"/>
            <w:tcBorders>
              <w:top w:val="single" w:sz="8" w:color="auto"/>
            </w:tcBorders>
            <w:shd w:val="clear" w:color="auto" w:fill="CCECFF"/>
          </w:tcPr>
          <w:p>
            <w:pPr>
              <w:ind w:left="20"/>
              <w:spacing w:after="0" w:line="115" w:lineRule="exact"/>
              <w:rPr>
                <w:sz w:val="20"/>
                <w:szCs w:val="20"/>
                <w:color w:val="auto"/>
              </w:rPr>
            </w:pPr>
            <w:r>
              <w:rPr>
                <w:rFonts w:ascii="Times New Roman" w:cs="Times New Roman" w:eastAsia="Times New Roman" w:hAnsi="Times New Roman"/>
                <w:sz w:val="11"/>
                <w:szCs w:val="11"/>
                <w:color w:val="auto"/>
              </w:rPr>
              <w:t>PRA Events, Inc.</w:t>
            </w:r>
          </w:p>
        </w:tc>
        <w:tc>
          <w:tcPr>
            <w:tcW w:w="60" w:type="dxa"/>
            <w:vAlign w:val="bottom"/>
            <w:shd w:val="clear" w:color="auto" w:fill="CCECFF"/>
          </w:tcPr>
          <w:p>
            <w:pPr>
              <w:spacing w:after="0"/>
              <w:rPr>
                <w:sz w:val="9"/>
                <w:szCs w:val="9"/>
                <w:color w:val="auto"/>
              </w:rPr>
            </w:pPr>
          </w:p>
        </w:tc>
        <w:tc>
          <w:tcPr>
            <w:tcW w:w="720" w:type="dxa"/>
            <w:vAlign w:val="bottom"/>
            <w:tcBorders>
              <w:top w:val="single" w:sz="8" w:color="auto"/>
            </w:tcBorders>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08/07/2025</w:t>
            </w:r>
          </w:p>
        </w:tc>
        <w:tc>
          <w:tcPr>
            <w:tcW w:w="80" w:type="dxa"/>
            <w:vAlign w:val="bottom"/>
            <w:shd w:val="clear" w:color="auto" w:fill="CCECFF"/>
          </w:tcPr>
          <w:p>
            <w:pPr>
              <w:spacing w:after="0"/>
              <w:rPr>
                <w:sz w:val="9"/>
                <w:szCs w:val="9"/>
                <w:color w:val="auto"/>
              </w:rPr>
            </w:pPr>
          </w:p>
        </w:tc>
        <w:tc>
          <w:tcPr>
            <w:tcW w:w="3040" w:type="dxa"/>
            <w:vAlign w:val="bottom"/>
            <w:tcBorders>
              <w:top w:val="single" w:sz="8" w:color="auto"/>
            </w:tcBorders>
            <w:shd w:val="clear" w:color="auto" w:fill="CCECFF"/>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shd w:val="clear" w:color="auto" w:fill="CCECFF"/>
          </w:tcPr>
          <w:p>
            <w:pPr>
              <w:spacing w:after="0"/>
              <w:rPr>
                <w:sz w:val="9"/>
                <w:szCs w:val="9"/>
                <w:color w:val="auto"/>
              </w:rPr>
            </w:pPr>
          </w:p>
        </w:tc>
        <w:tc>
          <w:tcPr>
            <w:tcW w:w="760" w:type="dxa"/>
            <w:vAlign w:val="bottom"/>
            <w:tcBorders>
              <w:top w:val="single" w:sz="8" w:color="auto"/>
            </w:tcBorders>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540" w:type="dxa"/>
            <w:vAlign w:val="bottom"/>
            <w:tcBorders>
              <w:top w:val="single" w:sz="8" w:color="auto"/>
            </w:tcBorders>
            <w:shd w:val="clear" w:color="auto" w:fill="CCECFF"/>
          </w:tcPr>
          <w:p>
            <w:pPr>
              <w:jc w:val="right"/>
              <w:spacing w:after="0" w:line="115" w:lineRule="exact"/>
              <w:rPr>
                <w:sz w:val="20"/>
                <w:szCs w:val="20"/>
                <w:color w:val="auto"/>
              </w:rPr>
            </w:pPr>
            <w:r>
              <w:rPr>
                <w:rFonts w:ascii="Times New Roman" w:cs="Times New Roman" w:eastAsia="Times New Roman" w:hAnsi="Times New Roman"/>
                <w:sz w:val="11"/>
                <w:szCs w:val="11"/>
                <w:color w:val="auto"/>
              </w:rPr>
              <w:t>1M</w:t>
            </w:r>
          </w:p>
        </w:tc>
        <w:tc>
          <w:tcPr>
            <w:tcW w:w="120" w:type="dxa"/>
            <w:vAlign w:val="bottom"/>
            <w:shd w:val="clear" w:color="auto" w:fill="CCECFF"/>
          </w:tcPr>
          <w:p>
            <w:pPr>
              <w:spacing w:after="0"/>
              <w:rPr>
                <w:sz w:val="9"/>
                <w:szCs w:val="9"/>
                <w:color w:val="auto"/>
              </w:rPr>
            </w:pPr>
          </w:p>
        </w:tc>
        <w:tc>
          <w:tcPr>
            <w:tcW w:w="700" w:type="dxa"/>
            <w:vAlign w:val="bottom"/>
            <w:tcBorders>
              <w:top w:val="single" w:sz="8" w:color="auto"/>
            </w:tcBorders>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60" w:type="dxa"/>
            <w:vAlign w:val="bottom"/>
            <w:tcBorders>
              <w:top w:val="single" w:sz="8" w:color="auto"/>
            </w:tcBorders>
            <w:shd w:val="clear" w:color="auto" w:fill="CCECFF"/>
          </w:tcPr>
          <w:p>
            <w:pPr>
              <w:spacing w:after="0"/>
              <w:rPr>
                <w:sz w:val="9"/>
                <w:szCs w:val="9"/>
                <w:color w:val="auto"/>
              </w:rPr>
            </w:pPr>
          </w:p>
        </w:tc>
        <w:tc>
          <w:tcPr>
            <w:tcW w:w="540" w:type="dxa"/>
            <w:vAlign w:val="bottom"/>
            <w:tcBorders>
              <w:top w:val="single" w:sz="8" w:color="auto"/>
            </w:tcBorders>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60" w:type="dxa"/>
            <w:vAlign w:val="bottom"/>
            <w:tcBorders>
              <w:top w:val="single" w:sz="8" w:color="auto"/>
            </w:tcBorders>
            <w:shd w:val="clear" w:color="auto" w:fill="CCECFF"/>
          </w:tcPr>
          <w:p>
            <w:pPr>
              <w:spacing w:after="0"/>
              <w:rPr>
                <w:sz w:val="9"/>
                <w:szCs w:val="9"/>
                <w:color w:val="auto"/>
              </w:rPr>
            </w:pPr>
          </w:p>
        </w:tc>
        <w:tc>
          <w:tcPr>
            <w:tcW w:w="680" w:type="dxa"/>
            <w:vAlign w:val="bottom"/>
            <w:tcBorders>
              <w:top w:val="single" w:sz="8" w:color="auto"/>
            </w:tcBorders>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spacing w:after="0"/>
              <w:rPr>
                <w:sz w:val="12"/>
                <w:szCs w:val="12"/>
                <w:color w:val="auto"/>
              </w:rPr>
            </w:pP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14.17 %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L+1,050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3,323</w:t>
            </w:r>
          </w:p>
        </w:tc>
        <w:tc>
          <w:tcPr>
            <w:tcW w:w="2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2,903</w:t>
            </w:r>
          </w:p>
        </w:tc>
        <w:tc>
          <w:tcPr>
            <w:tcW w:w="1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3,323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16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(PIK 10.50%)</w:t>
            </w:r>
          </w:p>
        </w:tc>
        <w:tc>
          <w:tcPr>
            <w:tcW w:w="5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Pragmatic Institute, LLC - Unfunded Term Loan</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07/06/2028</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2,290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Pragmatic Institute, LLC (Revolver)</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07/06/2028</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9.30 %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Pragmatic Institute, LLC (Revolver) </w:t>
            </w:r>
            <w:r>
              <w:rPr>
                <w:rFonts w:ascii="Times New Roman" w:cs="Times New Roman" w:eastAsia="Times New Roman" w:hAnsi="Times New Roman"/>
                <w:sz w:val="14"/>
                <w:szCs w:val="14"/>
                <w:color w:val="auto"/>
                <w:vertAlign w:val="superscript"/>
              </w:rPr>
              <w:t>(9)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07/06/2028</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780" w:type="dxa"/>
            <w:vAlign w:val="bottom"/>
            <w:gridSpan w:val="2"/>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11/19/2026</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9.92 %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4,706</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4,632</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4,612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6"/>
              <w:spacing w:after="0"/>
              <w:rPr>
                <w:sz w:val="20"/>
                <w:szCs w:val="20"/>
                <w:color w:val="auto"/>
              </w:rPr>
            </w:pPr>
            <w:r>
              <w:rPr>
                <w:rFonts w:ascii="Times New Roman" w:cs="Times New Roman" w:eastAsia="Times New Roman" w:hAnsi="Times New Roman"/>
                <w:sz w:val="11"/>
                <w:szCs w:val="11"/>
                <w:color w:val="auto"/>
                <w:w w:val="95"/>
              </w:rPr>
              <w:t>11/19/2026</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9.51 %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11/19/2026</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4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402</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Questex,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09/09/2024</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7.45 %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7,146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09/09/2024</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1,197</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Rancho Health MSO,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12/18/2025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7.75 %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12/18/2025</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4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01/29/2026</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9.92 %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01/29/2026</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9.92 %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01/29/2026</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Inc. and Dynata, LLC</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12/20/2024</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8.84 %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17,142</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16,985</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06/20/2025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8.65 %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7,980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06/20/2025</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03/10/2025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9.95 %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15,356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15,201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01/03/2025</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7,105</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7,034</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7,034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01/03/2025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12/20/2024</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8.62 %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3,487</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3,462</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3,452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 (Revolver)</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12/20/2024</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8.28 %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14"/>
                <w:szCs w:val="14"/>
                <w:color w:val="auto"/>
                <w:vertAlign w:val="superscript"/>
              </w:rPr>
              <w:t>(9)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12/20/2024</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Schlesinger Global, Inc.</w:t>
            </w:r>
          </w:p>
        </w:tc>
        <w:tc>
          <w:tcPr>
            <w:tcW w:w="7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9"/>
              </w:rPr>
              <w:t>07/14/2025</w:t>
            </w:r>
          </w:p>
        </w:tc>
        <w:tc>
          <w:tcPr>
            <w:tcW w:w="80" w:type="dxa"/>
            <w:vAlign w:val="bottom"/>
          </w:tcPr>
          <w:p>
            <w:pPr>
              <w:spacing w:after="0"/>
              <w:rPr>
                <w:sz w:val="10"/>
                <w:szCs w:val="10"/>
                <w:color w:val="auto"/>
              </w:rPr>
            </w:pPr>
          </w:p>
        </w:tc>
        <w:tc>
          <w:tcPr>
            <w:tcW w:w="3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ind w:left="140"/>
              <w:spacing w:after="0" w:line="122" w:lineRule="exact"/>
              <w:rPr>
                <w:sz w:val="20"/>
                <w:szCs w:val="20"/>
                <w:color w:val="auto"/>
              </w:rPr>
            </w:pPr>
            <w:r>
              <w:rPr>
                <w:rFonts w:ascii="Times New Roman" w:cs="Times New Roman" w:eastAsia="Times New Roman" w:hAnsi="Times New Roman"/>
                <w:sz w:val="11"/>
                <w:szCs w:val="11"/>
                <w:color w:val="auto"/>
              </w:rPr>
              <w:t>SOFR +</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10.27 %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14,560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14,467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Schlesinger Global, Inc. (Revolver)</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07/14/2025</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10.14 %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1,487</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1,487</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Schlesinger Global,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07/14/2025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(10 )</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Seaway Buyer, LLC</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06/13/2029</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9.41 %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6,940</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6,836</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12/18/2025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12.17 %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10,969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10,742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12/18/2025</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12.17 %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996</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996</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12/18/2025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05/03/2024</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10.17 %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10,358</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10,301</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10,280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05/03/2024</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1,747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Smile Brands Inc.</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10/14/2025</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7.42 %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2,462</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2,462</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2,370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Smile Brands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10/14/2025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(57 )</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Smile Brands Inc. LC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10/14/2025</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4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01/17/2024</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5,740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01/17/2024</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(40 )</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Spear Education,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02/26/2025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9.42 %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14,747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14,642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160" w:type="dxa"/>
            <w:vAlign w:val="bottom"/>
            <w:shd w:val="clear" w:color="auto" w:fill="CCECFF"/>
          </w:tcPr>
          <w:p>
            <w:pPr>
              <w:ind w:left="20"/>
              <w:spacing w:after="0" w:line="125" w:lineRule="exact"/>
              <w:rPr>
                <w:sz w:val="20"/>
                <w:szCs w:val="20"/>
                <w:color w:val="auto"/>
              </w:rPr>
            </w:pPr>
            <w:r>
              <w:rPr>
                <w:rFonts w:ascii="Times New Roman" w:cs="Times New Roman" w:eastAsia="Times New Roman" w:hAnsi="Times New Roman"/>
                <w:sz w:val="11"/>
                <w:szCs w:val="11"/>
                <w:color w:val="auto"/>
              </w:rPr>
              <w:t>Spendmend Holdings LLC</w:t>
            </w:r>
          </w:p>
        </w:tc>
        <w:tc>
          <w:tcPr>
            <w:tcW w:w="780" w:type="dxa"/>
            <w:vAlign w:val="bottom"/>
            <w:gridSpan w:val="2"/>
            <w:shd w:val="clear" w:color="auto" w:fill="CCECFF"/>
          </w:tcPr>
          <w:p>
            <w:pPr>
              <w:jc w:val="center"/>
              <w:ind w:left="26"/>
              <w:spacing w:after="0" w:line="125" w:lineRule="exact"/>
              <w:rPr>
                <w:sz w:val="20"/>
                <w:szCs w:val="20"/>
                <w:color w:val="auto"/>
              </w:rPr>
            </w:pPr>
            <w:r>
              <w:rPr>
                <w:rFonts w:ascii="Times New Roman" w:cs="Times New Roman" w:eastAsia="Times New Roman" w:hAnsi="Times New Roman"/>
                <w:sz w:val="11"/>
                <w:szCs w:val="11"/>
                <w:color w:val="auto"/>
                <w:w w:val="99"/>
              </w:rPr>
              <w:t>03/01/2028</w:t>
            </w:r>
          </w:p>
        </w:tc>
        <w:tc>
          <w:tcPr>
            <w:tcW w:w="80" w:type="dxa"/>
            <w:vAlign w:val="bottom"/>
            <w:shd w:val="clear" w:color="auto" w:fill="CCECFF"/>
          </w:tcPr>
          <w:p>
            <w:pPr>
              <w:spacing w:after="0"/>
              <w:rPr>
                <w:sz w:val="10"/>
                <w:szCs w:val="10"/>
                <w:color w:val="auto"/>
              </w:rPr>
            </w:pPr>
          </w:p>
        </w:tc>
        <w:tc>
          <w:tcPr>
            <w:tcW w:w="3040" w:type="dxa"/>
            <w:vAlign w:val="bottom"/>
            <w:shd w:val="clear" w:color="auto" w:fill="CCECFF"/>
          </w:tcPr>
          <w:p>
            <w:pPr>
              <w:jc w:val="center"/>
              <w:spacing w:after="0" w:line="125" w:lineRule="exact"/>
              <w:rPr>
                <w:sz w:val="20"/>
                <w:szCs w:val="20"/>
                <w:color w:val="auto"/>
              </w:rPr>
            </w:pPr>
            <w:r>
              <w:rPr>
                <w:rFonts w:ascii="Times New Roman" w:cs="Times New Roman" w:eastAsia="Times New Roman" w:hAnsi="Times New Roman"/>
                <w:sz w:val="11"/>
                <w:szCs w:val="11"/>
                <w:color w:val="auto"/>
                <w:w w:val="97"/>
              </w:rPr>
              <w:t>Healthcare Technology</w:t>
            </w:r>
          </w:p>
        </w:tc>
        <w:tc>
          <w:tcPr>
            <w:tcW w:w="4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ind w:left="140"/>
              <w:spacing w:after="0" w:line="125" w:lineRule="exact"/>
              <w:rPr>
                <w:sz w:val="20"/>
                <w:szCs w:val="20"/>
                <w:color w:val="auto"/>
              </w:rPr>
            </w:pPr>
            <w:r>
              <w:rPr>
                <w:rFonts w:ascii="Times New Roman" w:cs="Times New Roman" w:eastAsia="Times New Roman" w:hAnsi="Times New Roman"/>
                <w:sz w:val="11"/>
                <w:szCs w:val="11"/>
                <w:color w:val="auto"/>
              </w:rPr>
              <w:t>SOFR +</w:t>
            </w:r>
          </w:p>
        </w:tc>
        <w:tc>
          <w:tcPr>
            <w:tcW w:w="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5" w:lineRule="exact"/>
              <w:rPr>
                <w:sz w:val="20"/>
                <w:szCs w:val="20"/>
                <w:color w:val="auto"/>
              </w:rPr>
            </w:pPr>
            <w:r>
              <w:rPr>
                <w:rFonts w:ascii="Times New Roman" w:cs="Times New Roman" w:eastAsia="Times New Roman" w:hAnsi="Times New Roman"/>
                <w:sz w:val="11"/>
                <w:szCs w:val="11"/>
                <w:color w:val="auto"/>
              </w:rPr>
              <w:t>3,179</w:t>
            </w: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spacing w:after="0"/>
              <w:rPr>
                <w:sz w:val="12"/>
                <w:szCs w:val="12"/>
                <w:color w:val="auto"/>
              </w:rPr>
            </w:pP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8.63 %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3,216</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3,126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Spendmend Holdings LLC </w:t>
            </w:r>
            <w:r>
              <w:rPr>
                <w:rFonts w:ascii="Times New Roman" w:cs="Times New Roman" w:eastAsia="Times New Roman" w:hAnsi="Times New Roman"/>
                <w:sz w:val="14"/>
                <w:szCs w:val="14"/>
                <w:color w:val="auto"/>
                <w:vertAlign w:val="superscript"/>
              </w:rPr>
              <w:t>(9)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03/01/2023</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1,771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(36 )</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Spendmend Holdings LLC (Revolver)</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03/01/2028</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8.63 %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Spendmend Holdings LLC (Revolver) </w:t>
            </w:r>
            <w:r>
              <w:rPr>
                <w:rFonts w:ascii="Times New Roman" w:cs="Times New Roman" w:eastAsia="Times New Roman" w:hAnsi="Times New Roman"/>
                <w:sz w:val="14"/>
                <w:szCs w:val="14"/>
                <w:color w:val="auto"/>
                <w:vertAlign w:val="superscript"/>
              </w:rPr>
              <w:t>(9)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03/01/2028</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780" w:type="dxa"/>
            <w:vAlign w:val="bottom"/>
            <w:gridSpan w:val="2"/>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12/11/2026</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8.37 %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4,752</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4,718</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4,704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System Planning and Analysis, Inc.</w:t>
            </w:r>
          </w:p>
        </w:tc>
        <w:tc>
          <w:tcPr>
            <w:tcW w:w="7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9"/>
              </w:rPr>
              <w:t>08/16/2027</w:t>
            </w:r>
          </w:p>
        </w:tc>
        <w:tc>
          <w:tcPr>
            <w:tcW w:w="80" w:type="dxa"/>
            <w:vAlign w:val="bottom"/>
          </w:tcPr>
          <w:p>
            <w:pPr>
              <w:spacing w:after="0"/>
              <w:rPr>
                <w:sz w:val="10"/>
                <w:szCs w:val="10"/>
                <w:color w:val="auto"/>
              </w:rPr>
            </w:pPr>
          </w:p>
        </w:tc>
        <w:tc>
          <w:tcPr>
            <w:tcW w:w="3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4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8.73 %</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SOFR+600</w:t>
            </w:r>
          </w:p>
        </w:tc>
        <w:tc>
          <w:tcPr>
            <w:tcW w:w="8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18,560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18,237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18,263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(f/k/a Management Consulting &amp; Research, LLC)</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System Planning and Analysis, Inc. (Revolver)</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08/16/2027</w:t>
            </w:r>
          </w:p>
        </w:tc>
        <w:tc>
          <w:tcPr>
            <w:tcW w:w="80" w:type="dxa"/>
            <w:vAlign w:val="bottom"/>
            <w:shd w:val="clear" w:color="auto" w:fill="CCECFF"/>
          </w:tcPr>
          <w:p>
            <w:pPr>
              <w:spacing w:after="0"/>
              <w:rPr>
                <w:sz w:val="10"/>
                <w:szCs w:val="10"/>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shd w:val="clear" w:color="auto" w:fill="CCECFF"/>
          </w:tcPr>
          <w:p>
            <w:pPr>
              <w:spacing w:after="0"/>
              <w:rPr>
                <w:sz w:val="10"/>
                <w:szCs w:val="10"/>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5,188</w:t>
            </w: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(83 )</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rPr>
              <w:t>(f/k/a Management Consulting &amp; Research, LLC)</w:t>
            </w: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07/18/2025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Diversified Financial Services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8.38 %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5,793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5,718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10/31/2025</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9.55 %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4,921</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4,868</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4,872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07/27/2026</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10.67 %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6,265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6,162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The Bluebird Group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07/27/2026</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Infosoft Group,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09/16/2024</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8.51 %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15,229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15,120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08/30/2027</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8.18 %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2,159</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2,122</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2,148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08/30/2027</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 (Revolver)</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08/30/2027</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8.26 %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The Vertex Companies,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08/30/2027</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TPC Canada Parent, Inc. and TPC US Parent, LLC </w:t>
            </w:r>
            <w:r>
              <w:rPr>
                <w:rFonts w:ascii="Times New Roman" w:cs="Times New Roman" w:eastAsia="Times New Roman" w:hAnsi="Times New Roman"/>
                <w:sz w:val="14"/>
                <w:szCs w:val="14"/>
                <w:color w:val="auto"/>
                <w:vertAlign w:val="superscript"/>
              </w:rPr>
              <w:t>(5), (10)</w:t>
            </w:r>
          </w:p>
        </w:tc>
        <w:tc>
          <w:tcPr>
            <w:tcW w:w="780" w:type="dxa"/>
            <w:vAlign w:val="bottom"/>
            <w:gridSpan w:val="2"/>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5"/>
              </w:rPr>
              <w:t>11/24/2025</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Food Products</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7.78 %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4,863</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4,834</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4,717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03/26/2026</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24,721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24,378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03/26/2026</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06/16/2025</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8.76 %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5,468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06/16/2025</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2,628</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04/01/2028</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7.76 %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12,644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12,487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04/01/2026</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1,040</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(74 )</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04/03/2024</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7.60 %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17,926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17,860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UBEO, LLC (Revolver)</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04/03/2024</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9.00 %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L+275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587</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587</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UBEO, LLC (Revolver) </w:t>
            </w:r>
            <w:r>
              <w:rPr>
                <w:rFonts w:ascii="Times New Roman" w:cs="Times New Roman" w:eastAsia="Times New Roman" w:hAnsi="Times New Roman"/>
                <w:sz w:val="14"/>
                <w:szCs w:val="14"/>
                <w:color w:val="auto"/>
                <w:vertAlign w:val="superscript"/>
              </w:rPr>
              <w:t>(9)</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04/03/2024</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2,347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(35 )</w:t>
            </w:r>
          </w:p>
        </w:tc>
        <w:tc>
          <w:tcPr>
            <w:tcW w:w="0" w:type="dxa"/>
            <w:vAlign w:val="bottom"/>
          </w:tcPr>
          <w:p>
            <w:pPr>
              <w:spacing w:after="0"/>
              <w:rPr>
                <w:sz w:val="1"/>
                <w:szCs w:val="1"/>
                <w:color w:val="auto"/>
              </w:rPr>
            </w:pPr>
          </w:p>
        </w:tc>
      </w:tr>
      <w:tr>
        <w:trPr>
          <w:trHeight w:val="121"/>
        </w:trPr>
        <w:tc>
          <w:tcPr>
            <w:tcW w:w="316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Unique Indoor Comfort, LLC</w:t>
            </w:r>
          </w:p>
        </w:tc>
        <w:tc>
          <w:tcPr>
            <w:tcW w:w="780" w:type="dxa"/>
            <w:vAlign w:val="bottom"/>
            <w:gridSpan w:val="2"/>
            <w:shd w:val="clear" w:color="auto" w:fill="CCECFF"/>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9"/>
              </w:rPr>
              <w:t>05/24/2027</w:t>
            </w:r>
          </w:p>
        </w:tc>
        <w:tc>
          <w:tcPr>
            <w:tcW w:w="80" w:type="dxa"/>
            <w:vAlign w:val="bottom"/>
            <w:shd w:val="clear" w:color="auto" w:fill="CCECFF"/>
          </w:tcPr>
          <w:p>
            <w:pPr>
              <w:spacing w:after="0"/>
              <w:rPr>
                <w:sz w:val="10"/>
                <w:szCs w:val="10"/>
                <w:color w:val="auto"/>
              </w:rPr>
            </w:pPr>
          </w:p>
        </w:tc>
        <w:tc>
          <w:tcPr>
            <w:tcW w:w="30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Diversified Consumer Services</w:t>
            </w:r>
          </w:p>
        </w:tc>
        <w:tc>
          <w:tcPr>
            <w:tcW w:w="4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 +</w:t>
            </w:r>
          </w:p>
        </w:tc>
        <w:tc>
          <w:tcPr>
            <w:tcW w:w="120" w:type="dxa"/>
            <w:vAlign w:val="bottom"/>
            <w:shd w:val="clear" w:color="auto" w:fill="CCECFF"/>
          </w:tcPr>
          <w:p>
            <w:pPr>
              <w:spacing w:after="0"/>
              <w:rPr>
                <w:sz w:val="10"/>
                <w:szCs w:val="10"/>
                <w:color w:val="auto"/>
              </w:rPr>
            </w:pPr>
          </w:p>
        </w:tc>
        <w:tc>
          <w:tcPr>
            <w:tcW w:w="7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9,126</w:t>
            </w: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9,014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spacing w:after="0"/>
              <w:rPr>
                <w:sz w:val="12"/>
                <w:szCs w:val="12"/>
                <w:color w:val="auto"/>
              </w:rPr>
            </w:pP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8.95 %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9,217</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Unique Indoor Comfort, LLC Term Loan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05/24/2027</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4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10,760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(129 )</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Unique Indoor Comfort, LLC (Revolver) </w:t>
            </w:r>
            <w:r>
              <w:rPr>
                <w:rFonts w:ascii="Times New Roman" w:cs="Times New Roman" w:eastAsia="Times New Roman" w:hAnsi="Times New Roman"/>
                <w:sz w:val="14"/>
                <w:szCs w:val="14"/>
                <w:color w:val="auto"/>
                <w:vertAlign w:val="superscript"/>
              </w:rPr>
              <w:t>(7), (9)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05/24/2027</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4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(44 )</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03/31/2027</w:t>
            </w: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04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12.42 %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L+875</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12,684</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12,434</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8,474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02/27/2026</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9.38 %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9,853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9,717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14"/>
                <w:szCs w:val="14"/>
                <w:color w:val="auto"/>
                <w:vertAlign w:val="superscript"/>
              </w:rPr>
              <w:t>(9)</w:t>
            </w:r>
          </w:p>
        </w:tc>
        <w:tc>
          <w:tcPr>
            <w:tcW w:w="78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9"/>
              </w:rPr>
              <w:t>02/27/2026</w:t>
            </w:r>
          </w:p>
        </w:tc>
        <w:tc>
          <w:tcPr>
            <w:tcW w:w="80" w:type="dxa"/>
            <w:vAlign w:val="bottom"/>
            <w:shd w:val="clear" w:color="auto" w:fill="CCECFF"/>
          </w:tcPr>
          <w:p>
            <w:pPr>
              <w:spacing w:after="0"/>
              <w:rPr>
                <w:sz w:val="13"/>
                <w:szCs w:val="13"/>
                <w:color w:val="auto"/>
              </w:rPr>
            </w:pPr>
          </w:p>
        </w:tc>
        <w:tc>
          <w:tcPr>
            <w:tcW w:w="30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4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03/01/2024</w:t>
            </w:r>
          </w:p>
        </w:tc>
        <w:tc>
          <w:tcPr>
            <w:tcW w:w="8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10.30 %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13,428</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13,284</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1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304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7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815,742</w:t>
            </w:r>
          </w:p>
        </w:tc>
        <w:tc>
          <w:tcPr>
            <w:tcW w:w="1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789,107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Debt—0%</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 xml:space="preserve">0.00 % </w:t>
            </w:r>
            <w:r>
              <w:rPr>
                <w:rFonts w:ascii="Times New Roman" w:cs="Times New Roman" w:eastAsia="Times New Roman" w:hAnsi="Times New Roman"/>
                <w:sz w:val="14"/>
                <w:szCs w:val="14"/>
                <w:color w:val="auto"/>
                <w:vertAlign w:val="superscript"/>
              </w:rPr>
              <w:t>(6)</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60" w:type="dxa"/>
            <w:vAlign w:val="bottom"/>
            <w:shd w:val="clear" w:color="auto" w:fill="CCECFF"/>
          </w:tcPr>
          <w:p>
            <w:pPr>
              <w:ind w:left="20"/>
              <w:spacing w:after="0" w:line="155" w:lineRule="exact"/>
              <w:rPr>
                <w:sz w:val="20"/>
                <w:szCs w:val="20"/>
                <w:color w:val="auto"/>
              </w:rPr>
            </w:pPr>
            <w:r>
              <w:rPr>
                <w:rFonts w:ascii="Times New Roman" w:cs="Times New Roman" w:eastAsia="Times New Roman" w:hAnsi="Times New Roman"/>
                <w:sz w:val="11"/>
                <w:szCs w:val="11"/>
                <w:color w:val="auto"/>
              </w:rPr>
              <w:t xml:space="preserve">Mailsouth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9"/>
              </w:rPr>
              <w:t>04/23/2025</w:t>
            </w:r>
          </w:p>
        </w:tc>
        <w:tc>
          <w:tcPr>
            <w:tcW w:w="80" w:type="dxa"/>
            <w:vAlign w:val="bottom"/>
          </w:tcPr>
          <w:p>
            <w:pPr>
              <w:spacing w:after="0"/>
              <w:rPr>
                <w:sz w:val="13"/>
                <w:szCs w:val="13"/>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1040" w:type="dxa"/>
            <w:vAlign w:val="bottom"/>
            <w:gridSpan w:val="3"/>
            <w:vMerge w:val="continue"/>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304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10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(PIK 15.00%)</w:t>
            </w: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QuantiTech LLC</w:t>
            </w:r>
          </w:p>
        </w:tc>
        <w:tc>
          <w:tcPr>
            <w:tcW w:w="780" w:type="dxa"/>
            <w:vAlign w:val="bottom"/>
            <w:gridSpan w:val="2"/>
          </w:tcPr>
          <w:p>
            <w:pPr>
              <w:jc w:val="center"/>
              <w:ind w:left="26"/>
              <w:spacing w:after="0" w:line="122" w:lineRule="exact"/>
              <w:rPr>
                <w:sz w:val="20"/>
                <w:szCs w:val="20"/>
                <w:color w:val="auto"/>
              </w:rPr>
            </w:pPr>
            <w:r>
              <w:rPr>
                <w:rFonts w:ascii="Times New Roman" w:cs="Times New Roman" w:eastAsia="Times New Roman" w:hAnsi="Times New Roman"/>
                <w:sz w:val="11"/>
                <w:szCs w:val="11"/>
                <w:color w:val="auto"/>
                <w:w w:val="99"/>
              </w:rPr>
              <w:t>02/04/2027</w:t>
            </w:r>
          </w:p>
        </w:tc>
        <w:tc>
          <w:tcPr>
            <w:tcW w:w="80" w:type="dxa"/>
            <w:vAlign w:val="bottom"/>
          </w:tcPr>
          <w:p>
            <w:pPr>
              <w:spacing w:after="0"/>
              <w:rPr>
                <w:sz w:val="10"/>
                <w:szCs w:val="10"/>
                <w:color w:val="auto"/>
              </w:rPr>
            </w:pPr>
          </w:p>
        </w:tc>
        <w:tc>
          <w:tcPr>
            <w:tcW w:w="30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12.68 %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L+1,000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6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304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7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1,113</w:t>
            </w:r>
          </w:p>
        </w:tc>
        <w:tc>
          <w:tcPr>
            <w:tcW w:w="1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974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Spread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gridSpan w:val="2"/>
          </w:tcPr>
          <w:p>
            <w:pPr>
              <w:jc w:val="right"/>
              <w:ind w:right="30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6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140" w:type="dxa"/>
            <w:vAlign w:val="bottom"/>
          </w:tcPr>
          <w:p>
            <w:pPr>
              <w:spacing w:after="0"/>
              <w:rPr>
                <w:sz w:val="9"/>
                <w:szCs w:val="9"/>
                <w:color w:val="auto"/>
              </w:rPr>
            </w:pPr>
          </w:p>
        </w:tc>
        <w:tc>
          <w:tcPr>
            <w:tcW w:w="70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62"/>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0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4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40" w:type="dxa"/>
            <w:vAlign w:val="bottom"/>
          </w:tcPr>
          <w:p>
            <w:pPr>
              <w:spacing w:after="0"/>
              <w:rPr>
                <w:sz w:val="14"/>
                <w:szCs w:val="14"/>
                <w:color w:val="auto"/>
              </w:rPr>
            </w:pPr>
          </w:p>
        </w:tc>
        <w:tc>
          <w:tcPr>
            <w:tcW w:w="70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Borders>
              <w:top w:val="single" w:sz="8" w:color="auto"/>
            </w:tcBorders>
            <w:shd w:val="clear" w:color="auto" w:fill="CCECFF"/>
          </w:tcPr>
          <w:p>
            <w:pPr>
              <w:ind w:left="2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Preferred Equity— 1.6% </w:t>
            </w:r>
            <w:r>
              <w:rPr>
                <w:rFonts w:ascii="Times New Roman" w:cs="Times New Roman" w:eastAsia="Times New Roman" w:hAnsi="Times New Roman"/>
                <w:sz w:val="14"/>
                <w:szCs w:val="14"/>
                <w:b w:val="1"/>
                <w:bCs w:val="1"/>
                <w:color w:val="auto"/>
                <w:vertAlign w:val="superscript"/>
              </w:rPr>
              <w:t>(6)</w:t>
            </w:r>
          </w:p>
        </w:tc>
        <w:tc>
          <w:tcPr>
            <w:tcW w:w="40" w:type="dxa"/>
            <w:vAlign w:val="bottom"/>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3080" w:type="dxa"/>
            <w:vAlign w:val="bottom"/>
            <w:tcBorders>
              <w:top w:val="single" w:sz="8" w:color="auto"/>
            </w:tcBorders>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780" w:type="dxa"/>
            <w:vAlign w:val="bottom"/>
            <w:tcBorders>
              <w:top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(7),(8)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6,720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Imagine Topco, LP</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8.00 %</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1,236,027</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1,236</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1,170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Anteriad Holdings, LP (f/k/a MeritDirect Holdings, LP) </w:t>
            </w:r>
            <w:r>
              <w:rPr>
                <w:rFonts w:ascii="Times New Roman" w:cs="Times New Roman" w:eastAsia="Times New Roman" w:hAnsi="Times New Roman"/>
                <w:sz w:val="14"/>
                <w:szCs w:val="14"/>
                <w:color w:val="auto"/>
                <w:vertAlign w:val="superscript"/>
              </w:rPr>
              <w:t>(7), (8)</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NXOF Holdings, Inc. (Tyto Athene, LLC)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ORL Holdco, Inc.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1,327</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12.00 %</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(5), (7), (10)</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Food Products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TWD Parent Holdings, LLC (The Vertex Companies, LLC)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UniTek Global Services, Inc. -</w:t>
            </w:r>
          </w:p>
        </w:tc>
        <w:tc>
          <w:tcPr>
            <w:tcW w:w="40" w:type="dxa"/>
            <w:vAlign w:val="bottom"/>
            <w:shd w:val="clear" w:color="auto" w:fill="CCECFF"/>
          </w:tcPr>
          <w:p>
            <w:pPr>
              <w:spacing w:after="0"/>
              <w:rPr>
                <w:sz w:val="11"/>
                <w:szCs w:val="11"/>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1"/>
                <w:szCs w:val="11"/>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20.00 %</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343,861</w:t>
            </w:r>
          </w:p>
        </w:tc>
        <w:tc>
          <w:tcPr>
            <w:tcW w:w="1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31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Super Senior Preferred Equity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30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UniTek Global Services, Inc. - Senior Preferred Equity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19.00 %</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448,851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13.50 %</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1,047,317</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316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w:t>
            </w:r>
          </w:p>
        </w:tc>
        <w:tc>
          <w:tcPr>
            <w:tcW w:w="40" w:type="dxa"/>
            <w:vAlign w:val="bottom"/>
            <w:tcBorders>
              <w:top w:val="single" w:sz="8" w:color="CCECFF"/>
            </w:tcBorders>
          </w:tcPr>
          <w:p>
            <w:pPr>
              <w:spacing w:after="0"/>
              <w:rPr>
                <w:sz w:val="11"/>
                <w:szCs w:val="11"/>
                <w:color w:val="auto"/>
              </w:rPr>
            </w:pPr>
          </w:p>
        </w:tc>
        <w:tc>
          <w:tcPr>
            <w:tcW w:w="540" w:type="dxa"/>
            <w:vAlign w:val="bottom"/>
            <w:tcBorders>
              <w:top w:val="single" w:sz="8" w:color="CCECFF"/>
            </w:tcBorders>
          </w:tcPr>
          <w:p>
            <w:pPr>
              <w:spacing w:after="0"/>
              <w:rPr>
                <w:sz w:val="11"/>
                <w:szCs w:val="11"/>
                <w:color w:val="auto"/>
              </w:rPr>
            </w:pPr>
          </w:p>
        </w:tc>
        <w:tc>
          <w:tcPr>
            <w:tcW w:w="200" w:type="dxa"/>
            <w:vAlign w:val="bottom"/>
            <w:tcBorders>
              <w:top w:val="single" w:sz="8" w:color="CCECFF"/>
            </w:tcBorders>
          </w:tcPr>
          <w:p>
            <w:pPr>
              <w:spacing w:after="0"/>
              <w:rPr>
                <w:sz w:val="11"/>
                <w:szCs w:val="11"/>
                <w:color w:val="auto"/>
              </w:rPr>
            </w:pPr>
          </w:p>
        </w:tc>
        <w:tc>
          <w:tcPr>
            <w:tcW w:w="3080" w:type="dxa"/>
            <w:vAlign w:val="bottom"/>
            <w:tcBorders>
              <w:top w:val="single" w:sz="8" w:color="CCECFF"/>
            </w:tcBorders>
          </w:tcPr>
          <w:p>
            <w:pPr>
              <w:spacing w:after="0"/>
              <w:rPr>
                <w:sz w:val="11"/>
                <w:szCs w:val="11"/>
                <w:color w:val="auto"/>
              </w:rPr>
            </w:pPr>
          </w:p>
        </w:tc>
        <w:tc>
          <w:tcPr>
            <w:tcW w:w="40" w:type="dxa"/>
            <w:vAlign w:val="bottom"/>
            <w:tcBorders>
              <w:top w:val="single" w:sz="8" w:color="CCECFF"/>
            </w:tcBorders>
          </w:tcPr>
          <w:p>
            <w:pPr>
              <w:spacing w:after="0"/>
              <w:rPr>
                <w:sz w:val="11"/>
                <w:szCs w:val="11"/>
                <w:color w:val="auto"/>
              </w:rPr>
            </w:pPr>
          </w:p>
        </w:tc>
        <w:tc>
          <w:tcPr>
            <w:tcW w:w="780" w:type="dxa"/>
            <w:vAlign w:val="bottom"/>
            <w:tcBorders>
              <w:top w:val="single" w:sz="8" w:color="CCECFF"/>
            </w:tcBorders>
          </w:tcPr>
          <w:p>
            <w:pPr>
              <w:spacing w:after="0"/>
              <w:rPr>
                <w:sz w:val="11"/>
                <w:szCs w:val="11"/>
                <w:color w:val="auto"/>
              </w:rPr>
            </w:pPr>
          </w:p>
        </w:tc>
        <w:tc>
          <w:tcPr>
            <w:tcW w:w="100" w:type="dxa"/>
            <w:vAlign w:val="bottom"/>
            <w:tcBorders>
              <w:top w:val="single" w:sz="8" w:color="CCECFF"/>
            </w:tcBorders>
          </w:tcPr>
          <w:p>
            <w:pPr>
              <w:spacing w:after="0"/>
              <w:rPr>
                <w:sz w:val="11"/>
                <w:szCs w:val="11"/>
                <w:color w:val="auto"/>
              </w:rPr>
            </w:pPr>
          </w:p>
        </w:tc>
        <w:tc>
          <w:tcPr>
            <w:tcW w:w="620" w:type="dxa"/>
            <w:vAlign w:val="bottom"/>
            <w:tcBorders>
              <w:top w:val="single" w:sz="8" w:color="CCECFF"/>
            </w:tcBorders>
          </w:tcPr>
          <w:p>
            <w:pPr>
              <w:spacing w:after="0"/>
              <w:rPr>
                <w:sz w:val="11"/>
                <w:szCs w:val="11"/>
                <w:color w:val="auto"/>
              </w:rPr>
            </w:pPr>
          </w:p>
        </w:tc>
        <w:tc>
          <w:tcPr>
            <w:tcW w:w="140" w:type="dxa"/>
            <w:vAlign w:val="bottom"/>
            <w:tcBorders>
              <w:top w:val="single" w:sz="8" w:color="CCECFF"/>
            </w:tcBorders>
          </w:tcPr>
          <w:p>
            <w:pPr>
              <w:spacing w:after="0"/>
              <w:rPr>
                <w:sz w:val="11"/>
                <w:szCs w:val="11"/>
                <w:color w:val="auto"/>
              </w:rPr>
            </w:pPr>
          </w:p>
        </w:tc>
        <w:tc>
          <w:tcPr>
            <w:tcW w:w="700" w:type="dxa"/>
            <w:vAlign w:val="bottom"/>
            <w:tcBorders>
              <w:top w:val="single" w:sz="8" w:color="CCECFF"/>
            </w:tcBorders>
          </w:tcPr>
          <w:p>
            <w:pPr>
              <w:spacing w:after="0"/>
              <w:rPr>
                <w:sz w:val="11"/>
                <w:szCs w:val="11"/>
                <w:color w:val="auto"/>
              </w:rPr>
            </w:pPr>
          </w:p>
        </w:tc>
        <w:tc>
          <w:tcPr>
            <w:tcW w:w="140" w:type="dxa"/>
            <w:vAlign w:val="bottom"/>
            <w:tcBorders>
              <w:top w:val="single" w:sz="8" w:color="CCEC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8,859</w:t>
            </w:r>
          </w:p>
        </w:tc>
        <w:tc>
          <w:tcPr>
            <w:tcW w:w="120" w:type="dxa"/>
            <w:vAlign w:val="bottom"/>
            <w:tcBorders>
              <w:top w:val="single" w:sz="8" w:color="CCEC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8,446</w:t>
            </w:r>
          </w:p>
        </w:tc>
        <w:tc>
          <w:tcPr>
            <w:tcW w:w="100" w:type="dxa"/>
            <w:vAlign w:val="bottom"/>
            <w:tcBorders>
              <w:top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Common Equity/Warrants— 18.1% </w:t>
            </w:r>
            <w:r>
              <w:rPr>
                <w:rFonts w:ascii="Times New Roman" w:cs="Times New Roman" w:eastAsia="Times New Roman" w:hAnsi="Times New Roman"/>
                <w:sz w:val="14"/>
                <w:szCs w:val="14"/>
                <w:b w:val="1"/>
                <w:bCs w:val="1"/>
                <w:color w:val="auto"/>
                <w:vertAlign w:val="superscript"/>
              </w:rPr>
              <w:t>(6)</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(7),(8)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7,467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Affinion Group Holdings, Inc. (Warrants)</w:t>
            </w:r>
            <w:r>
              <w:rPr>
                <w:rFonts w:ascii="Times New Roman" w:cs="Times New Roman" w:eastAsia="Times New Roman" w:hAnsi="Times New Roman"/>
                <w:sz w:val="14"/>
                <w:szCs w:val="14"/>
                <w:color w:val="auto"/>
                <w:vertAlign w:val="superscript"/>
              </w:rPr>
              <w:t>(7)</w:t>
            </w:r>
          </w:p>
        </w:tc>
        <w:tc>
          <w:tcPr>
            <w:tcW w:w="5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04/10/2024</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8,893</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245</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(8), (9)</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Altamira Intermediate Company II, Inc.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Anteriad Holdings, LP (f/k/a MeritDirect Holdings, LP) </w:t>
            </w:r>
            <w:r>
              <w:rPr>
                <w:rFonts w:ascii="Times New Roman" w:cs="Times New Roman" w:eastAsia="Times New Roman" w:hAnsi="Times New Roman"/>
                <w:sz w:val="14"/>
                <w:szCs w:val="14"/>
                <w:color w:val="auto"/>
                <w:vertAlign w:val="superscript"/>
              </w:rPr>
              <w:t>(7), (8)</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Athletico Holdings, LLC</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4,678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Burgess Point Holdings, LP</w:t>
            </w:r>
          </w:p>
        </w:tc>
        <w:tc>
          <w:tcPr>
            <w:tcW w:w="40" w:type="dxa"/>
            <w:vAlign w:val="bottom"/>
            <w:shd w:val="clear" w:color="auto" w:fill="CCECFF"/>
          </w:tcPr>
          <w:p>
            <w:pPr>
              <w:spacing w:after="0"/>
              <w:rPr>
                <w:sz w:val="13"/>
                <w:szCs w:val="13"/>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Auto Components</w:t>
            </w:r>
          </w:p>
        </w:tc>
        <w:tc>
          <w:tcPr>
            <w:tcW w:w="4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14"/>
                <w:szCs w:val="14"/>
                <w:color w:val="auto"/>
                <w:vertAlign w:val="superscript"/>
              </w:rPr>
              <w:t>(7), (8)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22,090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By Light Investco LP </w:t>
            </w:r>
            <w:r>
              <w:rPr>
                <w:rFonts w:ascii="Times New Roman" w:cs="Times New Roman" w:eastAsia="Times New Roman" w:hAnsi="Times New Roman"/>
                <w:sz w:val="14"/>
                <w:szCs w:val="14"/>
                <w:color w:val="auto"/>
                <w:vertAlign w:val="superscript"/>
              </w:rPr>
              <w:t>(7), (8), (9)</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3,223</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1,437,500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CI (Allied) Investment Holdings, LLC</w:t>
            </w:r>
          </w:p>
        </w:tc>
        <w:tc>
          <w:tcPr>
            <w:tcW w:w="40" w:type="dxa"/>
            <w:vAlign w:val="bottom"/>
            <w:shd w:val="clear" w:color="auto" w:fill="CCECFF"/>
          </w:tcPr>
          <w:p>
            <w:pPr>
              <w:spacing w:after="0"/>
              <w:rPr>
                <w:sz w:val="11"/>
                <w:szCs w:val="11"/>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1"/>
                <w:szCs w:val="11"/>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120,962</w:t>
            </w:r>
          </w:p>
        </w:tc>
        <w:tc>
          <w:tcPr>
            <w:tcW w:w="1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1,243</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14"/>
                <w:szCs w:val="14"/>
                <w:color w:val="auto"/>
                <w:vertAlign w:val="superscript"/>
              </w:rPr>
              <w:t>(7), (8)</w:t>
            </w:r>
          </w:p>
        </w:tc>
        <w:tc>
          <w:tcPr>
            <w:tcW w:w="4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30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Connatix Parent, LLC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38,278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Crane 1 Acquisition Parent Holdings, L.P.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(7), (8)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615,484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(7), (8),(9)</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389,386</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14"/>
                <w:szCs w:val="14"/>
                <w:color w:val="auto"/>
                <w:vertAlign w:val="superscript"/>
              </w:rPr>
              <w:t>(7), (8)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295,982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14"/>
                <w:szCs w:val="14"/>
                <w:color w:val="auto"/>
                <w:vertAlign w:val="superscript"/>
              </w:rPr>
              <w:t>(7), (10)</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Exigo, LLC</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541,667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Express Wash Topco, LLC</w:t>
            </w:r>
          </w:p>
        </w:tc>
        <w:tc>
          <w:tcPr>
            <w:tcW w:w="40" w:type="dxa"/>
            <w:vAlign w:val="bottom"/>
            <w:shd w:val="clear" w:color="auto" w:fill="CCECFF"/>
          </w:tcPr>
          <w:p>
            <w:pPr>
              <w:spacing w:after="0"/>
              <w:rPr>
                <w:sz w:val="13"/>
                <w:szCs w:val="13"/>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4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20,000</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21,083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(7),(8),(9)</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9,488</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Gauge InfosoftCoInvest, LLC</w:t>
            </w:r>
          </w:p>
        </w:tc>
        <w:tc>
          <w:tcPr>
            <w:tcW w:w="4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4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(The Infosoft Group, LLC)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Gauge Lash Coinvest LLC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1,485,953</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7,030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Gauge Schlesinger Coinvest LLC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Gauge TVC Coinvest, LLC (TVC Enterprises, LLC)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391,144</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(7),(8)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19,184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Go Dawgs Capital III, LP</w:t>
            </w:r>
          </w:p>
        </w:tc>
        <w:tc>
          <w:tcPr>
            <w:tcW w:w="40" w:type="dxa"/>
            <w:vAlign w:val="bottom"/>
            <w:shd w:val="clear" w:color="auto" w:fill="CCECFF"/>
          </w:tcPr>
          <w:p>
            <w:pPr>
              <w:spacing w:after="0"/>
              <w:rPr>
                <w:sz w:val="11"/>
                <w:szCs w:val="11"/>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1"/>
                <w:szCs w:val="11"/>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Building Products</w:t>
            </w:r>
          </w:p>
        </w:tc>
        <w:tc>
          <w:tcPr>
            <w:tcW w:w="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324,675</w:t>
            </w:r>
          </w:p>
        </w:tc>
        <w:tc>
          <w:tcPr>
            <w:tcW w:w="1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325</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14"/>
                <w:szCs w:val="14"/>
                <w:color w:val="auto"/>
                <w:vertAlign w:val="superscript"/>
              </w:rPr>
              <w:t>(7), (8)</w:t>
            </w:r>
          </w:p>
        </w:tc>
        <w:tc>
          <w:tcPr>
            <w:tcW w:w="4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30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(7), (8)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Icon Partners V C, L.P.</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1,851,852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Icon Partners V C, L.P. </w:t>
            </w:r>
            <w:r>
              <w:rPr>
                <w:rFonts w:ascii="Times New Roman" w:cs="Times New Roman" w:eastAsia="Times New Roman" w:hAnsi="Times New Roman"/>
                <w:sz w:val="14"/>
                <w:szCs w:val="14"/>
                <w:color w:val="auto"/>
                <w:vertAlign w:val="superscript"/>
              </w:rPr>
              <w:t>(7), (9)</w:t>
            </w:r>
          </w:p>
        </w:tc>
        <w:tc>
          <w:tcPr>
            <w:tcW w:w="40" w:type="dxa"/>
            <w:vAlign w:val="bottom"/>
            <w:shd w:val="clear" w:color="auto" w:fill="CCECFF"/>
          </w:tcPr>
          <w:p>
            <w:pPr>
              <w:spacing w:after="0"/>
              <w:rPr>
                <w:sz w:val="13"/>
                <w:szCs w:val="13"/>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4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648,148</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0"/>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IIN Group Holdings, LLC</w:t>
            </w:r>
          </w:p>
        </w:tc>
        <w:tc>
          <w:tcPr>
            <w:tcW w:w="4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1"/>
                <w:szCs w:val="1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Services</w:t>
            </w:r>
          </w:p>
        </w:tc>
        <w:tc>
          <w:tcPr>
            <w:tcW w:w="4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(Integrative Nutrition, LLC) </w:t>
            </w:r>
            <w:r>
              <w:rPr>
                <w:rFonts w:ascii="Times New Roman" w:cs="Times New Roman" w:eastAsia="Times New Roman" w:hAnsi="Times New Roman"/>
                <w:sz w:val="14"/>
                <w:szCs w:val="14"/>
                <w:color w:val="auto"/>
                <w:vertAlign w:val="superscript"/>
              </w:rPr>
              <w:t>(7), (8)</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Imagine Topco, LP (Common)</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1,236,027</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Ironclad Holdco, LLC (Applied Technical Services, LLC) </w:t>
            </w:r>
            <w:r>
              <w:rPr>
                <w:rFonts w:ascii="Times New Roman" w:cs="Times New Roman" w:eastAsia="Times New Roman" w:hAnsi="Times New Roman"/>
                <w:sz w:val="14"/>
                <w:szCs w:val="14"/>
                <w:color w:val="auto"/>
                <w:vertAlign w:val="superscript"/>
              </w:rPr>
              <w:t>(7), (8)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5,811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ITC Infusion Co-invest, LP</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81,313</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813</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ITC Rumba, LLC (Cano Health, LLC) </w:t>
            </w:r>
            <w:r>
              <w:rPr>
                <w:rFonts w:ascii="Times New Roman" w:cs="Times New Roman" w:eastAsia="Times New Roman" w:hAnsi="Times New Roman"/>
                <w:sz w:val="14"/>
                <w:szCs w:val="14"/>
                <w:color w:val="auto"/>
                <w:vertAlign w:val="superscript"/>
              </w:rPr>
              <w:t>(7),(8)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46,763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JWC-WE Holdings, L.P.</w:t>
            </w:r>
          </w:p>
        </w:tc>
        <w:tc>
          <w:tcPr>
            <w:tcW w:w="40" w:type="dxa"/>
            <w:vAlign w:val="bottom"/>
            <w:shd w:val="clear" w:color="auto" w:fill="CCECFF"/>
          </w:tcPr>
          <w:p>
            <w:pPr>
              <w:spacing w:after="0"/>
              <w:rPr>
                <w:sz w:val="11"/>
                <w:szCs w:val="11"/>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1"/>
                <w:szCs w:val="11"/>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4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1,948</w:t>
            </w:r>
          </w:p>
        </w:tc>
        <w:tc>
          <w:tcPr>
            <w:tcW w:w="1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568</w:t>
            </w:r>
          </w:p>
        </w:tc>
        <w:tc>
          <w:tcPr>
            <w:tcW w:w="1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316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(7), (8)</w:t>
            </w:r>
          </w:p>
        </w:tc>
        <w:tc>
          <w:tcPr>
            <w:tcW w:w="4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30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1,734,775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KL Stockton Co-Invest LP (Any Hour Services) </w:t>
            </w:r>
            <w:r>
              <w:rPr>
                <w:rFonts w:ascii="Times New Roman" w:cs="Times New Roman" w:eastAsia="Times New Roman" w:hAnsi="Times New Roman"/>
                <w:sz w:val="14"/>
                <w:szCs w:val="14"/>
                <w:color w:val="auto"/>
                <w:vertAlign w:val="superscript"/>
              </w:rPr>
              <w:t>(7),(8)</w:t>
            </w:r>
          </w:p>
        </w:tc>
        <w:tc>
          <w:tcPr>
            <w:tcW w:w="40" w:type="dxa"/>
            <w:vAlign w:val="bottom"/>
            <w:shd w:val="clear" w:color="auto" w:fill="CCECFF"/>
          </w:tcPr>
          <w:p>
            <w:pPr>
              <w:spacing w:after="0"/>
              <w:rPr>
                <w:sz w:val="13"/>
                <w:szCs w:val="13"/>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Energy Equipment and Services</w:t>
            </w:r>
          </w:p>
        </w:tc>
        <w:tc>
          <w:tcPr>
            <w:tcW w:w="4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382,353</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Kentucky Racing Holdco, LLC (Warrants) </w:t>
            </w:r>
            <w:r>
              <w:rPr>
                <w:rFonts w:ascii="Times New Roman" w:cs="Times New Roman" w:eastAsia="Times New Roman" w:hAnsi="Times New Roman"/>
                <w:sz w:val="14"/>
                <w:szCs w:val="14"/>
                <w:color w:val="auto"/>
                <w:vertAlign w:val="superscript"/>
              </w:rPr>
              <w:t>(7), (8)</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87,345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Lightspeed Investment Holdco LLC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585,587</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586</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MDI Aggregator, LP</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Commodity Chemicals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668,747</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670</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Meadowlark Title, LLC</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819,231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MSpark, LLC</w:t>
            </w:r>
          </w:p>
        </w:tc>
        <w:tc>
          <w:tcPr>
            <w:tcW w:w="40" w:type="dxa"/>
            <w:vAlign w:val="bottom"/>
            <w:shd w:val="clear" w:color="auto" w:fill="CCECFF"/>
          </w:tcPr>
          <w:p>
            <w:pPr>
              <w:spacing w:after="0"/>
              <w:rPr>
                <w:sz w:val="13"/>
                <w:szCs w:val="13"/>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Media: Advertising, Printing and Publishing</w:t>
            </w:r>
          </w:p>
        </w:tc>
        <w:tc>
          <w:tcPr>
            <w:tcW w:w="4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3,988</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1,288</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1,973,370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NEPRT Parent Holdings, LLC (Recteq, LLC) </w:t>
            </w:r>
            <w:r>
              <w:rPr>
                <w:rFonts w:ascii="Times New Roman" w:cs="Times New Roman" w:eastAsia="Times New Roman" w:hAnsi="Times New Roman"/>
                <w:sz w:val="14"/>
                <w:szCs w:val="14"/>
                <w:color w:val="auto"/>
                <w:vertAlign w:val="superscript"/>
              </w:rPr>
              <w:t>(7), (8)</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1,494</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1,450</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North Haven Saints Equity Holdings, LP</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223,602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NXOF Holdings, Inc. (Tyto Athene, LLC)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3"/>
                <w:szCs w:val="13"/>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3"/>
                <w:szCs w:val="13"/>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4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14,960</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16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OceanSound Discovery Equity, LP (Holdco Sands Intermediate,</w:t>
            </w:r>
          </w:p>
        </w:tc>
        <w:tc>
          <w:tcPr>
            <w:tcW w:w="40" w:type="dxa"/>
            <w:vAlign w:val="bottom"/>
          </w:tcPr>
          <w:p>
            <w:pPr>
              <w:spacing w:after="0"/>
              <w:rPr>
                <w:sz w:val="9"/>
                <w:szCs w:val="9"/>
                <w:color w:val="auto"/>
              </w:rPr>
            </w:pPr>
          </w:p>
        </w:tc>
        <w:tc>
          <w:tcPr>
            <w:tcW w:w="540" w:type="dxa"/>
            <w:vAlign w:val="bottom"/>
          </w:tcPr>
          <w:p>
            <w:pPr>
              <w:ind w:left="420"/>
              <w:spacing w:after="0" w:line="108" w:lineRule="exact"/>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9"/>
                <w:szCs w:val="9"/>
                <w:color w:val="auto"/>
              </w:rPr>
            </w:pPr>
          </w:p>
        </w:tc>
        <w:tc>
          <w:tcPr>
            <w:tcW w:w="30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tcPr>
          <w:p>
            <w:pPr>
              <w:spacing w:after="0"/>
              <w:rPr>
                <w:sz w:val="9"/>
                <w:szCs w:val="9"/>
                <w:color w:val="auto"/>
              </w:rPr>
            </w:pPr>
          </w:p>
        </w:tc>
        <w:tc>
          <w:tcPr>
            <w:tcW w:w="8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line="108" w:lineRule="exact"/>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173,638</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1,729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2,917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vertAlign w:val="subscript"/>
              </w:rPr>
              <w:t>LLC)</w:t>
            </w:r>
            <w:r>
              <w:rPr>
                <w:rFonts w:ascii="Times New Roman" w:cs="Times New Roman" w:eastAsia="Times New Roman" w:hAnsi="Times New Roman"/>
                <w:sz w:val="7"/>
                <w:szCs w:val="7"/>
                <w:color w:val="auto"/>
              </w:rPr>
              <w:t xml:space="preserve"> (7), (8)</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OHCP V BC COI, L.P.</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743,750</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744</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OHCP V BC COI, L.P. </w:t>
            </w:r>
            <w:r>
              <w:rPr>
                <w:rFonts w:ascii="Times New Roman" w:cs="Times New Roman" w:eastAsia="Times New Roman" w:hAnsi="Times New Roman"/>
                <w:sz w:val="14"/>
                <w:szCs w:val="14"/>
                <w:color w:val="auto"/>
                <w:vertAlign w:val="superscript"/>
              </w:rPr>
              <w:t>(8) (9)</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506,250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(73 )</w:t>
            </w: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Oral Surgery (ITC) Holdings, LLC </w:t>
            </w:r>
            <w:r>
              <w:rPr>
                <w:rFonts w:ascii="Times New Roman" w:cs="Times New Roman" w:eastAsia="Times New Roman" w:hAnsi="Times New Roman"/>
                <w:sz w:val="14"/>
                <w:szCs w:val="14"/>
                <w:color w:val="auto"/>
                <w:vertAlign w:val="superscript"/>
              </w:rPr>
              <w:t>(7),(8)</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3,872</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ORL Holdco, Inc. </w:t>
            </w:r>
            <w:r>
              <w:rPr>
                <w:rFonts w:ascii="Times New Roman" w:cs="Times New Roman" w:eastAsia="Times New Roman" w:hAnsi="Times New Roman"/>
                <w:sz w:val="14"/>
                <w:szCs w:val="14"/>
                <w:color w:val="auto"/>
                <w:vertAlign w:val="superscript"/>
              </w:rPr>
              <w:t>(7)</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Finance</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PennantPark-TSO Senior Loan Fund, LP </w:t>
            </w:r>
            <w:r>
              <w:rPr>
                <w:rFonts w:ascii="Times New Roman" w:cs="Times New Roman" w:eastAsia="Times New Roman" w:hAnsi="Times New Roman"/>
                <w:sz w:val="14"/>
                <w:szCs w:val="14"/>
                <w:color w:val="auto"/>
                <w:vertAlign w:val="superscript"/>
              </w:rPr>
              <w:t>(7)</w:t>
            </w:r>
          </w:p>
        </w:tc>
        <w:tc>
          <w:tcPr>
            <w:tcW w:w="40" w:type="dxa"/>
            <w:vAlign w:val="bottom"/>
            <w:shd w:val="clear" w:color="auto" w:fill="CCECFF"/>
          </w:tcPr>
          <w:p>
            <w:pPr>
              <w:spacing w:after="0"/>
              <w:rPr>
                <w:sz w:val="12"/>
                <w:szCs w:val="12"/>
                <w:color w:val="auto"/>
              </w:rPr>
            </w:pPr>
          </w:p>
        </w:tc>
        <w:tc>
          <w:tcPr>
            <w:tcW w:w="540" w:type="dxa"/>
            <w:vAlign w:val="bottom"/>
            <w:shd w:val="clear" w:color="auto" w:fill="CCECFF"/>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40" w:type="dxa"/>
            <w:vAlign w:val="bottom"/>
            <w:shd w:val="clear" w:color="auto" w:fill="CCECFF"/>
          </w:tcPr>
          <w:p>
            <w:pPr>
              <w:spacing w:after="0"/>
              <w:rPr>
                <w:sz w:val="12"/>
                <w:szCs w:val="12"/>
                <w:color w:val="auto"/>
              </w:rPr>
            </w:pPr>
          </w:p>
        </w:tc>
        <w:tc>
          <w:tcPr>
            <w:tcW w:w="8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11,167,847</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11,168</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9,892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Pink Lily Holdco, LLC (PL Acquisitions, LLC)</w:t>
            </w:r>
          </w:p>
        </w:tc>
        <w:tc>
          <w:tcPr>
            <w:tcW w:w="40" w:type="dxa"/>
            <w:vAlign w:val="bottom"/>
          </w:tcPr>
          <w:p>
            <w:pPr>
              <w:spacing w:after="0"/>
              <w:rPr>
                <w:sz w:val="12"/>
                <w:szCs w:val="12"/>
                <w:color w:val="auto"/>
              </w:rPr>
            </w:pPr>
          </w:p>
        </w:tc>
        <w:tc>
          <w:tcPr>
            <w:tcW w:w="54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4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-6123305</wp:posOffset>
            </wp:positionV>
            <wp:extent cx="68580" cy="1111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-6123305</wp:posOffset>
            </wp:positionV>
            <wp:extent cx="68580" cy="1111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1112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2"/>
          </w:tcPr>
          <w:p>
            <w:pPr>
              <w:jc w:val="right"/>
              <w:ind w:right="34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6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120" w:type="dxa"/>
            <w:vAlign w:val="bottom"/>
          </w:tcPr>
          <w:p>
            <w:pPr>
              <w:spacing w:after="0"/>
              <w:rPr>
                <w:sz w:val="9"/>
                <w:szCs w:val="9"/>
                <w:color w:val="auto"/>
              </w:rPr>
            </w:pPr>
          </w:p>
        </w:tc>
        <w:tc>
          <w:tcPr>
            <w:tcW w:w="720" w:type="dxa"/>
            <w:vAlign w:val="bottom"/>
          </w:tcPr>
          <w:p>
            <w:pPr>
              <w:jc w:val="right"/>
              <w:ind w:right="20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(2)</w:t>
            </w:r>
          </w:p>
        </w:tc>
        <w:tc>
          <w:tcPr>
            <w:tcW w:w="0" w:type="dxa"/>
            <w:vAlign w:val="bottom"/>
          </w:tcPr>
          <w:p>
            <w:pPr>
              <w:spacing w:after="0"/>
              <w:rPr>
                <w:sz w:val="1"/>
                <w:szCs w:val="1"/>
                <w:color w:val="auto"/>
              </w:rPr>
            </w:pPr>
          </w:p>
        </w:tc>
      </w:tr>
      <w:tr>
        <w:trPr>
          <w:trHeight w:val="162"/>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8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2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20" w:type="dxa"/>
            <w:vAlign w:val="bottom"/>
          </w:tcPr>
          <w:p>
            <w:pPr>
              <w:spacing w:after="0"/>
              <w:rPr>
                <w:sz w:val="14"/>
                <w:szCs w:val="14"/>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Pragmatic Institute, LLC (</w:t>
            </w: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30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20" w:type="dxa"/>
            <w:vAlign w:val="bottom"/>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610,583</w:t>
            </w:r>
          </w:p>
        </w:tc>
        <w:tc>
          <w:tcPr>
            <w:tcW w:w="120" w:type="dxa"/>
            <w:vAlign w:val="bottom"/>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611</w:t>
            </w:r>
          </w:p>
        </w:tc>
        <w:tc>
          <w:tcPr>
            <w:tcW w:w="120" w:type="dxa"/>
            <w:vAlign w:val="bottom"/>
            <w:shd w:val="clear" w:color="auto" w:fill="CCECFF"/>
          </w:tcPr>
          <w:p>
            <w:pPr>
              <w:spacing w:after="0"/>
              <w:rPr>
                <w:sz w:val="12"/>
                <w:szCs w:val="12"/>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 (8)</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 (8), (9)</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(7), (8),</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RFMG Parent, LP (Rancho Health MSO, Inc.) </w:t>
            </w:r>
            <w:r>
              <w:rPr>
                <w:rFonts w:ascii="Times New Roman" w:cs="Times New Roman" w:eastAsia="Times New Roman" w:hAnsi="Times New Roman"/>
                <w:sz w:val="14"/>
                <w:szCs w:val="14"/>
                <w:color w:val="auto"/>
                <w:vertAlign w:val="superscript"/>
              </w:rPr>
              <w:t>(7)</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SBI Holdings Investments LLC (Sales Benchmark Index LLC) </w:t>
            </w:r>
            <w:r>
              <w:rPr>
                <w:rFonts w:ascii="Times New Roman" w:cs="Times New Roman" w:eastAsia="Times New Roman" w:hAnsi="Times New Roman"/>
                <w:sz w:val="14"/>
                <w:szCs w:val="14"/>
                <w:color w:val="auto"/>
                <w:vertAlign w:val="superscript"/>
              </w:rPr>
              <w:t>(7), (8)</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64,634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Seaway Topco, LP</w:t>
            </w:r>
          </w:p>
        </w:tc>
        <w:tc>
          <w:tcPr>
            <w:tcW w:w="5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Signature CR Intermediate Holdco, Inc. </w:t>
            </w:r>
            <w:r>
              <w:rPr>
                <w:rFonts w:ascii="Times New Roman" w:cs="Times New Roman" w:eastAsia="Times New Roman" w:hAnsi="Times New Roman"/>
                <w:sz w:val="14"/>
                <w:szCs w:val="14"/>
                <w:color w:val="auto"/>
                <w:vertAlign w:val="superscript"/>
              </w:rPr>
              <w:t>(7)</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 L2 Holdings, LLC (Ledge Lounger, Inc.)</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360,103</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SSC Dominion Holdings, LLC</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2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Class A (US Dominion, Inc.) </w:t>
            </w:r>
            <w:r>
              <w:rPr>
                <w:rFonts w:ascii="Times New Roman" w:cs="Times New Roman" w:eastAsia="Times New Roman" w:hAnsi="Times New Roman"/>
                <w:sz w:val="14"/>
                <w:szCs w:val="14"/>
                <w:color w:val="auto"/>
                <w:vertAlign w:val="superscript"/>
              </w:rPr>
              <w:t>(7)</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SSC Dominion Holdings, LLC</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1"/>
                <w:szCs w:val="11"/>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Class B (US Dominion, Inc.) </w:t>
            </w:r>
            <w:r>
              <w:rPr>
                <w:rFonts w:ascii="Times New Roman" w:cs="Times New Roman" w:eastAsia="Times New Roman" w:hAnsi="Times New Roman"/>
                <w:sz w:val="14"/>
                <w:szCs w:val="14"/>
                <w:color w:val="auto"/>
                <w:vertAlign w:val="superscript"/>
              </w:rPr>
              <w:t>(7)</w:t>
            </w:r>
          </w:p>
        </w:tc>
        <w:tc>
          <w:tcPr>
            <w:tcW w:w="5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0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5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StellPen Holdings, LLC (CF512, Inc.) </w:t>
            </w:r>
            <w:r>
              <w:rPr>
                <w:rFonts w:ascii="Times New Roman" w:cs="Times New Roman" w:eastAsia="Times New Roman" w:hAnsi="Times New Roman"/>
                <w:sz w:val="14"/>
                <w:szCs w:val="14"/>
                <w:color w:val="auto"/>
                <w:vertAlign w:val="superscript"/>
              </w:rPr>
              <w:t>(7)</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161,538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(7),(8)</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488,372</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Tower Arch Infolinks Media, LP (Infolinks Media Buyco, LLC)</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216,925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Tower Arch Infolinks Media, LP (Infolinks Media Buyco, LLC)</w:t>
            </w:r>
            <w:r>
              <w:rPr>
                <w:rFonts w:ascii="Times New Roman" w:cs="Times New Roman" w:eastAsia="Times New Roman" w:hAnsi="Times New Roman"/>
                <w:sz w:val="14"/>
                <w:szCs w:val="14"/>
                <w:color w:val="auto"/>
                <w:vertAlign w:val="superscript"/>
              </w:rPr>
              <w:t>(8) (9)</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3"/>
                <w:szCs w:val="13"/>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148,681</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(5), (7), (10)</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Food Products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21,527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TWD Parent Holdings, LLC (The Vertex Companies, LLC) </w:t>
            </w:r>
            <w:r>
              <w:rPr>
                <w:rFonts w:ascii="Times New Roman" w:cs="Times New Roman" w:eastAsia="Times New Roman" w:hAnsi="Times New Roman"/>
                <w:sz w:val="14"/>
                <w:szCs w:val="14"/>
                <w:color w:val="auto"/>
                <w:vertAlign w:val="superscript"/>
              </w:rPr>
              <w:t>(7)</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&amp; Engineering</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UniTek Global Services, Inc. </w:t>
            </w:r>
            <w:r>
              <w:rPr>
                <w:rFonts w:ascii="Times New Roman" w:cs="Times New Roman" w:eastAsia="Times New Roman" w:hAnsi="Times New Roman"/>
                <w:sz w:val="14"/>
                <w:szCs w:val="14"/>
                <w:color w:val="auto"/>
                <w:vertAlign w:val="superscript"/>
              </w:rPr>
              <w:t>(7)</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213,739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UniTek Global Services, Inc. (Warrants) </w:t>
            </w:r>
            <w:r>
              <w:rPr>
                <w:rFonts w:ascii="Times New Roman" w:cs="Times New Roman" w:eastAsia="Times New Roman" w:hAnsi="Times New Roman"/>
                <w:sz w:val="14"/>
                <w:szCs w:val="14"/>
                <w:color w:val="auto"/>
                <w:vertAlign w:val="superscript"/>
              </w:rPr>
              <w:t>(7)</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23,889</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UniVista Insurance </w:t>
            </w:r>
            <w:r>
              <w:rPr>
                <w:rFonts w:ascii="Times New Roman" w:cs="Times New Roman" w:eastAsia="Times New Roman" w:hAnsi="Times New Roman"/>
                <w:sz w:val="14"/>
                <w:szCs w:val="14"/>
                <w:color w:val="auto"/>
                <w:vertAlign w:val="superscript"/>
              </w:rPr>
              <w:t>(7),(8)</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WCP IvyRehab QP CF Feeder, LP</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3,762,257</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3,762</w:t>
            </w: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3,762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WCP IvyRehab QP CF Feeder, LP </w:t>
            </w:r>
            <w:r>
              <w:rPr>
                <w:rFonts w:ascii="Times New Roman" w:cs="Times New Roman" w:eastAsia="Times New Roman" w:hAnsi="Times New Roman"/>
                <w:sz w:val="14"/>
                <w:szCs w:val="14"/>
                <w:color w:val="auto"/>
                <w:vertAlign w:val="superscript"/>
              </w:rPr>
              <w:t>(9)</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237,743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280" w:type="dxa"/>
            <w:vAlign w:val="bottom"/>
            <w:tcBorders>
              <w:bottom w:val="single" w:sz="8" w:color="CCECFF"/>
            </w:tcBorders>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Wildcat Parent, LP (Wildcat Buyerco, Inc.) </w:t>
            </w:r>
            <w:r>
              <w:rPr>
                <w:rFonts w:ascii="Times New Roman" w:cs="Times New Roman" w:eastAsia="Times New Roman" w:hAnsi="Times New Roman"/>
                <w:sz w:val="14"/>
                <w:szCs w:val="14"/>
                <w:color w:val="auto"/>
                <w:vertAlign w:val="superscript"/>
              </w:rPr>
              <w:t>(7), (8)</w:t>
            </w:r>
          </w:p>
        </w:tc>
        <w:tc>
          <w:tcPr>
            <w:tcW w:w="5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CFF"/>
            </w:tcBorders>
            <w:shd w:val="clear" w:color="auto" w:fill="CCECFF"/>
          </w:tcPr>
          <w:p>
            <w:pPr>
              <w:spacing w:after="0"/>
              <w:rPr>
                <w:sz w:val="12"/>
                <w:szCs w:val="12"/>
                <w:color w:val="auto"/>
              </w:rPr>
            </w:pPr>
          </w:p>
        </w:tc>
        <w:tc>
          <w:tcPr>
            <w:tcW w:w="30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20" w:type="dxa"/>
            <w:vAlign w:val="bottom"/>
            <w:tcBorders>
              <w:bottom w:val="single" w:sz="8" w:color="CCECFF"/>
            </w:tcBorders>
            <w:shd w:val="clear" w:color="auto" w:fill="CCECFF"/>
          </w:tcPr>
          <w:p>
            <w:pPr>
              <w:spacing w:after="0"/>
              <w:rPr>
                <w:sz w:val="12"/>
                <w:szCs w:val="12"/>
                <w:color w:val="auto"/>
              </w:rPr>
            </w:pPr>
          </w:p>
        </w:tc>
        <w:tc>
          <w:tcPr>
            <w:tcW w:w="92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2,240</w:t>
            </w:r>
          </w:p>
        </w:tc>
        <w:tc>
          <w:tcPr>
            <w:tcW w:w="1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596</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Equity/Warrants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56,856</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95,549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Non-Controlled, Non-Affiliated Portfolio Companies</w:t>
            </w:r>
          </w:p>
        </w:tc>
        <w:tc>
          <w:tcPr>
            <w:tcW w:w="180" w:type="dxa"/>
            <w:vAlign w:val="bottom"/>
            <w:tcBorders>
              <w:bottom w:val="single" w:sz="8" w:color="CCECFF"/>
            </w:tcBorders>
            <w:shd w:val="clear" w:color="auto" w:fill="CCECFF"/>
          </w:tcPr>
          <w:p>
            <w:pPr>
              <w:spacing w:after="0"/>
              <w:rPr>
                <w:sz w:val="12"/>
                <w:szCs w:val="12"/>
                <w:color w:val="auto"/>
              </w:rPr>
            </w:pPr>
          </w:p>
        </w:tc>
        <w:tc>
          <w:tcPr>
            <w:tcW w:w="308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882,570</w:t>
            </w:r>
          </w:p>
        </w:tc>
        <w:tc>
          <w:tcPr>
            <w:tcW w:w="1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893,249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2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1"/>
                <w:szCs w:val="11"/>
                <w:b w:val="1"/>
                <w:bCs w:val="1"/>
                <w:color w:val="auto"/>
              </w:rPr>
              <w:t xml:space="preserve">Investments in Controlled, Affiliated Portfolio Companies—51.4% </w:t>
            </w:r>
            <w:r>
              <w:rPr>
                <w:rFonts w:ascii="Times New Roman" w:cs="Times New Roman" w:eastAsia="Times New Roman" w:hAnsi="Times New Roman"/>
                <w:sz w:val="14"/>
                <w:szCs w:val="14"/>
                <w:b w:val="1"/>
                <w:bCs w:val="1"/>
                <w:color w:val="auto"/>
                <w:vertAlign w:val="superscript"/>
              </w:rPr>
              <w:t>(3), (4)</w:t>
            </w:r>
          </w:p>
        </w:tc>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Debt—41.8%</w:t>
            </w:r>
          </w:p>
        </w:tc>
        <w:tc>
          <w:tcPr>
            <w:tcW w:w="5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Marketplace Events, LLC - Super Priority First Lien Term Loan </w:t>
            </w:r>
            <w:r>
              <w:rPr>
                <w:rFonts w:ascii="Times New Roman" w:cs="Times New Roman" w:eastAsia="Times New Roman" w:hAnsi="Times New Roman"/>
                <w:sz w:val="14"/>
                <w:szCs w:val="14"/>
                <w:color w:val="auto"/>
                <w:vertAlign w:val="superscript"/>
              </w:rPr>
              <w:t>(7)</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09/30/2025</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8.19 %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3,582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(PIK 5.25%)</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Marketplace Events, LLC - Super Priority First Lien </w:t>
            </w:r>
            <w:r>
              <w:rPr>
                <w:rFonts w:ascii="Times New Roman" w:cs="Times New Roman" w:eastAsia="Times New Roman" w:hAnsi="Times New Roman"/>
                <w:sz w:val="14"/>
                <w:szCs w:val="14"/>
                <w:color w:val="auto"/>
                <w:vertAlign w:val="superscript"/>
              </w:rPr>
              <w:t>(7), (9)</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9"/>
              </w:rPr>
              <w:t>09/30/2025</w:t>
            </w:r>
          </w:p>
        </w:tc>
        <w:tc>
          <w:tcPr>
            <w:tcW w:w="180" w:type="dxa"/>
            <w:vAlign w:val="bottom"/>
            <w:shd w:val="clear" w:color="auto" w:fill="CCECFF"/>
          </w:tcPr>
          <w:p>
            <w:pPr>
              <w:spacing w:after="0"/>
              <w:rPr>
                <w:sz w:val="13"/>
                <w:szCs w:val="13"/>
                <w:color w:val="auto"/>
              </w:rPr>
            </w:pPr>
          </w:p>
        </w:tc>
        <w:tc>
          <w:tcPr>
            <w:tcW w:w="30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2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3,261</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Marketplace Events, LLC</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09/30/2026</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8.19 %</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26,771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19,518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tcBorders>
              <w:bottom w:val="single" w:sz="8" w:color="CCECFF"/>
            </w:tcBorders>
            <w:shd w:val="clear" w:color="auto" w:fill="CCECFF"/>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PennantPark Senior Secured Loan Fund I LLC </w:t>
            </w:r>
            <w:r>
              <w:rPr>
                <w:rFonts w:ascii="Times New Roman" w:cs="Times New Roman" w:eastAsia="Times New Roman" w:hAnsi="Times New Roman"/>
                <w:sz w:val="14"/>
                <w:szCs w:val="14"/>
                <w:color w:val="auto"/>
                <w:vertAlign w:val="superscript"/>
              </w:rPr>
              <w:t>(7), (9), (10)</w:t>
            </w:r>
          </w:p>
        </w:tc>
        <w:tc>
          <w:tcPr>
            <w:tcW w:w="5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9"/>
              </w:rPr>
              <w:t>05/06/2024</w:t>
            </w:r>
          </w:p>
        </w:tc>
        <w:tc>
          <w:tcPr>
            <w:tcW w:w="180" w:type="dxa"/>
            <w:vAlign w:val="bottom"/>
            <w:tcBorders>
              <w:bottom w:val="single" w:sz="8" w:color="CCECFF"/>
            </w:tcBorders>
            <w:shd w:val="clear" w:color="auto" w:fill="CCECFF"/>
          </w:tcPr>
          <w:p>
            <w:pPr>
              <w:spacing w:after="0"/>
              <w:rPr>
                <w:sz w:val="13"/>
                <w:szCs w:val="13"/>
                <w:color w:val="auto"/>
              </w:rPr>
            </w:pPr>
          </w:p>
        </w:tc>
        <w:tc>
          <w:tcPr>
            <w:tcW w:w="30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tcBorders>
              <w:bottom w:val="single" w:sz="8" w:color="CCECFF"/>
            </w:tcBorders>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10.71 %</w:t>
            </w:r>
          </w:p>
        </w:tc>
        <w:tc>
          <w:tcPr>
            <w:tcW w:w="6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8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190,181</w:t>
            </w:r>
          </w:p>
        </w:tc>
        <w:tc>
          <w:tcPr>
            <w:tcW w:w="1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190,181</w:t>
            </w:r>
          </w:p>
        </w:tc>
        <w:tc>
          <w:tcPr>
            <w:tcW w:w="12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spacing w:after="0"/>
              <w:rPr>
                <w:sz w:val="13"/>
                <w:szCs w:val="13"/>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190,182</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213,281</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220,535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Equity Interests—9.6%</w:t>
            </w:r>
          </w:p>
        </w:tc>
        <w:tc>
          <w:tcPr>
            <w:tcW w:w="5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New MPE Holdings, LLC (Marketplace Events, LLC) </w:t>
            </w:r>
            <w:r>
              <w:rPr>
                <w:rFonts w:ascii="Times New Roman" w:cs="Times New Roman" w:eastAsia="Times New Roman" w:hAnsi="Times New Roman"/>
                <w:sz w:val="14"/>
                <w:szCs w:val="14"/>
                <w:color w:val="auto"/>
                <w:vertAlign w:val="superscript"/>
              </w:rPr>
              <w:t>(7),(8)</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Borders>
              <w:bottom w:val="single" w:sz="8" w:color="CCECFF"/>
            </w:tcBorders>
            <w:shd w:val="clear" w:color="auto" w:fill="CCECFF"/>
          </w:tcPr>
          <w:p>
            <w:pPr>
              <w:ind w:left="20"/>
              <w:spacing w:after="0" w:line="149" w:lineRule="exact"/>
              <w:rPr>
                <w:sz w:val="20"/>
                <w:szCs w:val="20"/>
                <w:color w:val="auto"/>
              </w:rPr>
            </w:pPr>
            <w:r>
              <w:rPr>
                <w:rFonts w:ascii="Times New Roman" w:cs="Times New Roman" w:eastAsia="Times New Roman" w:hAnsi="Times New Roman"/>
                <w:sz w:val="11"/>
                <w:szCs w:val="11"/>
                <w:color w:val="auto"/>
              </w:rPr>
              <w:t xml:space="preserve">PennantPark Senior Secured Loan Fund I LLC </w:t>
            </w:r>
            <w:r>
              <w:rPr>
                <w:rFonts w:ascii="Times New Roman" w:cs="Times New Roman" w:eastAsia="Times New Roman" w:hAnsi="Times New Roman"/>
                <w:sz w:val="14"/>
                <w:szCs w:val="14"/>
                <w:color w:val="auto"/>
                <w:vertAlign w:val="superscript"/>
              </w:rPr>
              <w:t>(7), (9), (10)</w:t>
            </w:r>
          </w:p>
        </w:tc>
        <w:tc>
          <w:tcPr>
            <w:tcW w:w="5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CFF"/>
            </w:tcBorders>
            <w:shd w:val="clear" w:color="auto" w:fill="CCECFF"/>
          </w:tcPr>
          <w:p>
            <w:pPr>
              <w:spacing w:after="0"/>
              <w:rPr>
                <w:sz w:val="12"/>
                <w:szCs w:val="12"/>
                <w:color w:val="auto"/>
              </w:rPr>
            </w:pPr>
          </w:p>
        </w:tc>
        <w:tc>
          <w:tcPr>
            <w:tcW w:w="30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20" w:type="dxa"/>
            <w:vAlign w:val="bottom"/>
            <w:tcBorders>
              <w:bottom w:val="single" w:sz="8" w:color="CCECFF"/>
            </w:tcBorders>
            <w:shd w:val="clear" w:color="auto" w:fill="CCECFF"/>
          </w:tcPr>
          <w:p>
            <w:pPr>
              <w:spacing w:after="0"/>
              <w:rPr>
                <w:sz w:val="12"/>
                <w:szCs w:val="12"/>
                <w:color w:val="auto"/>
              </w:rPr>
            </w:pPr>
          </w:p>
        </w:tc>
        <w:tc>
          <w:tcPr>
            <w:tcW w:w="920" w:type="dxa"/>
            <w:vAlign w:val="bottom"/>
            <w:tcBorders>
              <w:bottom w:val="single" w:sz="8" w:color="CCECFF"/>
            </w:tcBorders>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81,506</w:t>
            </w:r>
          </w:p>
        </w:tc>
        <w:tc>
          <w:tcPr>
            <w:tcW w:w="1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81,506</w:t>
            </w:r>
          </w:p>
        </w:tc>
        <w:tc>
          <w:tcPr>
            <w:tcW w:w="1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49,434</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Interests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81,506</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50,470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54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08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294,787</w:t>
            </w:r>
          </w:p>
        </w:tc>
        <w:tc>
          <w:tcPr>
            <w:tcW w:w="1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271,005</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Investments—220.9%</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1,177,357</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1,164,254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Equivalents—9.1%</w:t>
            </w:r>
          </w:p>
        </w:tc>
        <w:tc>
          <w:tcPr>
            <w:tcW w:w="5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0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38,209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BNY Mellon Cash</w:t>
            </w:r>
          </w:p>
        </w:tc>
        <w:tc>
          <w:tcPr>
            <w:tcW w:w="54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08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9,707</w:t>
            </w:r>
          </w:p>
        </w:tc>
        <w:tc>
          <w:tcPr>
            <w:tcW w:w="1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9,671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47,916</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47,880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Equivalents—230.0%</w:t>
            </w:r>
          </w:p>
        </w:tc>
        <w:tc>
          <w:tcPr>
            <w:tcW w:w="54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3080" w:type="dxa"/>
            <w:vAlign w:val="bottom"/>
            <w:tcBorders>
              <w:bottom w:val="single" w:sz="8" w:color="CCECFF"/>
            </w:tcBorders>
            <w:shd w:val="clear" w:color="auto" w:fill="CCECFF"/>
          </w:tcPr>
          <w:p>
            <w:pPr>
              <w:spacing w:after="0"/>
              <w:rPr>
                <w:sz w:val="15"/>
                <w:szCs w:val="15"/>
                <w:color w:val="auto"/>
              </w:rPr>
            </w:pPr>
          </w:p>
        </w:tc>
        <w:tc>
          <w:tcPr>
            <w:tcW w:w="20" w:type="dxa"/>
            <w:vAlign w:val="bottom"/>
            <w:tcBorders>
              <w:bottom w:val="single" w:sz="8" w:color="CCECFF"/>
            </w:tcBorders>
            <w:shd w:val="clear" w:color="auto" w:fill="CCECFF"/>
          </w:tcPr>
          <w:p>
            <w:pPr>
              <w:spacing w:after="0"/>
              <w:rPr>
                <w:sz w:val="15"/>
                <w:szCs w:val="15"/>
                <w:color w:val="auto"/>
              </w:rPr>
            </w:pPr>
          </w:p>
        </w:tc>
        <w:tc>
          <w:tcPr>
            <w:tcW w:w="80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6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1,225,273</w:t>
            </w:r>
          </w:p>
        </w:tc>
        <w:tc>
          <w:tcPr>
            <w:tcW w:w="120" w:type="dxa"/>
            <w:vAlign w:val="bottom"/>
            <w:tcBorders>
              <w:bottom w:val="single" w:sz="8" w:color="CCECFF"/>
            </w:tcBorders>
            <w:shd w:val="clear" w:color="auto" w:fill="CCECFF"/>
          </w:tcPr>
          <w:p>
            <w:pPr>
              <w:spacing w:after="0"/>
              <w:rPr>
                <w:sz w:val="15"/>
                <w:szCs w:val="15"/>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1,212,134</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Assets—(130.0)%</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(685,042 )</w:t>
            </w:r>
          </w:p>
        </w:tc>
        <w:tc>
          <w:tcPr>
            <w:tcW w:w="0" w:type="dxa"/>
            <w:vAlign w:val="bottom"/>
          </w:tcPr>
          <w:p>
            <w:pPr>
              <w:spacing w:after="0"/>
              <w:rPr>
                <w:sz w:val="1"/>
                <w:szCs w:val="1"/>
                <w:color w:val="auto"/>
              </w:rPr>
            </w:pPr>
          </w:p>
        </w:tc>
      </w:tr>
      <w:tr>
        <w:trPr>
          <w:trHeight w:val="179"/>
        </w:trPr>
        <w:tc>
          <w:tcPr>
            <w:tcW w:w="3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54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3080" w:type="dxa"/>
            <w:vAlign w:val="bottom"/>
            <w:tcBorders>
              <w:bottom w:val="single" w:sz="8" w:color="CCECFF"/>
            </w:tcBorders>
            <w:shd w:val="clear" w:color="auto" w:fill="CCECFF"/>
          </w:tcPr>
          <w:p>
            <w:pPr>
              <w:spacing w:after="0"/>
              <w:rPr>
                <w:sz w:val="15"/>
                <w:szCs w:val="15"/>
                <w:color w:val="auto"/>
              </w:rPr>
            </w:pPr>
          </w:p>
        </w:tc>
        <w:tc>
          <w:tcPr>
            <w:tcW w:w="20" w:type="dxa"/>
            <w:vAlign w:val="bottom"/>
            <w:tcBorders>
              <w:bottom w:val="single" w:sz="8" w:color="CCECFF"/>
            </w:tcBorders>
            <w:shd w:val="clear" w:color="auto" w:fill="CCECFF"/>
          </w:tcPr>
          <w:p>
            <w:pPr>
              <w:spacing w:after="0"/>
              <w:rPr>
                <w:sz w:val="15"/>
                <w:szCs w:val="15"/>
                <w:color w:val="auto"/>
              </w:rPr>
            </w:pPr>
          </w:p>
        </w:tc>
        <w:tc>
          <w:tcPr>
            <w:tcW w:w="80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6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5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527,092</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-2322195</wp:posOffset>
            </wp:positionV>
            <wp:extent cx="68580" cy="1111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1111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-2117090</wp:posOffset>
            </wp:positionV>
            <wp:extent cx="68580"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-2117090</wp:posOffset>
            </wp:positionV>
            <wp:extent cx="68580"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-1447800</wp:posOffset>
            </wp:positionV>
            <wp:extent cx="68580" cy="111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1111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-1053465</wp:posOffset>
            </wp:positionV>
            <wp:extent cx="68580" cy="1111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1111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-848360</wp:posOffset>
            </wp:positionV>
            <wp:extent cx="68580" cy="1117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1117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-453390</wp:posOffset>
            </wp:positionV>
            <wp:extent cx="68580" cy="1111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111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-248285</wp:posOffset>
            </wp:positionV>
            <wp:extent cx="62611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611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714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1" w:lineRule="exact"/>
        <w:rPr>
          <w:sz w:val="20"/>
          <w:szCs w:val="20"/>
          <w:color w:val="auto"/>
        </w:rPr>
      </w:pPr>
    </w:p>
    <w:p>
      <w:pPr>
        <w:ind w:left="380" w:right="100" w:hanging="372"/>
        <w:spacing w:after="0" w:line="222"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Offered Rate, or LIBOR or “L”,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spacing w:after="0" w:line="2" w:lineRule="exact"/>
        <w:rPr>
          <w:rFonts w:ascii="Times New Roman" w:cs="Times New Roman" w:eastAsia="Times New Roman" w:hAnsi="Times New Roman"/>
          <w:sz w:val="16"/>
          <w:szCs w:val="16"/>
          <w:color w:val="auto"/>
          <w:vertAlign w:val="superscript"/>
        </w:rPr>
      </w:pPr>
    </w:p>
    <w:p>
      <w:pPr>
        <w:ind w:left="380" w:hanging="372"/>
        <w:spacing w:after="0" w:line="211"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Valued based on our accounting policy (See Note 2). The value of all securities was determined using significant unobservable inputs (See Note 5).</w:t>
      </w:r>
    </w:p>
    <w:p>
      <w:pPr>
        <w:spacing w:after="0" w:line="10" w:lineRule="exact"/>
        <w:rPr>
          <w:rFonts w:ascii="Times New Roman" w:cs="Times New Roman" w:eastAsia="Times New Roman" w:hAnsi="Times New Roman"/>
          <w:sz w:val="16"/>
          <w:szCs w:val="16"/>
          <w:color w:val="auto"/>
          <w:vertAlign w:val="superscript"/>
        </w:rPr>
      </w:pPr>
    </w:p>
    <w:p>
      <w:pPr>
        <w:ind w:left="380" w:right="220" w:hanging="372"/>
        <w:spacing w:after="0" w:line="203"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11"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380" w:hanging="372"/>
        <w:spacing w:after="0" w:line="211"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Non-U.S. company or principal place of business outside the United States.</w:t>
      </w:r>
    </w:p>
    <w:p>
      <w:pPr>
        <w:spacing w:after="0" w:line="10" w:lineRule="exact"/>
        <w:rPr>
          <w:rFonts w:ascii="Times New Roman" w:cs="Times New Roman" w:eastAsia="Times New Roman" w:hAnsi="Times New Roman"/>
          <w:sz w:val="16"/>
          <w:szCs w:val="16"/>
          <w:color w:val="auto"/>
          <w:vertAlign w:val="superscript"/>
        </w:rPr>
      </w:pPr>
    </w:p>
    <w:p>
      <w:pPr>
        <w:ind w:left="380" w:hanging="372"/>
        <w:spacing w:after="0" w:line="180"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Non-income producing securities.</w:t>
      </w:r>
    </w:p>
    <w:p>
      <w:pPr>
        <w:spacing w:after="0" w:line="10" w:lineRule="exact"/>
        <w:rPr>
          <w:rFonts w:ascii="Times New Roman" w:cs="Times New Roman" w:eastAsia="Times New Roman" w:hAnsi="Times New Roman"/>
          <w:sz w:val="16"/>
          <w:szCs w:val="16"/>
          <w:color w:val="auto"/>
          <w:vertAlign w:val="superscript"/>
        </w:rPr>
      </w:pPr>
    </w:p>
    <w:p>
      <w:pPr>
        <w:ind w:left="380" w:hanging="372"/>
        <w:spacing w:after="0" w:line="180"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securities, or a portion thereof, are not 1) pledged as collateral under the Credit Facility and held through Funding I; or, 2) securing the 2031 Asset-Backed Debt (See Note 10) and held through PennantPark CLO I, Ltd.</w:t>
      </w:r>
    </w:p>
    <w:p>
      <w:pPr>
        <w:spacing w:after="0" w:line="24" w:lineRule="exact"/>
        <w:rPr>
          <w:rFonts w:ascii="Times New Roman" w:cs="Times New Roman" w:eastAsia="Times New Roman" w:hAnsi="Times New Roman"/>
          <w:sz w:val="16"/>
          <w:szCs w:val="16"/>
          <w:color w:val="auto"/>
          <w:vertAlign w:val="superscript"/>
        </w:rPr>
      </w:pPr>
    </w:p>
    <w:p>
      <w:pPr>
        <w:ind w:left="380" w:hanging="372"/>
        <w:spacing w:after="0" w:line="180"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Investment is held through our Taxable Subsidiary (See Note 1).</w:t>
      </w:r>
    </w:p>
    <w:p>
      <w:pPr>
        <w:spacing w:after="0" w:line="10" w:lineRule="exact"/>
        <w:rPr>
          <w:rFonts w:ascii="Times New Roman" w:cs="Times New Roman" w:eastAsia="Times New Roman" w:hAnsi="Times New Roman"/>
          <w:sz w:val="16"/>
          <w:szCs w:val="16"/>
          <w:color w:val="auto"/>
          <w:vertAlign w:val="superscript"/>
        </w:rPr>
      </w:pPr>
    </w:p>
    <w:p>
      <w:pPr>
        <w:ind w:left="380" w:hanging="372"/>
        <w:spacing w:after="0" w:line="180"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0" w:lineRule="exact"/>
        <w:rPr>
          <w:rFonts w:ascii="Times New Roman" w:cs="Times New Roman" w:eastAsia="Times New Roman" w:hAnsi="Times New Roman"/>
          <w:sz w:val="16"/>
          <w:szCs w:val="16"/>
          <w:color w:val="auto"/>
          <w:vertAlign w:val="superscript"/>
        </w:rPr>
      </w:pPr>
    </w:p>
    <w:p>
      <w:pPr>
        <w:ind w:left="380" w:right="20" w:hanging="372"/>
        <w:spacing w:after="0" w:line="203" w:lineRule="auto"/>
        <w:tabs>
          <w:tab w:leader="none" w:pos="38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81% of our total assets and non-qualifying assets represent 19% of our total assets.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138"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PennantPark Floating Rate Capital Ltd. was organized as a Maryland corporation in October 2010. We are a closed-end, externally managed, non-diversified investment company that has elected to be treated as a BDC under the 1940 Act. On April 14, 2022, listing and trading of the Company's common stock commenced on the New York Stock Exchange after the Company voluntarily withdrew the principal listing of its common stock from the Nasdaq Stock Market LLC effective at market close on April 13, 2022.</w:t>
      </w:r>
    </w:p>
    <w:p>
      <w:pPr>
        <w:spacing w:after="0" w:line="109"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10" w:lineRule="exact"/>
        <w:rPr>
          <w:sz w:val="20"/>
          <w:szCs w:val="20"/>
          <w:color w:val="auto"/>
        </w:rPr>
      </w:pPr>
    </w:p>
    <w:p>
      <w:pPr>
        <w:jc w:val="both"/>
        <w:ind w:firstLine="449"/>
        <w:spacing w:after="0" w:line="242" w:lineRule="auto"/>
        <w:rPr>
          <w:sz w:val="20"/>
          <w:szCs w:val="20"/>
          <w:color w:val="auto"/>
        </w:rPr>
      </w:pPr>
      <w:r>
        <w:rPr>
          <w:rFonts w:ascii="Times New Roman" w:cs="Times New Roman" w:eastAsia="Times New Roman" w:hAnsi="Times New Roman"/>
          <w:sz w:val="14"/>
          <w:szCs w:val="14"/>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w:t>
      </w:r>
    </w:p>
    <w:p>
      <w:pPr>
        <w:spacing w:after="0" w:line="269"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Funding I, our wholly-owned subsidiary and a special purpose entity, was organized in Delaware as a limited liability company in May 2011. We formed Funding I in order to establish the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Credit Facility allows Funding I to borrow up to $366 million (increased from $300 million in September 2022) at SOFR (or an alternative risk-free floating interest rate index) plus 225 basis points during the revolving period. The Credit Facility is secured by all of the assets held by Funding I. See Note 10.</w:t>
      </w:r>
    </w:p>
    <w:p>
      <w:pPr>
        <w:spacing w:after="0" w:line="11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95"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See Note 4.</w:t>
      </w:r>
    </w:p>
    <w:p>
      <w:pPr>
        <w:spacing w:after="0" w:line="95"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In November 2017, we issued $138.6 million of our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TASE. In connection with this offering, we have dual listed our common stock on the TASE.</w:t>
      </w:r>
    </w:p>
    <w:p>
      <w:pPr>
        <w:spacing w:after="0" w:line="258"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See Note 10.</w:t>
      </w:r>
    </w:p>
    <w:p>
      <w:pPr>
        <w:spacing w:after="0" w:line="258" w:lineRule="exact"/>
        <w:rPr>
          <w:sz w:val="20"/>
          <w:szCs w:val="20"/>
          <w:color w:val="auto"/>
        </w:rPr>
      </w:pPr>
    </w:p>
    <w:p>
      <w:pPr>
        <w:jc w:val="both"/>
        <w:ind w:firstLine="427"/>
        <w:spacing w:after="0" w:line="236" w:lineRule="auto"/>
        <w:rPr>
          <w:sz w:val="20"/>
          <w:szCs w:val="20"/>
          <w:color w:val="auto"/>
        </w:rPr>
      </w:pPr>
      <w:r>
        <w:rPr>
          <w:rFonts w:ascii="Times New Roman" w:cs="Times New Roman" w:eastAsia="Times New Roman" w:hAnsi="Times New Roman"/>
          <w:sz w:val="14"/>
          <w:szCs w:val="14"/>
          <w:color w:val="auto"/>
        </w:rPr>
        <w:t>In April 2021, we formed PennantPark-TSO Senior Loan Fund LP ("PTSF"), an unconsolidated limited partnership, organized as a Delaware limited liability partnership. We sold $81.4 million in investments to a wholly-owned subsidiary of PTSF in exchange for cash in the amount of $69.5 million and an $11.9 million equity interest in PTSF representing 23.08% of the total outstanding Class A Units of PTSF. We recognized $0.4 million of realized gain upon the formation of PTSF. As of December 31, 2022, our capital commitment of $15.3 million is fully funded and we hold 23.08% of the total outstanding Class A Units of PTSF and a 4.99% voting interest in the general partner which manages PTSF.</w:t>
      </w:r>
    </w:p>
    <w:p>
      <w:pPr>
        <w:spacing w:after="0" w:line="109" w:lineRule="exact"/>
        <w:rPr>
          <w:sz w:val="20"/>
          <w:szCs w:val="20"/>
          <w:color w:val="auto"/>
        </w:rPr>
      </w:pPr>
    </w:p>
    <w:p>
      <w:pPr>
        <w:jc w:val="both"/>
        <w:ind w:firstLine="383"/>
        <w:spacing w:after="0"/>
        <w:rPr>
          <w:sz w:val="20"/>
          <w:szCs w:val="20"/>
          <w:color w:val="auto"/>
        </w:rPr>
      </w:pPr>
      <w:r>
        <w:rPr>
          <w:rFonts w:ascii="Times New Roman" w:cs="Times New Roman" w:eastAsia="Times New Roman" w:hAnsi="Times New Roman"/>
          <w:sz w:val="14"/>
          <w:szCs w:val="14"/>
          <w:color w:val="auto"/>
        </w:rPr>
        <w:t>On August 20, 2021, we entered into equity distribution agreements (together, the “Equity Distribution Agreements”) with each of JMP Securities LLC and Raymond James &amp; Associates, Inc., as the sales agents, in connection with the sale of shares of our common stock, par value $0.001 per share (the “Common Stock”), with an aggregate offering price of up to $75 million under an at-the-market offering (the “ATM Program”). On May 5, 2022, we amended the Equity Distribution Agreements to update references from NASDAQ to NYSE and reflect that the agents are now represented by Kirkland &amp; Ellis LLP. The Equity Distribution Agreements, as amended,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w:t>
      </w:r>
    </w:p>
    <w:p>
      <w:pPr>
        <w:spacing w:after="0" w:line="235" w:lineRule="exact"/>
        <w:rPr>
          <w:sz w:val="20"/>
          <w:szCs w:val="20"/>
          <w:color w:val="auto"/>
        </w:rPr>
      </w:pPr>
    </w:p>
    <w:p>
      <w:pPr>
        <w:jc w:val="both"/>
        <w:ind w:firstLine="400"/>
        <w:spacing w:after="0" w:line="241" w:lineRule="auto"/>
        <w:rPr>
          <w:sz w:val="20"/>
          <w:szCs w:val="20"/>
          <w:color w:val="auto"/>
        </w:rPr>
      </w:pPr>
      <w:r>
        <w:rPr>
          <w:rFonts w:ascii="Times New Roman" w:cs="Times New Roman" w:eastAsia="Times New Roman" w:hAnsi="Times New Roman"/>
          <w:sz w:val="14"/>
          <w:szCs w:val="14"/>
          <w:color w:val="auto"/>
        </w:rPr>
        <w:t>During the three months ended December 31, 2022, we issued 86,177 shares of our Common Stock under the ATM Program at a weighted-average price of $11.54 per share, raising $1.0 million of gross proceeds. Net proceeds were $1.0 million after commissions to the Sales Agents on shares sold. We incurred zero of legal and other offering costs associated with the administration of the ATM Program. As of December 31, 2022, we had $40.3 million available under the ATM Program.</w:t>
      </w:r>
    </w:p>
    <w:p>
      <w:pPr>
        <w:spacing w:after="0" w:line="109" w:lineRule="exact"/>
        <w:rPr>
          <w:sz w:val="20"/>
          <w:szCs w:val="20"/>
          <w:color w:val="auto"/>
        </w:rPr>
      </w:pPr>
    </w:p>
    <w:p>
      <w:pPr>
        <w:jc w:val="both"/>
        <w:ind w:firstLine="364"/>
        <w:spacing w:after="0" w:line="241" w:lineRule="auto"/>
        <w:rPr>
          <w:sz w:val="20"/>
          <w:szCs w:val="20"/>
          <w:color w:val="auto"/>
        </w:rPr>
      </w:pPr>
      <w:r>
        <w:rPr>
          <w:rFonts w:ascii="Times New Roman" w:cs="Times New Roman" w:eastAsia="Times New Roman" w:hAnsi="Times New Roman"/>
          <w:sz w:val="14"/>
          <w:szCs w:val="14"/>
          <w:color w:val="auto"/>
        </w:rPr>
        <w:t>Since inception of the ATM Program through December 31, 2022, we have issued 2,659,741 shares of our Common Stock under the ATM Program at a weighted-average price of $13.06, raising $34.7 million of gross proceeds. Net proceeds were $34.2 million after commissions to the Sales Agents on shares sold. We incurred $0.5 million of legal and other offering costs associated with establishing the ATM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We are operated by a person who has claimed an exclusion from the definition of the term “commodity pool operator” under the Commodity Exchange Act of 1936, as amended, or the Commodity Exchange Act, and therefore, is not subject to registration or regulation as a commodity pool operator under the Commodity Exchange Act.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w:t>
      </w:r>
    </w:p>
    <w:p>
      <w:pPr>
        <w:spacing w:after="0" w:line="138"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3"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significant accounting policies consistently applied are as follows: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 Investment Valuations</w:t>
      </w:r>
    </w:p>
    <w:p>
      <w:pPr>
        <w:spacing w:after="0" w:line="140"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3"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5" w:lineRule="exact"/>
        <w:rPr>
          <w:sz w:val="20"/>
          <w:szCs w:val="20"/>
          <w:color w:val="auto"/>
        </w:rPr>
      </w:pPr>
    </w:p>
    <w:p>
      <w:pPr>
        <w:ind w:left="840" w:right="20" w:hanging="383"/>
        <w:spacing w:after="0" w:line="261" w:lineRule="auto"/>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95"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the Investment Adviser;</w:t>
      </w:r>
    </w:p>
    <w:p>
      <w:pPr>
        <w:spacing w:after="0" w:line="136" w:lineRule="exact"/>
        <w:rPr>
          <w:rFonts w:ascii="Times New Roman" w:cs="Times New Roman" w:eastAsia="Times New Roman" w:hAnsi="Times New Roman"/>
          <w:sz w:val="14"/>
          <w:szCs w:val="14"/>
          <w:color w:val="auto"/>
        </w:rPr>
      </w:pPr>
    </w:p>
    <w:p>
      <w:pPr>
        <w:jc w:val="both"/>
        <w:ind w:left="840" w:hanging="383"/>
        <w:spacing w:after="0" w:line="241" w:lineRule="auto"/>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9" w:lineRule="exact"/>
        <w:rPr>
          <w:rFonts w:ascii="Times New Roman" w:cs="Times New Roman" w:eastAsia="Times New Roman" w:hAnsi="Times New Roman"/>
          <w:sz w:val="14"/>
          <w:szCs w:val="14"/>
          <w:color w:val="auto"/>
        </w:rPr>
      </w:pPr>
    </w:p>
    <w:p>
      <w:pPr>
        <w:jc w:val="both"/>
        <w:ind w:left="840" w:hanging="383"/>
        <w:spacing w:after="0" w:line="241" w:lineRule="auto"/>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09" w:lineRule="exact"/>
        <w:rPr>
          <w:rFonts w:ascii="Times New Roman" w:cs="Times New Roman" w:eastAsia="Times New Roman" w:hAnsi="Times New Roman"/>
          <w:sz w:val="14"/>
          <w:szCs w:val="14"/>
          <w:color w:val="auto"/>
        </w:rPr>
      </w:pPr>
    </w:p>
    <w:p>
      <w:pPr>
        <w:ind w:left="840" w:hanging="383"/>
        <w:spacing w:after="0" w:line="261" w:lineRule="auto"/>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5"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Security Transactions, Revenue Recognition, and Realized/Unrealized Gains or Losses</w:t>
      </w:r>
    </w:p>
    <w:p>
      <w:pPr>
        <w:spacing w:after="0" w:line="14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09" w:lineRule="exact"/>
        <w:rPr>
          <w:sz w:val="20"/>
          <w:szCs w:val="20"/>
          <w:color w:val="auto"/>
        </w:rPr>
      </w:pPr>
    </w:p>
    <w:p>
      <w:pPr>
        <w:jc w:val="both"/>
        <w:ind w:firstLine="449"/>
        <w:spacing w:after="0" w:line="224"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95"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December 31, 2022, we had three portfolio companies on non-accrual, representing 1.9% and 0.6% of our overall portfolio on a cost and fair value basis, respectively. As of September 30, 2022, we had two portfolio companies on non-accrual, representing 0.9% and zero of our overall portfolio on a cost and fair value basis, respectively.</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 Income Taxes</w:t>
      </w:r>
    </w:p>
    <w:p>
      <w:pPr>
        <w:spacing w:after="0" w:line="140"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federal excise tax, or we may incur taxes through our taxable subsidiaries, including the Taxable Subsidiary. For both the three months ended December 31, 2022 and 2021, we recorded a provision for taxes on net investment income of $0.5 million and $0.1 million, respectively, pertaining to federal excise tax.</w:t>
      </w:r>
    </w:p>
    <w:p>
      <w:pPr>
        <w:spacing w:after="0" w:line="110"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10"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The Taxable Subsidiary (PFLT Investment Holdings, LLC, a second tier wholly-owned subsidiary of the Company), is subject to U.S. federal, state and local corporate income taxes. The income tax expense and related tax liabilities of the Taxable Subsidiary are reflected in the Company’s consolidated financial statements.</w:t>
      </w:r>
    </w:p>
    <w:p>
      <w:pPr>
        <w:spacing w:after="0" w:line="95"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For the three months ended December 31, 2022 and 2021, the Company recognized a provision for taxes of $0.7 million and $1.5 million, respectively, on unrealized appreciation on investments by the Taxable Subsidiary. The provision for taxes on unrealized appreciation on investments is the result of netting (i) the expected tax liability on gains from sales of investments and (ii) the expected tax benefit from the use of losses in the current year. As of December 31, 2022 and September 30, 2022, $5.3 million and $4.6 million, respectively, was accrued as a deferred tax liability on the Consolidated Statements of Assets and Liabilities relating to unrealized gain on investments held by the Taxable Subsidiary. During the three months ended December 31, 2022 and 2021, the Company paid zero, respectively, in taxes on realized gains on the sale of investments held by the Taxable Subsidiary, resulting in zero prepaid tax asset as of December 31, 2022 included under prepaid expenses and other assets in the Consolidated Statement of Assets and Liabilities.</w:t>
      </w:r>
    </w:p>
    <w:p>
      <w:pPr>
        <w:spacing w:after="0" w:line="11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0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of assets and liabilities to reflect their tax character. Temporary differences arise when certain items of income, expense, gain or loss are recognized at some time in the future.</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 Distributions and Capital Transactions</w:t>
      </w:r>
    </w:p>
    <w:p>
      <w:pPr>
        <w:spacing w:after="0" w:line="14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may be distributed at least annually. The tax attributes for distributions will generally include ordinary income and capital gains but may also include certain tax-qualified dividends and/or a return of capital.</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Capital transactions through offerings of our common stock are recorded when issued and offering costs are charged as a reduction of capital upon issuance of our common stock.</w:t>
      </w:r>
    </w:p>
    <w:p>
      <w:pPr>
        <w:spacing w:after="0" w:line="132" w:lineRule="exact"/>
        <w:rPr>
          <w:sz w:val="20"/>
          <w:szCs w:val="20"/>
          <w:color w:val="auto"/>
        </w:rPr>
      </w:pPr>
    </w:p>
    <w:p>
      <w:pPr>
        <w:ind w:left="460" w:hanging="197"/>
        <w:spacing w:after="0"/>
        <w:tabs>
          <w:tab w:leader="none" w:pos="460" w:val="left"/>
        </w:tabs>
        <w:numPr>
          <w:ilvl w:val="0"/>
          <w:numId w:val="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40" w:lineRule="exact"/>
        <w:rPr>
          <w:rFonts w:ascii="Times New Roman" w:cs="Times New Roman" w:eastAsia="Times New Roman" w:hAnsi="Times New Roman"/>
          <w:sz w:val="14"/>
          <w:szCs w:val="14"/>
          <w:b w:val="1"/>
          <w:bCs w:val="1"/>
          <w:i w:val="1"/>
          <w:iCs w:val="1"/>
          <w:color w:val="auto"/>
        </w:rPr>
      </w:pPr>
    </w:p>
    <w:p>
      <w:pPr>
        <w:ind w:left="46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136" w:lineRule="exact"/>
        <w:rPr>
          <w:rFonts w:ascii="Times New Roman" w:cs="Times New Roman" w:eastAsia="Times New Roman" w:hAnsi="Times New Roman"/>
          <w:sz w:val="14"/>
          <w:szCs w:val="14"/>
          <w:b w:val="1"/>
          <w:bCs w:val="1"/>
          <w:i w:val="1"/>
          <w:iCs w:val="1"/>
          <w:color w:val="auto"/>
        </w:rPr>
      </w:pPr>
    </w:p>
    <w:p>
      <w:pPr>
        <w:ind w:left="860" w:hanging="384"/>
        <w:spacing w:after="0"/>
        <w:tabs>
          <w:tab w:leader="none" w:pos="8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136" w:lineRule="exact"/>
        <w:rPr>
          <w:rFonts w:ascii="Times New Roman" w:cs="Times New Roman" w:eastAsia="Times New Roman" w:hAnsi="Times New Roman"/>
          <w:sz w:val="14"/>
          <w:szCs w:val="14"/>
          <w:color w:val="auto"/>
        </w:rPr>
      </w:pPr>
    </w:p>
    <w:p>
      <w:pPr>
        <w:ind w:left="860" w:hanging="384"/>
        <w:spacing w:after="0"/>
        <w:tabs>
          <w:tab w:leader="none" w:pos="8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 Consolidation</w:t>
      </w:r>
    </w:p>
    <w:p>
      <w:pPr>
        <w:spacing w:after="0" w:line="14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As permitted under Regulation S-X and as explained by ASC paragraph 946-810-45-3, PennantPark Floating Rate Capital Ltd. will generally not consolidate its investment in a company other than an investment company wholly-owned subsidiary or a controlled operating company whose business consists of providing services to us. Accordingly, we have consolidated the results of our taxable subsidiaries, including the Taxable Subsidiary, Funding I and the Securitization Issuer in our Consolidated Financial Statements. We do not consolidate our non-controlling interest in PSSL or PTSF. See further description of our investment in PSSL in Note 4.</w:t>
      </w:r>
    </w:p>
    <w:p>
      <w:pPr>
        <w:spacing w:after="0" w:line="1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 Asset Transfers and Servicing</w:t>
      </w:r>
    </w:p>
    <w:p>
      <w:pPr>
        <w:spacing w:after="0" w:line="14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of its assets and such assets are not intended to be available to the creditors of PennantPark Floating Rate Capital Ltd. or any of its affiliates.</w:t>
      </w:r>
    </w:p>
    <w:p>
      <w:pPr>
        <w:spacing w:after="0" w:line="1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i w:val="1"/>
          <w:iCs w:val="1"/>
          <w:color w:val="auto"/>
        </w:rPr>
        <w:t>(h) Recent Accounting Pronouncements</w:t>
      </w:r>
    </w:p>
    <w:p>
      <w:pPr>
        <w:spacing w:after="0" w:line="140" w:lineRule="exact"/>
        <w:rPr>
          <w:sz w:val="20"/>
          <w:szCs w:val="20"/>
          <w:color w:val="auto"/>
        </w:rPr>
      </w:pPr>
    </w:p>
    <w:p>
      <w:pPr>
        <w:jc w:val="both"/>
        <w:ind w:firstLine="480"/>
        <w:spacing w:after="0" w:line="233" w:lineRule="auto"/>
        <w:rPr>
          <w:sz w:val="20"/>
          <w:szCs w:val="20"/>
          <w:color w:val="auto"/>
        </w:rPr>
      </w:pPr>
      <w:r>
        <w:rPr>
          <w:rFonts w:ascii="Times New Roman" w:cs="Times New Roman" w:eastAsia="Times New Roman" w:hAnsi="Times New Roman"/>
          <w:sz w:val="14"/>
          <w:szCs w:val="14"/>
          <w:color w:val="auto"/>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utilized the optional expedients and exceptions provided by ASU 2020-04 during the year ended September 30, 2022, the effect of which was not material to the consolidated financial statements and the notes thereto.</w:t>
      </w:r>
    </w:p>
    <w:p>
      <w:pPr>
        <w:spacing w:after="0" w:line="110"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In March 2022, the FASB issued ASU No.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is currently evaluating the impact the adoption of this new accounting standard will have on its consolidated financial statements, but the impact of the adoption is not expected to be material.</w:t>
      </w:r>
    </w:p>
    <w:p>
      <w:pPr>
        <w:spacing w:after="0" w:line="110"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In June 2022, the FASB issued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08"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AGREEMENTS AND RELATED PARTY TRANSACTIONS</w:t>
      </w:r>
    </w:p>
    <w:p>
      <w:pPr>
        <w:spacing w:after="0" w:line="134" w:lineRule="exact"/>
        <w:rPr>
          <w:rFonts w:ascii="Times New Roman" w:cs="Times New Roman" w:eastAsia="Times New Roman" w:hAnsi="Times New Roman"/>
          <w:sz w:val="14"/>
          <w:szCs w:val="14"/>
          <w:b w:val="1"/>
          <w:bCs w:val="1"/>
          <w:color w:val="auto"/>
        </w:rPr>
      </w:pPr>
    </w:p>
    <w:p>
      <w:pPr>
        <w:ind w:left="580" w:hanging="272"/>
        <w:spacing w:after="0"/>
        <w:tabs>
          <w:tab w:leader="none" w:pos="580" w:val="left"/>
        </w:tabs>
        <w:numPr>
          <w:ilvl w:val="1"/>
          <w:numId w:val="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Investment Management Agreement</w:t>
      </w:r>
    </w:p>
    <w:p>
      <w:pPr>
        <w:spacing w:after="0" w:line="140"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The Investment Management Agreement with the Investment Adviser was reapproved by our board of directors, including a majority of our directors who are not interested persons of us or the Investment Adviser, in February 2023.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 a base management fee and an incentive fee.</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Base Management Fee</w:t>
      </w:r>
    </w:p>
    <w:p>
      <w:pPr>
        <w:spacing w:after="0" w:line="140"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2022 and 2021 the Investment Adviser earned a base management fee of $2.9 million and $2.9 million respectively, from us.</w:t>
      </w:r>
    </w:p>
    <w:p>
      <w:pPr>
        <w:spacing w:after="0" w:line="1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Incentive Fee</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incentive fee has two parts, as follows:</w:t>
      </w:r>
    </w:p>
    <w:p>
      <w:pPr>
        <w:spacing w:after="0" w:line="136" w:lineRule="exact"/>
        <w:rPr>
          <w:sz w:val="20"/>
          <w:szCs w:val="20"/>
          <w:color w:val="auto"/>
        </w:rPr>
      </w:pPr>
    </w:p>
    <w:p>
      <w:pPr>
        <w:jc w:val="both"/>
        <w:ind w:firstLine="449"/>
        <w:spacing w:after="0" w:line="225" w:lineRule="auto"/>
        <w:rPr>
          <w:sz w:val="20"/>
          <w:szCs w:val="20"/>
          <w:color w:val="auto"/>
        </w:rPr>
      </w:pPr>
      <w:r>
        <w:rPr>
          <w:rFonts w:ascii="Times New Roman" w:cs="Times New Roman" w:eastAsia="Times New Roman" w:hAnsi="Times New Roman"/>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4"/>
          <w:szCs w:val="14"/>
          <w:color w:val="auto"/>
        </w:rPr>
        <w:t>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months ended December 31, 2022 and 2021, the Investment Adviser earned $3.4 million and $3.2 million, respectively, in incentive fees on net investment income from us.</w:t>
      </w:r>
    </w:p>
    <w:p>
      <w:pPr>
        <w:spacing w:after="0" w:line="111"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2022 and 2021, the Investment Adviser did not accrue an incentive fee on capital gains, as calculated under the Investment Management Agreement (as described above).</w:t>
      </w:r>
    </w:p>
    <w:p>
      <w:pPr>
        <w:spacing w:after="0" w:line="109"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but not payable, under GAAP on our unrealized and realized capital gains for the three months ended December 31, 2022 and 2021, was zero, respectively.</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(b)  Administration Agreement</w:t>
      </w:r>
    </w:p>
    <w:p>
      <w:pPr>
        <w:spacing w:after="0" w:line="140"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The Administration Agreement with the Administrator was reapproved by our board of directors, including a majority of the directors who are not interested persons of us, in February 2023.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Corporate Counsel and their respective staffs. The amount billed by the Administrator may include credits related to its administrative agreement with PSSL.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months ended December 31, 2022 and 2021, we reimbursed the Administrator approximately $0.3 million and $0.1 million, respectively, including expenses the Administrator incurred for services described above.</w:t>
      </w:r>
    </w:p>
    <w:p>
      <w:pPr>
        <w:spacing w:after="0" w:line="21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or its affiliates on matters related to potential or actual investments and transactions, including tax structuring and/or due diligence.</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(c) Other Related Party Transactions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There were no transactions subject to Rule 17a-7 under the 1940 Act during each of the three months ended December 31, 2022 and 2021.</w:t>
      </w:r>
    </w:p>
    <w:p>
      <w:pPr>
        <w:spacing w:after="0" w:line="136"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2022 and 2021, we sold $18.8 million and $122.7 in investments to PSSL at fair value, respectively, and recognized zero and $(0.3) million of net realized losses, respectively, for the same period.</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three months ended December 31, 2022 and 2021, we sold no investments to PTSF.</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INVESTMENTS</w:t>
      </w:r>
    </w:p>
    <w:p>
      <w:pPr>
        <w:spacing w:after="0" w:line="138"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Purchases of investments, including PIK interest, for the three months ended December 31, 2022 and 2021 totaled $65.6 million and $335.1 million, respectively. Sales and repayments of investments for the three months ended December 31, 2022 and 2021 totaled $63.0 million and $238.4 million, respectively.</w:t>
      </w: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ind w:right="2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Investments and cash and cash equivalents consisted of the following:</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7"/>
                <w:szCs w:val="17"/>
                <w:color w:val="auto"/>
              </w:rPr>
            </w:pPr>
          </w:p>
        </w:tc>
      </w:tr>
      <w:tr>
        <w:trPr>
          <w:trHeight w:val="169"/>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Classification</w:t>
            </w:r>
          </w:p>
        </w:tc>
        <w:tc>
          <w:tcPr>
            <w:tcW w:w="320" w:type="dxa"/>
            <w:vAlign w:val="bottom"/>
          </w:tcPr>
          <w:p>
            <w:pPr>
              <w:spacing w:after="0"/>
              <w:rPr>
                <w:sz w:val="14"/>
                <w:szCs w:val="14"/>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169"/>
        </w:trPr>
        <w:tc>
          <w:tcPr>
            <w:tcW w:w="44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shd w:val="clear" w:color="auto" w:fill="CCECFF"/>
          </w:tcPr>
          <w:p>
            <w:pPr>
              <w:spacing w:after="0"/>
              <w:rPr>
                <w:sz w:val="14"/>
                <w:szCs w:val="14"/>
                <w:color w:val="auto"/>
              </w:rPr>
            </w:pPr>
          </w:p>
        </w:tc>
        <w:tc>
          <w:tcPr>
            <w:tcW w:w="320" w:type="dxa"/>
            <w:vAlign w:val="bottom"/>
            <w:tcBorders>
              <w:top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825,620</w:t>
            </w:r>
          </w:p>
        </w:tc>
        <w:tc>
          <w:tcPr>
            <w:tcW w:w="30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798,840</w:t>
            </w:r>
          </w:p>
        </w:tc>
        <w:tc>
          <w:tcPr>
            <w:tcW w:w="260" w:type="dxa"/>
            <w:vAlign w:val="bottom"/>
            <w:shd w:val="clear" w:color="auto" w:fill="CCECFF"/>
          </w:tcPr>
          <w:p>
            <w:pPr>
              <w:spacing w:after="0"/>
              <w:rPr>
                <w:sz w:val="14"/>
                <w:szCs w:val="14"/>
                <w:color w:val="auto"/>
              </w:rPr>
            </w:pPr>
          </w:p>
        </w:tc>
        <w:tc>
          <w:tcPr>
            <w:tcW w:w="320" w:type="dxa"/>
            <w:vAlign w:val="bottom"/>
            <w:tcBorders>
              <w:top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838,842</w:t>
            </w:r>
          </w:p>
        </w:tc>
        <w:tc>
          <w:tcPr>
            <w:tcW w:w="2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819,461</w:t>
            </w:r>
          </w:p>
        </w:tc>
        <w:tc>
          <w:tcPr>
            <w:tcW w:w="100" w:type="dxa"/>
            <w:vAlign w:val="bottom"/>
            <w:shd w:val="clear" w:color="auto" w:fill="CCECFF"/>
          </w:tcPr>
          <w:p>
            <w:pPr>
              <w:spacing w:after="0"/>
              <w:rPr>
                <w:sz w:val="14"/>
                <w:szCs w:val="14"/>
                <w:color w:val="auto"/>
              </w:rPr>
            </w:pPr>
          </w:p>
        </w:tc>
      </w:tr>
      <w:tr>
        <w:trPr>
          <w:trHeight w:val="175"/>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First lien in PSSL</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199,369</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199,369</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190,181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190,181</w:t>
            </w:r>
          </w:p>
        </w:tc>
        <w:tc>
          <w:tcPr>
            <w:tcW w:w="100" w:type="dxa"/>
            <w:vAlign w:val="bottom"/>
          </w:tcPr>
          <w:p>
            <w:pPr>
              <w:spacing w:after="0"/>
              <w:rPr>
                <w:sz w:val="15"/>
                <w:szCs w:val="15"/>
                <w:color w:val="auto"/>
              </w:rPr>
            </w:pPr>
          </w:p>
        </w:tc>
      </w:tr>
      <w:tr>
        <w:trPr>
          <w:trHeight w:val="176"/>
        </w:trPr>
        <w:tc>
          <w:tcPr>
            <w:tcW w:w="45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320" w:type="dxa"/>
            <w:vAlign w:val="bottom"/>
            <w:shd w:val="clear" w:color="auto" w:fill="CCECFF"/>
          </w:tcPr>
          <w:p>
            <w:pPr>
              <w:spacing w:after="0"/>
              <w:rPr>
                <w:sz w:val="15"/>
                <w:szCs w:val="15"/>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3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CFF"/>
          </w:tcPr>
          <w:p>
            <w:pPr>
              <w:spacing w:after="0"/>
              <w:rPr>
                <w:sz w:val="15"/>
                <w:szCs w:val="15"/>
                <w:color w:val="auto"/>
              </w:rPr>
            </w:pPr>
          </w:p>
        </w:tc>
      </w:tr>
      <w:tr>
        <w:trPr>
          <w:trHeight w:val="176"/>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69,479</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104,486</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65,715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105,031</w:t>
            </w:r>
          </w:p>
        </w:tc>
        <w:tc>
          <w:tcPr>
            <w:tcW w:w="100" w:type="dxa"/>
            <w:vAlign w:val="bottom"/>
          </w:tcPr>
          <w:p>
            <w:pPr>
              <w:spacing w:after="0"/>
              <w:rPr>
                <w:sz w:val="15"/>
                <w:szCs w:val="15"/>
                <w:color w:val="auto"/>
              </w:rPr>
            </w:pPr>
          </w:p>
        </w:tc>
      </w:tr>
      <w:tr>
        <w:trPr>
          <w:trHeight w:val="175"/>
        </w:trPr>
        <w:tc>
          <w:tcPr>
            <w:tcW w:w="45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 interests in PSSL</w:t>
            </w:r>
          </w:p>
        </w:tc>
        <w:tc>
          <w:tcPr>
            <w:tcW w:w="320" w:type="dxa"/>
            <w:vAlign w:val="bottom"/>
            <w:tcBorders>
              <w:bottom w:val="single" w:sz="8" w:color="auto"/>
            </w:tcBorders>
            <w:shd w:val="clear" w:color="auto" w:fill="CCECFF"/>
          </w:tcPr>
          <w:p>
            <w:pPr>
              <w:spacing w:after="0"/>
              <w:rPr>
                <w:sz w:val="15"/>
                <w:szCs w:val="15"/>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85,444</w:t>
            </w:r>
          </w:p>
        </w:tc>
        <w:tc>
          <w:tcPr>
            <w:tcW w:w="30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48,295</w:t>
            </w:r>
          </w:p>
        </w:tc>
        <w:tc>
          <w:tcPr>
            <w:tcW w:w="260" w:type="dxa"/>
            <w:vAlign w:val="bottom"/>
            <w:tcBorders>
              <w:bottom w:val="single" w:sz="8" w:color="CCECFF"/>
            </w:tcBorders>
            <w:shd w:val="clear" w:color="auto" w:fill="CCECFF"/>
          </w:tcPr>
          <w:p>
            <w:pPr>
              <w:spacing w:after="0"/>
              <w:rPr>
                <w:sz w:val="15"/>
                <w:szCs w:val="15"/>
                <w:color w:val="auto"/>
              </w:rPr>
            </w:pPr>
          </w:p>
        </w:tc>
        <w:tc>
          <w:tcPr>
            <w:tcW w:w="320" w:type="dxa"/>
            <w:vAlign w:val="bottom"/>
            <w:tcBorders>
              <w:bottom w:val="single" w:sz="8" w:color="auto"/>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81,506</w:t>
            </w:r>
          </w:p>
        </w:tc>
        <w:tc>
          <w:tcPr>
            <w:tcW w:w="26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49,434</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1,181,025</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1,151,137</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1,177,357</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1,164,254</w:t>
            </w:r>
          </w:p>
        </w:tc>
        <w:tc>
          <w:tcPr>
            <w:tcW w:w="100" w:type="dxa"/>
            <w:vAlign w:val="bottom"/>
          </w:tcPr>
          <w:p>
            <w:pPr>
              <w:spacing w:after="0"/>
              <w:rPr>
                <w:sz w:val="14"/>
                <w:szCs w:val="14"/>
                <w:color w:val="auto"/>
              </w:rPr>
            </w:pPr>
          </w:p>
        </w:tc>
      </w:tr>
      <w:tr>
        <w:trPr>
          <w:trHeight w:val="169"/>
        </w:trPr>
        <w:tc>
          <w:tcPr>
            <w:tcW w:w="45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52,944</w:t>
            </w:r>
          </w:p>
        </w:tc>
        <w:tc>
          <w:tcPr>
            <w:tcW w:w="30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52,935</w:t>
            </w:r>
          </w:p>
        </w:tc>
        <w:tc>
          <w:tcPr>
            <w:tcW w:w="26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47,917</w:t>
            </w:r>
          </w:p>
        </w:tc>
        <w:tc>
          <w:tcPr>
            <w:tcW w:w="2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47,880</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1,233,969</w:t>
            </w:r>
          </w:p>
        </w:tc>
        <w:tc>
          <w:tcPr>
            <w:tcW w:w="5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1,204,072</w:t>
            </w:r>
          </w:p>
        </w:tc>
        <w:tc>
          <w:tcPr>
            <w:tcW w:w="5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1,225,274</w:t>
            </w:r>
          </w:p>
        </w:tc>
        <w:tc>
          <w:tcPr>
            <w:tcW w:w="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1,212,134</w:t>
            </w:r>
          </w:p>
        </w:tc>
        <w:tc>
          <w:tcPr>
            <w:tcW w:w="100" w:type="dxa"/>
            <w:vAlign w:val="bottom"/>
          </w:tcPr>
          <w:p>
            <w:pPr>
              <w:spacing w:after="0"/>
              <w:rPr>
                <w:sz w:val="14"/>
                <w:szCs w:val="14"/>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-385445</wp:posOffset>
            </wp:positionV>
            <wp:extent cx="7747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-385445</wp:posOffset>
            </wp:positionV>
            <wp:extent cx="6858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-385445</wp:posOffset>
            </wp:positionV>
            <wp:extent cx="68580"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-144780</wp:posOffset>
            </wp:positionV>
            <wp:extent cx="7747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-144780</wp:posOffset>
            </wp:positionV>
            <wp:extent cx="6858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-144780</wp:posOffset>
            </wp:positionV>
            <wp:extent cx="6858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06" w:lineRule="exact"/>
        <w:rPr>
          <w:sz w:val="20"/>
          <w:szCs w:val="20"/>
          <w:color w:val="auto"/>
        </w:rPr>
      </w:pPr>
    </w:p>
    <w:p>
      <w:pPr>
        <w:ind w:right="220" w:firstLine="449"/>
        <w:spacing w:after="0" w:line="250" w:lineRule="auto"/>
        <w:rPr>
          <w:sz w:val="20"/>
          <w:szCs w:val="20"/>
          <w:color w:val="auto"/>
        </w:rPr>
      </w:pPr>
      <w:r>
        <w:rPr>
          <w:rFonts w:ascii="Times New Roman" w:cs="Times New Roman" w:eastAsia="Times New Roman" w:hAnsi="Times New Roman"/>
          <w:sz w:val="14"/>
          <w:szCs w:val="14"/>
          <w:color w:val="auto"/>
        </w:rPr>
        <w:t>The table below describes investments by industry classification and enumerates the percentage, by fair value, of the total portfolio assets (excluding cash and cash equivalents) in such industries:</w:t>
      </w:r>
    </w:p>
    <w:tbl>
      <w:tblPr>
        <w:tblLayout w:type="fixed"/>
        <w:tblInd w:w="0" w:type="dxa"/>
        <w:tblCellMar>
          <w:top w:w="0" w:type="dxa"/>
          <w:left w:w="0" w:type="dxa"/>
          <w:bottom w:w="0" w:type="dxa"/>
          <w:right w:w="0" w:type="dxa"/>
        </w:tblCellMar>
      </w:tblPr>
      <w:tr>
        <w:trPr>
          <w:trHeight w:val="200"/>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120" w:type="dxa"/>
            <w:vAlign w:val="bottom"/>
          </w:tcPr>
          <w:p>
            <w:pPr>
              <w:spacing w:after="0"/>
              <w:rPr>
                <w:sz w:val="17"/>
                <w:szCs w:val="17"/>
                <w:color w:val="auto"/>
              </w:rPr>
            </w:pPr>
          </w:p>
        </w:tc>
        <w:tc>
          <w:tcPr>
            <w:tcW w:w="1820" w:type="dxa"/>
            <w:vAlign w:val="bottom"/>
            <w:gridSpan w:val="2"/>
          </w:tcPr>
          <w:p>
            <w:pPr>
              <w:jc w:val="right"/>
              <w:ind w:right="308"/>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December 31, 2022 </w:t>
            </w:r>
            <w:r>
              <w:rPr>
                <w:rFonts w:ascii="Times New Roman" w:cs="Times New Roman" w:eastAsia="Times New Roman" w:hAnsi="Times New Roman"/>
                <w:sz w:val="19"/>
                <w:szCs w:val="19"/>
                <w:b w:val="1"/>
                <w:bCs w:val="1"/>
                <w:color w:val="auto"/>
                <w:vertAlign w:val="superscript"/>
              </w:rPr>
              <w:t>(1)</w:t>
            </w:r>
          </w:p>
        </w:tc>
        <w:tc>
          <w:tcPr>
            <w:tcW w:w="1800" w:type="dxa"/>
            <w:vAlign w:val="bottom"/>
            <w:gridSpan w:val="3"/>
          </w:tcPr>
          <w:p>
            <w:pPr>
              <w:ind w:left="160"/>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September 30, 2022 </w:t>
            </w:r>
            <w:r>
              <w:rPr>
                <w:rFonts w:ascii="Times New Roman" w:cs="Times New Roman" w:eastAsia="Times New Roman" w:hAnsi="Times New Roman"/>
                <w:sz w:val="19"/>
                <w:szCs w:val="19"/>
                <w:b w:val="1"/>
                <w:bCs w:val="1"/>
                <w:color w:val="auto"/>
                <w:vertAlign w:val="superscript"/>
              </w:rPr>
              <w:t>(1)</w:t>
            </w:r>
          </w:p>
        </w:tc>
      </w:tr>
      <w:tr>
        <w:trPr>
          <w:trHeight w:val="169"/>
        </w:trPr>
        <w:tc>
          <w:tcPr>
            <w:tcW w:w="7520" w:type="dxa"/>
            <w:vAlign w:val="bottom"/>
            <w:tcBorders>
              <w:top w:val="single" w:sz="8" w:color="auto"/>
            </w:tcBorders>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Media</w:t>
            </w:r>
          </w:p>
        </w:tc>
        <w:tc>
          <w:tcPr>
            <w:tcW w:w="120" w:type="dxa"/>
            <w:vAlign w:val="bottom"/>
            <w:shd w:val="clear" w:color="auto" w:fill="CCECFF"/>
          </w:tcPr>
          <w:p>
            <w:pPr>
              <w:spacing w:after="0"/>
              <w:rPr>
                <w:sz w:val="14"/>
                <w:szCs w:val="14"/>
                <w:color w:val="auto"/>
              </w:rPr>
            </w:pPr>
          </w:p>
        </w:tc>
        <w:tc>
          <w:tcPr>
            <w:tcW w:w="1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4"/>
                <w:szCs w:val="14"/>
                <w:color w:val="auto"/>
              </w:rPr>
            </w:pPr>
          </w:p>
        </w:tc>
      </w:tr>
      <w:tr>
        <w:trPr>
          <w:trHeight w:val="175"/>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IT Services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5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1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Commercial Services &amp; Supplies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5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Diversified Consumer Services</w:t>
            </w:r>
          </w:p>
        </w:tc>
        <w:tc>
          <w:tcPr>
            <w:tcW w:w="1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High Tech Industries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Media: Diversified and Production</w:t>
            </w:r>
          </w:p>
        </w:tc>
        <w:tc>
          <w:tcPr>
            <w:tcW w:w="1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Personal Products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Aerospace and Defense</w:t>
            </w:r>
          </w:p>
        </w:tc>
        <w:tc>
          <w:tcPr>
            <w:tcW w:w="1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Capital Equipment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Electronic Equipment, Instruments, and Components</w:t>
            </w:r>
          </w:p>
        </w:tc>
        <w:tc>
          <w:tcPr>
            <w:tcW w:w="1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Healthcare Technology</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5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Construction and Building</w:t>
            </w:r>
          </w:p>
        </w:tc>
        <w:tc>
          <w:tcPr>
            <w:tcW w:w="1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Business Services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5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1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Consumer Services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5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Distributors</w:t>
            </w:r>
          </w:p>
        </w:tc>
        <w:tc>
          <w:tcPr>
            <w:tcW w:w="1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Healthcare Equipment and Supplies</w:t>
            </w:r>
          </w:p>
        </w:tc>
        <w:tc>
          <w:tcPr>
            <w:tcW w:w="1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Healthcare Providers and Services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5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1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Media: Broadcasting and Subscription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Air Freight and Logistics</w:t>
            </w:r>
          </w:p>
        </w:tc>
        <w:tc>
          <w:tcPr>
            <w:tcW w:w="1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Automobiles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Banking, Finance, Insurance &amp; Real Estate</w:t>
            </w:r>
          </w:p>
        </w:tc>
        <w:tc>
          <w:tcPr>
            <w:tcW w:w="1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Building Products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5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Construction &amp; Engineering</w:t>
            </w:r>
          </w:p>
        </w:tc>
        <w:tc>
          <w:tcPr>
            <w:tcW w:w="1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CFF"/>
          </w:tcPr>
          <w:p>
            <w:pPr>
              <w:spacing w:after="0"/>
              <w:rPr>
                <w:sz w:val="15"/>
                <w:szCs w:val="15"/>
                <w:color w:val="auto"/>
              </w:rPr>
            </w:pPr>
          </w:p>
        </w:tc>
        <w:tc>
          <w:tcPr>
            <w:tcW w:w="1780" w:type="dxa"/>
            <w:vAlign w:val="bottom"/>
            <w:gridSpan w:val="2"/>
            <w:shd w:val="clear" w:color="auto" w:fill="CCEC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75"/>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Energy Equipment and Services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Financial Services</w:t>
            </w:r>
          </w:p>
        </w:tc>
        <w:tc>
          <w:tcPr>
            <w:tcW w:w="1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Food Products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Hotels, Restaurants and Leisure</w:t>
            </w:r>
          </w:p>
        </w:tc>
        <w:tc>
          <w:tcPr>
            <w:tcW w:w="1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Leisure Products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5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Textiles, Apparel and Luxury Goods</w:t>
            </w:r>
          </w:p>
        </w:tc>
        <w:tc>
          <w:tcPr>
            <w:tcW w:w="17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Wholesale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520" w:type="dxa"/>
            <w:vAlign w:val="bottom"/>
            <w:tcBorders>
              <w:bottom w:val="single" w:sz="8" w:color="CCECFF"/>
            </w:tcBorders>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All Other</w:t>
            </w:r>
          </w:p>
        </w:tc>
        <w:tc>
          <w:tcPr>
            <w:tcW w:w="120" w:type="dxa"/>
            <w:vAlign w:val="bottom"/>
            <w:tcBorders>
              <w:bottom w:val="single" w:sz="8" w:color="CCECFF"/>
            </w:tcBorders>
            <w:shd w:val="clear" w:color="auto" w:fill="CCECFF"/>
          </w:tcPr>
          <w:p>
            <w:pPr>
              <w:spacing w:after="0"/>
              <w:rPr>
                <w:sz w:val="15"/>
                <w:szCs w:val="15"/>
                <w:color w:val="auto"/>
              </w:rPr>
            </w:pPr>
          </w:p>
        </w:tc>
        <w:tc>
          <w:tcPr>
            <w:tcW w:w="1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Borders>
              <w:bottom w:val="single" w:sz="8" w:color="CCECFF"/>
            </w:tcBorders>
            <w:shd w:val="clear" w:color="auto" w:fill="CCECFF"/>
          </w:tcPr>
          <w:p>
            <w:pPr>
              <w:spacing w:after="0"/>
              <w:rPr>
                <w:sz w:val="15"/>
                <w:szCs w:val="15"/>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CFF"/>
            </w:tcBorders>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3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 xml:space="preserve">100 </w:t>
            </w:r>
            <w:r>
              <w:rPr>
                <w:rFonts w:ascii="Times New Roman" w:cs="Times New Roman" w:eastAsia="Times New Roman" w:hAnsi="Times New Roman"/>
                <w:sz w:val="14"/>
                <w:szCs w:val="14"/>
                <w:color w:val="auto"/>
                <w:highlight w:val="white"/>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100 </w:t>
            </w:r>
            <w:r>
              <w:rPr>
                <w:rFonts w:ascii="Times New Roman" w:cs="Times New Roman" w:eastAsia="Times New Roman" w:hAnsi="Times New Roman"/>
                <w:sz w:val="14"/>
                <w:szCs w:val="14"/>
                <w:color w:val="auto"/>
                <w:highlight w:val="white"/>
              </w:rPr>
              <w:t>%</w:t>
            </w:r>
          </w:p>
        </w:tc>
        <w:tc>
          <w:tcPr>
            <w:tcW w:w="20" w:type="dxa"/>
            <w:vAlign w:val="bottom"/>
          </w:tcPr>
          <w:p>
            <w:pPr>
              <w:spacing w:after="0"/>
              <w:rPr>
                <w:sz w:val="14"/>
                <w:szCs w:val="14"/>
                <w:color w:val="auto"/>
              </w:rPr>
            </w:pPr>
          </w:p>
        </w:tc>
      </w:tr>
      <w:tr>
        <w:trPr>
          <w:trHeight w:val="20"/>
        </w:trPr>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34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0"/>
        </w:trPr>
        <w:tc>
          <w:tcPr>
            <w:tcW w:w="340" w:type="dxa"/>
            <w:vAlign w:val="bottom"/>
          </w:tcPr>
          <w:p>
            <w:pPr>
              <w:spacing w:after="0"/>
              <w:rPr>
                <w:sz w:val="20"/>
                <w:szCs w:val="20"/>
                <w:color w:val="auto"/>
              </w:rPr>
            </w:pPr>
            <w:r>
              <w:rPr>
                <w:rFonts w:ascii="Times New Roman" w:cs="Times New Roman" w:eastAsia="Times New Roman" w:hAnsi="Times New Roman"/>
                <w:sz w:val="10"/>
                <w:szCs w:val="10"/>
                <w:color w:val="auto"/>
              </w:rPr>
              <w:t>(1)</w:t>
            </w:r>
          </w:p>
        </w:tc>
        <w:tc>
          <w:tcPr>
            <w:tcW w:w="7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Excludes investments in PSSL.</w:t>
            </w: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Secured Loan Fund I LLC</w:t>
      </w:r>
    </w:p>
    <w:p>
      <w:pPr>
        <w:spacing w:after="0" w:line="138" w:lineRule="exact"/>
        <w:rPr>
          <w:sz w:val="20"/>
          <w:szCs w:val="20"/>
          <w:color w:val="auto"/>
        </w:rPr>
      </w:pPr>
    </w:p>
    <w:p>
      <w:pPr>
        <w:jc w:val="both"/>
        <w:ind w:right="20" w:firstLine="449"/>
        <w:spacing w:after="0" w:line="233" w:lineRule="auto"/>
        <w:rPr>
          <w:sz w:val="20"/>
          <w:szCs w:val="20"/>
          <w:color w:val="auto"/>
        </w:rPr>
      </w:pPr>
      <w:r>
        <w:rPr>
          <w:rFonts w:ascii="Times New Roman" w:cs="Times New Roman" w:eastAsia="Times New Roman" w:hAnsi="Times New Roman"/>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December 31, 2022 and September 30, 2022, PSSL had total assets of $797.4 million and $796.8 million, respectively, and its investment portfolio consisted of debt investments in 100 and 95 portfolio companies, respectively. As of December 31, 2022, at fair value, the largest investment in a single portfolio company in PSSL was $18.1 million and the five largest investments totaled $84.3 million. As of September 30, 2022, at fair value, the largest investment in a single portfolio company in PSSL was $19.3 million and the five largest investments totaled $86.9 million. PSSL invests in portfolio companies in the same industries in which we may directly invest.</w:t>
      </w:r>
    </w:p>
    <w:p>
      <w:pPr>
        <w:spacing w:after="0" w:line="110" w:lineRule="exact"/>
        <w:rPr>
          <w:sz w:val="20"/>
          <w:szCs w:val="20"/>
          <w:color w:val="auto"/>
        </w:rPr>
      </w:pPr>
    </w:p>
    <w:p>
      <w:pPr>
        <w:jc w:val="both"/>
        <w:ind w:right="20" w:firstLine="449"/>
        <w:spacing w:after="0" w:line="236" w:lineRule="auto"/>
        <w:rPr>
          <w:sz w:val="20"/>
          <w:szCs w:val="20"/>
          <w:color w:val="auto"/>
        </w:rPr>
      </w:pPr>
      <w:r>
        <w:rPr>
          <w:rFonts w:ascii="Times New Roman" w:cs="Times New Roman" w:eastAsia="Times New Roman" w:hAnsi="Times New Roman"/>
          <w:sz w:val="14"/>
          <w:szCs w:val="14"/>
          <w:color w:val="auto"/>
        </w:rPr>
        <w:t>We and Kemper provide capital to PSSL in the form of first lien secured debt and equity interests. As of December 31, 2022 and September 30, 2022, we and Kemper owned 87.5% and 12.5%, respectively, of each of the outstanding first lien secured debt and equity interests. As of the same dates, our investment in PSSL consisted of first lien secured debt of $199.4 million (additional $10.7 million unfunded) and $190.2 million (additional $19.9 million unfunded), respectively, and equity interests of $85.4 million (additional $4.6 million unfunded) and $81.5 million (additional $8.5 million unfunded), respectively.</w:t>
      </w:r>
    </w:p>
    <w:p>
      <w:pPr>
        <w:spacing w:after="0" w:line="109" w:lineRule="exact"/>
        <w:rPr>
          <w:sz w:val="20"/>
          <w:szCs w:val="20"/>
          <w:color w:val="auto"/>
        </w:rPr>
      </w:pPr>
    </w:p>
    <w:p>
      <w:pPr>
        <w:jc w:val="both"/>
        <w:ind w:right="20" w:firstLine="449"/>
        <w:spacing w:after="0" w:line="233" w:lineRule="auto"/>
        <w:rPr>
          <w:sz w:val="20"/>
          <w:szCs w:val="20"/>
          <w:color w:val="auto"/>
        </w:rPr>
      </w:pPr>
      <w:r>
        <w:rPr>
          <w:rFonts w:ascii="Times New Roman" w:cs="Times New Roman" w:eastAsia="Times New Roman" w:hAnsi="Times New Roman"/>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w:t>
      </w:r>
    </w:p>
    <w:p>
      <w:pPr>
        <w:jc w:val="center"/>
        <w:ind w:right="2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4" w:name="page25"/>
    <w:bookmarkEnd w:id="2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ind w:right="2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4"/>
          <w:szCs w:val="14"/>
          <w:color w:val="auto"/>
        </w:rPr>
        <w:t>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09" w:lineRule="exact"/>
        <w:rPr>
          <w:sz w:val="20"/>
          <w:szCs w:val="20"/>
          <w:color w:val="auto"/>
        </w:rPr>
      </w:pPr>
    </w:p>
    <w:p>
      <w:pPr>
        <w:jc w:val="both"/>
        <w:ind w:right="20" w:firstLine="449"/>
        <w:spacing w:after="0" w:line="241" w:lineRule="auto"/>
        <w:rPr>
          <w:sz w:val="20"/>
          <w:szCs w:val="20"/>
          <w:color w:val="auto"/>
        </w:rPr>
      </w:pPr>
      <w:r>
        <w:rPr>
          <w:rFonts w:ascii="Times New Roman" w:cs="Times New Roman" w:eastAsia="Times New Roman" w:hAnsi="Times New Roman"/>
          <w:sz w:val="14"/>
          <w:szCs w:val="14"/>
          <w:color w:val="auto"/>
        </w:rPr>
        <w:t>In May 2022 PSSL entered into a $325.0 million (increased from $225.0 million in May 2022) senior secured revolving credit facility which bears interest at daily simple SOFR plus 260 basis points (including a spread adjustment) with Ally Bank through its wholly-owned subsidiary, PennantPark Senior Secured Loan Facility LLC II, or PSSL Subsidiary II, subject to leverage and borrowing base restrictions.</w:t>
      </w:r>
    </w:p>
    <w:p>
      <w:pPr>
        <w:spacing w:after="0" w:line="109" w:lineRule="exact"/>
        <w:rPr>
          <w:sz w:val="20"/>
          <w:szCs w:val="20"/>
          <w:color w:val="auto"/>
        </w:rPr>
      </w:pPr>
    </w:p>
    <w:p>
      <w:pPr>
        <w:jc w:val="both"/>
        <w:ind w:right="20" w:firstLine="449"/>
        <w:spacing w:after="0" w:line="233" w:lineRule="auto"/>
        <w:rPr>
          <w:sz w:val="20"/>
          <w:szCs w:val="20"/>
          <w:color w:val="auto"/>
        </w:rPr>
      </w:pPr>
      <w:r>
        <w:rPr>
          <w:rFonts w:ascii="Times New Roman" w:cs="Times New Roman" w:eastAsia="Times New Roman" w:hAnsi="Times New Roman"/>
          <w:sz w:val="14"/>
          <w:szCs w:val="14"/>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is a summary of PSSL’s portfolio at fair value:</w:t>
            </w:r>
          </w:p>
        </w:tc>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7"/>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169"/>
        </w:trPr>
        <w:tc>
          <w:tcPr>
            <w:tcW w:w="4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10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750,692</w:t>
            </w:r>
          </w:p>
        </w:tc>
        <w:tc>
          <w:tcPr>
            <w:tcW w:w="28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754,722</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cost yield on income producing investments</w:t>
            </w:r>
          </w:p>
        </w:tc>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10.9 %</w:t>
            </w:r>
          </w:p>
        </w:tc>
        <w:tc>
          <w:tcPr>
            <w:tcW w:w="1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20" w:type="dxa"/>
            <w:vAlign w:val="bottom"/>
          </w:tcPr>
          <w:p>
            <w:pPr>
              <w:spacing w:after="0"/>
              <w:rPr>
                <w:sz w:val="15"/>
                <w:szCs w:val="15"/>
                <w:color w:val="auto"/>
              </w:rPr>
            </w:pPr>
          </w:p>
        </w:tc>
      </w:tr>
      <w:tr>
        <w:trPr>
          <w:trHeight w:val="175"/>
        </w:trPr>
        <w:tc>
          <w:tcPr>
            <w:tcW w:w="4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Number of portfolio companies in PSSL</w:t>
            </w:r>
          </w:p>
        </w:tc>
        <w:tc>
          <w:tcPr>
            <w:tcW w:w="3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Largest portfolio company investment</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18,057</w:t>
            </w:r>
          </w:p>
        </w:tc>
        <w:tc>
          <w:tcPr>
            <w:tcW w:w="2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of five largest portfolio company investments</w:t>
            </w:r>
          </w:p>
        </w:tc>
        <w:tc>
          <w:tcPr>
            <w:tcW w:w="32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84,291</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86,872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382"/>
        </w:trPr>
        <w:tc>
          <w:tcPr>
            <w:tcW w:w="4580" w:type="dxa"/>
            <w:vAlign w:val="bottom"/>
          </w:tcPr>
          <w:p>
            <w:pPr>
              <w:spacing w:after="0"/>
              <w:rPr>
                <w:sz w:val="24"/>
                <w:szCs w:val="24"/>
                <w:color w:val="auto"/>
              </w:rPr>
            </w:pPr>
          </w:p>
        </w:tc>
        <w:tc>
          <w:tcPr>
            <w:tcW w:w="3100" w:type="dxa"/>
            <w:vAlign w:val="bottom"/>
          </w:tcPr>
          <w:p>
            <w:pPr>
              <w:jc w:val="right"/>
              <w:ind w:right="1908"/>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4"/>
        </w:trPr>
        <w:tc>
          <w:tcPr>
            <w:tcW w:w="4580" w:type="dxa"/>
            <w:vAlign w:val="bottom"/>
            <w:tcBorders>
              <w:bottom w:val="single" w:sz="8" w:color="9A9A9A"/>
            </w:tcBorders>
          </w:tcPr>
          <w:p>
            <w:pPr>
              <w:spacing w:after="0"/>
              <w:rPr>
                <w:sz w:val="7"/>
                <w:szCs w:val="7"/>
                <w:color w:val="auto"/>
              </w:rPr>
            </w:pPr>
          </w:p>
        </w:tc>
        <w:tc>
          <w:tcPr>
            <w:tcW w:w="3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PSSL’s individual investments as of December 31, 2022 (Par and $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tcPr>
          <w:p>
            <w:pPr>
              <w:jc w:val="right"/>
              <w:ind w:right="62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0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80" w:type="dxa"/>
            <w:vAlign w:val="bottom"/>
          </w:tcPr>
          <w:p>
            <w:pPr>
              <w:spacing w:after="0"/>
              <w:rPr>
                <w:sz w:val="14"/>
                <w:szCs w:val="14"/>
                <w:color w:val="auto"/>
              </w:rPr>
            </w:pPr>
          </w:p>
        </w:tc>
        <w:tc>
          <w:tcPr>
            <w:tcW w:w="6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Par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- 1,354.1%</w:t>
            </w:r>
          </w:p>
        </w:tc>
        <w:tc>
          <w:tcPr>
            <w:tcW w:w="1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A1 Garage Merger Sub, LLC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12/22/2028</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11.12 %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2,955</w:t>
            </w:r>
          </w:p>
        </w:tc>
        <w:tc>
          <w:tcPr>
            <w:tcW w:w="3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2,896</w:t>
            </w:r>
          </w:p>
        </w:tc>
        <w:tc>
          <w:tcPr>
            <w:tcW w:w="400" w:type="dxa"/>
            <w:vAlign w:val="bottom"/>
            <w:gridSpan w:val="2"/>
            <w:shd w:val="clear" w:color="auto" w:fill="CCEC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2,895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74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5/6/2026</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10.84 %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8,865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8,772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Alpine Acquisition Corp II</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11/30/2026</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Containers and Packaging</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9.88 %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12,950</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12,576</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12,432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7/24/2025</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10.24 %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5,150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12/21/2023</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Building Products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8.25 %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4,869</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4,843</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Anteriad, LLC (f/k/a MeritDirect, LLC)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5/23/2024</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Advertising, Printing &amp; Publishing</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10.23 %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5,213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7/21/2027</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10.17 %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3,510</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3,441</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3,413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7/31/2025</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9.46 %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7/31/2025</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9.67 %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2,197</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2,186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7/31/2025</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9.58 %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11,069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11,010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12/29/2026</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10.48 %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8,400</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8,301</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8,190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Arcfield Acquisition Corp.</w:t>
            </w:r>
          </w:p>
        </w:tc>
        <w:tc>
          <w:tcPr>
            <w:tcW w:w="74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3/7/2028</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10.02 %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 + 575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4,665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74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7"/>
              </w:rPr>
              <w:t>7/1/2029</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8.87 %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 + 525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4,893</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9/17/2024</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9.73 %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 + 500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15,250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15,083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12/2/2022</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10.73 %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2,395</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2,395</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2,395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Burgess Point Purchaser Corporation</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9/26/2029</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Automotive</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9.41 %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5/16/2024</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10.40 %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14,671</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14,627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14,524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Cadence Aerospace, LLC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11/14/2023</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12.92 %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12,448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12,426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color w:val="auto"/>
              </w:rPr>
              <w:t>(PIK 12.92%)</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5/13/2028</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10.58 %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 + 600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9,709</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9,528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9,612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8/20/2026</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10.76 %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4,938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CHA Holdings, Inc.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4/10/2025</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Construction and Engineering</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9.23 %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5,542</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5,479</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5,542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Challenger Performance Optimization, Inc.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8/31/2023</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10.82 %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9,212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color w:val="auto"/>
              </w:rPr>
              <w:t>(PIK 1.00%)</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7/13/2027</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10.14 %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3,897</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3,835</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3,771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8/16/2027</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10.48 %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2,105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8/31/2027</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10.48 %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14,825</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14,603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DRI Holding Inc.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12/21/2028</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9.63 %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2,647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11/3/2025</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10.47 %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14,666</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14,595</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14,196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6/30/2024</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Containers and Packaging</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9.89 %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10,252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10,143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74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7"/>
              </w:rPr>
              <w:t>5/1/2028</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11.88 %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2,614</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2,592</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2,605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12/23/2025</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9.48 %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4,961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Electro Rent Corporation</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1/17/2024</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10.27 %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2,743</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2,621</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2,633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3/15/2027</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10.13 %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12,903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12,724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6/17/2028</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9.48 %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10,273</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10,214</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9,742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5/14/2026</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10.63 %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14,563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14,365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3/16/2026</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10.19 %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3,894</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3,879</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3,719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8/10/2027</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10.23 %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2,363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12/31/2026</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10.23 %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2,392</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2,349</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2,344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11/23/2028</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10.17 %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12/10/2024</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9.34 %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6M L+500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3,029</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Icon Partners III, LP</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5/11/2028</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8.82 %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2,322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12/30/2026</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11.23 %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9,925</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9,847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9,578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Acquisitionco, LLC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11/15/2027</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10.14 %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5,350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12/7/2023</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8.55 %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SOFR+700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1,658</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16,333</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16,247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Infinity Home Services Holdco, Inc.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12/28/2028</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11.40 %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SOFR+685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6,136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6,016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9/29/2023</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9.48 %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11,150</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11,135</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10,927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8/27/2025</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10.81 %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5,951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ITI Holdings, Inc.</w:t>
            </w:r>
          </w:p>
        </w:tc>
        <w:tc>
          <w:tcPr>
            <w:tcW w:w="74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7"/>
              </w:rPr>
              <w:t>3/3/2028</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10.08 %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 + 550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3,970</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3,909</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12/20/2023</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12.38 %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18,057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17,945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11/10/2027</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10.73 %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16,788</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16,425</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16,368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2/18/2027</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11.17 %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14,052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10/31/2024</w:t>
            </w:r>
          </w:p>
        </w:tc>
        <w:tc>
          <w:tcPr>
            <w:tcW w:w="100" w:type="dxa"/>
            <w:vAlign w:val="bottom"/>
            <w:shd w:val="clear" w:color="auto" w:fill="CCECFF"/>
          </w:tcPr>
          <w:p>
            <w:pPr>
              <w:spacing w:after="0"/>
              <w:rPr>
                <w:sz w:val="12"/>
                <w:szCs w:val="12"/>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10.23 %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12,796</w:t>
            </w:r>
          </w:p>
        </w:tc>
        <w:tc>
          <w:tcPr>
            <w:tcW w:w="1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10,518</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10,374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0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40" w:type="dxa"/>
            <w:vAlign w:val="bottom"/>
            <w:gridSpan w:val="2"/>
            <w:shd w:val="clear" w:color="auto" w:fill="CCECFF"/>
          </w:tcPr>
          <w:p>
            <w:pPr>
              <w:jc w:val="right"/>
              <w:ind w:right="400"/>
              <w:spacing w:after="0"/>
              <w:rPr>
                <w:sz w:val="20"/>
                <w:szCs w:val="20"/>
                <w:color w:val="auto"/>
              </w:rPr>
            </w:pPr>
            <w:r>
              <w:rPr>
                <w:rFonts w:ascii="Times New Roman" w:cs="Times New Roman" w:eastAsia="Times New Roman" w:hAnsi="Times New Roman"/>
                <w:sz w:val="11"/>
                <w:szCs w:val="11"/>
                <w:color w:val="auto"/>
              </w:rPr>
              <w:t>(PIK 2.00%)</w:t>
            </w:r>
          </w:p>
        </w:tc>
        <w:tc>
          <w:tcPr>
            <w:tcW w:w="7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74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2/3/2026</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9.84 %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10,571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10,416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7/20/2027</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 Gaming and Leisure</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10.43 %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4,275</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4,206</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2,426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Magenta Buyer, LLC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7/31/2028</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9.17 %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3,029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Marketplace Events, LLC - Super Priority First Lien Term Loan</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9/30/2025</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9.90 %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0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w w:val="99"/>
              </w:rPr>
              <w:t>Marketplace Events, LLC - Super Priority First Lien Unfunded Term</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Loan</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9/30/2025</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Marketplace Events, LLC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9/30/2026</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9.90 %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4,837</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3,587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5/14/2026</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10.23 %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11,676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11,531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4/16/2027</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Internet Software and Services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10.13 %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7,388</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7,282</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7,314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MDI Buyer, Inc.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7/25/2028</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10.54 %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6,429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12/10/2027</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9.73 %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2,390</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2,349</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2,366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3/28/2024</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9.73 %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5,814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9/28/2027</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8.67 %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3,456</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3,399</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3,318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8/19/2026</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&amp; Childcare</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9.05 %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10,793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10,624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New Milani Group LLC</w:t>
            </w:r>
          </w:p>
        </w:tc>
        <w:tc>
          <w:tcPr>
            <w:tcW w:w="74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7"/>
              </w:rPr>
              <w:t>6/6/2024</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9.17 %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14,325</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14,288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14,110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74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5/7/2027</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Air Freight and Logistics</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10.63 %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14,561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14,326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3/27/2024</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11.30 %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7,691</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7,681</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5,768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74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2/4/2028</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8.41 %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3,980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5/18/2026</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10.84 %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4,858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4,765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9/29/2025</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9.73 %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9,568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9,243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11/9/2027</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10.88 %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8,217</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8,095</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8,012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740" w:type="dxa"/>
            <w:vAlign w:val="bottom"/>
            <w:gridSpan w:val="2"/>
          </w:tcPr>
          <w:p>
            <w:pPr>
              <w:jc w:val="center"/>
              <w:ind w:left="26"/>
              <w:spacing w:after="0"/>
              <w:rPr>
                <w:sz w:val="20"/>
                <w:szCs w:val="20"/>
                <w:color w:val="auto"/>
              </w:rPr>
            </w:pPr>
            <w:r>
              <w:rPr>
                <w:rFonts w:ascii="Times New Roman" w:cs="Times New Roman" w:eastAsia="Times New Roman" w:hAnsi="Times New Roman"/>
                <w:sz w:val="11"/>
                <w:szCs w:val="11"/>
                <w:color w:val="auto"/>
                <w:w w:val="97"/>
              </w:rPr>
              <w:t>5/8/2026</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12.00 %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2,572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Pragmatic Institute, LLC</w:t>
            </w:r>
          </w:p>
        </w:tc>
        <w:tc>
          <w:tcPr>
            <w:tcW w:w="740" w:type="dxa"/>
            <w:vAlign w:val="bottom"/>
            <w:gridSpan w:val="2"/>
            <w:shd w:val="clear" w:color="auto" w:fill="CCECFF"/>
          </w:tcPr>
          <w:p>
            <w:pPr>
              <w:jc w:val="center"/>
              <w:ind w:left="26"/>
              <w:spacing w:after="0"/>
              <w:rPr>
                <w:sz w:val="20"/>
                <w:szCs w:val="20"/>
                <w:color w:val="auto"/>
              </w:rPr>
            </w:pPr>
            <w:r>
              <w:rPr>
                <w:rFonts w:ascii="Times New Roman" w:cs="Times New Roman" w:eastAsia="Times New Roman" w:hAnsi="Times New Roman"/>
                <w:sz w:val="11"/>
                <w:szCs w:val="11"/>
                <w:color w:val="auto"/>
                <w:w w:val="97"/>
              </w:rPr>
              <w:t>7/6/2028</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10.33 %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11,222</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11,068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11,110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11/19/2026</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10.96 %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2,829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 - Unfunded Term Loan</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5"/>
              </w:rPr>
              <w:t>11/19/2026</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rPr>
                <w:sz w:val="13"/>
                <w:szCs w:val="13"/>
                <w:color w:val="auto"/>
              </w:rPr>
            </w:pP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1,104</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5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8"/>
              </w:rPr>
              <w:t>2/28/2028</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Air Freight and Logistics</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10.42 %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74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8"/>
              </w:rPr>
              <w:t>1/29/2026</w:t>
            </w:r>
          </w:p>
        </w:tc>
        <w:tc>
          <w:tcPr>
            <w:tcW w:w="100" w:type="dxa"/>
            <w:vAlign w:val="bottom"/>
            <w:shd w:val="clear" w:color="auto" w:fill="CCECFF"/>
          </w:tcPr>
          <w:p>
            <w:pPr>
              <w:spacing w:after="0"/>
              <w:rPr>
                <w:sz w:val="13"/>
                <w:szCs w:val="13"/>
                <w:color w:val="auto"/>
              </w:rPr>
            </w:pPr>
          </w:p>
        </w:tc>
        <w:tc>
          <w:tcPr>
            <w:tcW w:w="2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Leisure Products</w:t>
            </w:r>
          </w:p>
        </w:tc>
        <w:tc>
          <w:tcPr>
            <w:tcW w:w="1340" w:type="dxa"/>
            <w:vAlign w:val="bottom"/>
            <w:gridSpan w:val="3"/>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10.98 %</w:t>
            </w:r>
          </w:p>
        </w:tc>
        <w:tc>
          <w:tcPr>
            <w:tcW w:w="7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4,848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4,741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74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5"/>
              </w:rPr>
              <w:t>12/20/2024</w:t>
            </w:r>
          </w:p>
        </w:tc>
        <w:tc>
          <w:tcPr>
            <w:tcW w:w="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8.84 %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12,342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Maturit</w:t>
            </w:r>
          </w:p>
        </w:tc>
        <w:tc>
          <w:tcPr>
            <w:tcW w:w="1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gridSpan w:val="2"/>
          </w:tcPr>
          <w:p>
            <w:pPr>
              <w:jc w:val="right"/>
              <w:ind w:right="426"/>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5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Above</w:t>
            </w:r>
          </w:p>
        </w:tc>
        <w:tc>
          <w:tcPr>
            <w:tcW w:w="120" w:type="dxa"/>
            <w:vAlign w:val="bottom"/>
          </w:tcPr>
          <w:p>
            <w:pPr>
              <w:spacing w:after="0"/>
              <w:rPr>
                <w:sz w:val="9"/>
                <w:szCs w:val="9"/>
                <w:color w:val="auto"/>
              </w:rPr>
            </w:pPr>
          </w:p>
        </w:tc>
        <w:tc>
          <w:tcPr>
            <w:tcW w:w="600" w:type="dxa"/>
            <w:vAlign w:val="bottom"/>
          </w:tcPr>
          <w:p>
            <w:pPr>
              <w:jc w:val="right"/>
              <w:ind w:right="12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rPr>
                <w:sz w:val="1"/>
                <w:szCs w:val="1"/>
                <w:color w:val="auto"/>
              </w:rPr>
            </w:pPr>
          </w:p>
        </w:tc>
      </w:tr>
      <w:tr>
        <w:trPr>
          <w:trHeight w:val="162"/>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71"/>
              </w:rPr>
              <w:t>y</w:t>
            </w:r>
          </w:p>
        </w:tc>
        <w:tc>
          <w:tcPr>
            <w:tcW w:w="160" w:type="dxa"/>
            <w:vAlign w:val="bottom"/>
          </w:tcPr>
          <w:p>
            <w:pPr>
              <w:spacing w:after="0"/>
              <w:rPr>
                <w:sz w:val="14"/>
                <w:szCs w:val="1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20" w:type="dxa"/>
            <w:vAlign w:val="bottom"/>
          </w:tcPr>
          <w:p>
            <w:pPr>
              <w:spacing w:after="0"/>
              <w:rPr>
                <w:sz w:val="14"/>
                <w:szCs w:val="14"/>
                <w:color w:val="auto"/>
              </w:rPr>
            </w:pPr>
          </w:p>
        </w:tc>
        <w:tc>
          <w:tcPr>
            <w:tcW w:w="1140" w:type="dxa"/>
            <w:vAlign w:val="bottom"/>
            <w:gridSpan w:val="2"/>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20" w:type="dxa"/>
            <w:vAlign w:val="bottom"/>
          </w:tcPr>
          <w:p>
            <w:pPr>
              <w:spacing w:after="0"/>
              <w:rPr>
                <w:sz w:val="14"/>
                <w:szCs w:val="14"/>
                <w:color w:val="auto"/>
              </w:rPr>
            </w:pP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20" w:type="dxa"/>
            <w:vAlign w:val="bottom"/>
            <w:shd w:val="clear" w:color="auto" w:fill="CCECFF"/>
          </w:tcPr>
          <w:p>
            <w:pPr>
              <w:spacing w:after="0"/>
              <w:rPr>
                <w:sz w:val="12"/>
                <w:szCs w:val="12"/>
                <w:color w:val="auto"/>
              </w:rPr>
            </w:pPr>
          </w:p>
        </w:tc>
        <w:tc>
          <w:tcPr>
            <w:tcW w:w="44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1/3/2025</w:t>
            </w:r>
          </w:p>
        </w:tc>
        <w:tc>
          <w:tcPr>
            <w:tcW w:w="160" w:type="dxa"/>
            <w:vAlign w:val="bottom"/>
            <w:shd w:val="clear" w:color="auto" w:fill="CCECFF"/>
          </w:tcPr>
          <w:p>
            <w:pPr>
              <w:spacing w:after="0"/>
              <w:rPr>
                <w:sz w:val="12"/>
                <w:szCs w:val="12"/>
                <w:color w:val="auto"/>
              </w:rPr>
            </w:pPr>
          </w:p>
        </w:tc>
        <w:tc>
          <w:tcPr>
            <w:tcW w:w="32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20" w:type="dxa"/>
            <w:vAlign w:val="bottom"/>
            <w:shd w:val="clear" w:color="auto" w:fill="CCECFF"/>
          </w:tcPr>
          <w:p>
            <w:pPr>
              <w:spacing w:after="0"/>
              <w:rPr>
                <w:sz w:val="12"/>
                <w:szCs w:val="12"/>
                <w:color w:val="auto"/>
              </w:rPr>
            </w:pP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10.73</w:t>
            </w:r>
          </w:p>
        </w:tc>
        <w:tc>
          <w:tcPr>
            <w:tcW w:w="180" w:type="dxa"/>
            <w:vAlign w:val="bottom"/>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86"/>
              </w:rPr>
              <w:t>%</w:t>
            </w: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20" w:type="dxa"/>
            <w:vAlign w:val="bottom"/>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5,013</w:t>
            </w:r>
          </w:p>
        </w:tc>
        <w:tc>
          <w:tcPr>
            <w:tcW w:w="120" w:type="dxa"/>
            <w:vAlign w:val="bottom"/>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4,965</w:t>
            </w:r>
          </w:p>
        </w:tc>
        <w:tc>
          <w:tcPr>
            <w:tcW w:w="120" w:type="dxa"/>
            <w:vAlign w:val="bottom"/>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4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12/20/20</w:t>
            </w:r>
          </w:p>
        </w:tc>
        <w:tc>
          <w:tcPr>
            <w:tcW w:w="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24</w:t>
            </w:r>
          </w:p>
        </w:tc>
        <w:tc>
          <w:tcPr>
            <w:tcW w:w="160" w:type="dxa"/>
            <w:vAlign w:val="bottom"/>
          </w:tcPr>
          <w:p>
            <w:pPr>
              <w:spacing w:after="0"/>
              <w:rPr>
                <w:sz w:val="12"/>
                <w:szCs w:val="12"/>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Wholesale</w:t>
            </w:r>
          </w:p>
        </w:tc>
        <w:tc>
          <w:tcPr>
            <w:tcW w:w="116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9.89 %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5,150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00" w:type="dxa"/>
            <w:vAlign w:val="bottom"/>
            <w:shd w:val="clear" w:color="auto" w:fill="CCECFF"/>
          </w:tcPr>
          <w:p>
            <w:pPr>
              <w:spacing w:after="0"/>
              <w:rPr>
                <w:sz w:val="10"/>
                <w:szCs w:val="10"/>
                <w:color w:val="auto"/>
              </w:rPr>
            </w:pP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7/14/202</w:t>
            </w:r>
          </w:p>
        </w:tc>
        <w:tc>
          <w:tcPr>
            <w:tcW w:w="160" w:type="dxa"/>
            <w:vAlign w:val="bottom"/>
            <w:shd w:val="clear" w:color="auto" w:fill="CCECFF"/>
          </w:tcPr>
          <w:p>
            <w:pPr>
              <w:spacing w:after="0"/>
              <w:rPr>
                <w:sz w:val="10"/>
                <w:szCs w:val="10"/>
                <w:color w:val="auto"/>
              </w:rPr>
            </w:pPr>
          </w:p>
        </w:tc>
        <w:tc>
          <w:tcPr>
            <w:tcW w:w="320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71"/>
              </w:rPr>
              <w:t>5</w:t>
            </w:r>
          </w:p>
        </w:tc>
        <w:tc>
          <w:tcPr>
            <w:tcW w:w="160" w:type="dxa"/>
            <w:vAlign w:val="bottom"/>
            <w:shd w:val="clear" w:color="auto" w:fill="CCECFF"/>
          </w:tcPr>
          <w:p>
            <w:pPr>
              <w:spacing w:after="0"/>
              <w:rPr>
                <w:sz w:val="12"/>
                <w:szCs w:val="12"/>
                <w:color w:val="auto"/>
              </w:rPr>
            </w:pPr>
          </w:p>
        </w:tc>
        <w:tc>
          <w:tcPr>
            <w:tcW w:w="3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60" w:type="dxa"/>
            <w:vAlign w:val="bottom"/>
            <w:gridSpan w:val="3"/>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10.92 %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9"/>
              </w:rPr>
              <w:t>SOFR+700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11,832</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11,816</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140" w:type="dxa"/>
            <w:vAlign w:val="bottom"/>
            <w:gridSpan w:val="2"/>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rPr>
              <w:t>(PIK 0.50%)</w:t>
            </w:r>
          </w:p>
        </w:tc>
        <w:tc>
          <w:tcPr>
            <w:tcW w:w="5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4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6/13/202</w:t>
            </w:r>
          </w:p>
        </w:tc>
        <w:tc>
          <w:tcPr>
            <w:tcW w:w="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Seaway Buyer, LLC</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71"/>
              </w:rPr>
              <w:t>9</w:t>
            </w:r>
          </w:p>
        </w:tc>
        <w:tc>
          <w:tcPr>
            <w:tcW w:w="160" w:type="dxa"/>
            <w:vAlign w:val="bottom"/>
          </w:tcPr>
          <w:p>
            <w:pPr>
              <w:spacing w:after="0"/>
              <w:rPr>
                <w:sz w:val="12"/>
                <w:szCs w:val="12"/>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6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10.73 %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SOFR+605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00" w:type="dxa"/>
            <w:vAlign w:val="bottom"/>
            <w:shd w:val="clear" w:color="auto" w:fill="CCECFF"/>
          </w:tcPr>
          <w:p>
            <w:pPr>
              <w:spacing w:after="0"/>
              <w:rPr>
                <w:sz w:val="10"/>
                <w:szCs w:val="10"/>
                <w:color w:val="auto"/>
              </w:rPr>
            </w:pP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12/18/20</w:t>
            </w:r>
          </w:p>
        </w:tc>
        <w:tc>
          <w:tcPr>
            <w:tcW w:w="160" w:type="dxa"/>
            <w:vAlign w:val="bottom"/>
            <w:shd w:val="clear" w:color="auto" w:fill="CCECFF"/>
          </w:tcPr>
          <w:p>
            <w:pPr>
              <w:spacing w:after="0"/>
              <w:rPr>
                <w:sz w:val="10"/>
                <w:szCs w:val="10"/>
                <w:color w:val="auto"/>
              </w:rPr>
            </w:pPr>
          </w:p>
        </w:tc>
        <w:tc>
          <w:tcPr>
            <w:tcW w:w="320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25</w:t>
            </w:r>
          </w:p>
        </w:tc>
        <w:tc>
          <w:tcPr>
            <w:tcW w:w="160" w:type="dxa"/>
            <w:vAlign w:val="bottom"/>
            <w:shd w:val="clear" w:color="auto" w:fill="CCECFF"/>
          </w:tcPr>
          <w:p>
            <w:pPr>
              <w:spacing w:after="0"/>
              <w:rPr>
                <w:sz w:val="12"/>
                <w:szCs w:val="12"/>
                <w:color w:val="auto"/>
              </w:rPr>
            </w:pPr>
          </w:p>
        </w:tc>
        <w:tc>
          <w:tcPr>
            <w:tcW w:w="3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60" w:type="dxa"/>
            <w:vAlign w:val="bottom"/>
            <w:gridSpan w:val="3"/>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12.17 %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14,621</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14,338</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4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10/14/20</w:t>
            </w:r>
          </w:p>
        </w:tc>
        <w:tc>
          <w:tcPr>
            <w:tcW w:w="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Smile Brands Inc.</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25</w:t>
            </w:r>
          </w:p>
        </w:tc>
        <w:tc>
          <w:tcPr>
            <w:tcW w:w="160" w:type="dxa"/>
            <w:vAlign w:val="bottom"/>
          </w:tcPr>
          <w:p>
            <w:pPr>
              <w:spacing w:after="0"/>
              <w:rPr>
                <w:sz w:val="12"/>
                <w:szCs w:val="12"/>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16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7.05 %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11,887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11,796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00" w:type="dxa"/>
            <w:vAlign w:val="bottom"/>
            <w:shd w:val="clear" w:color="auto" w:fill="CCECFF"/>
          </w:tcPr>
          <w:p>
            <w:pPr>
              <w:spacing w:after="0"/>
              <w:rPr>
                <w:sz w:val="10"/>
                <w:szCs w:val="10"/>
                <w:color w:val="auto"/>
              </w:rPr>
            </w:pP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1/17/202</w:t>
            </w:r>
          </w:p>
        </w:tc>
        <w:tc>
          <w:tcPr>
            <w:tcW w:w="160" w:type="dxa"/>
            <w:vAlign w:val="bottom"/>
            <w:shd w:val="clear" w:color="auto" w:fill="CCECFF"/>
          </w:tcPr>
          <w:p>
            <w:pPr>
              <w:spacing w:after="0"/>
              <w:rPr>
                <w:sz w:val="10"/>
                <w:szCs w:val="10"/>
                <w:color w:val="auto"/>
              </w:rPr>
            </w:pPr>
          </w:p>
        </w:tc>
        <w:tc>
          <w:tcPr>
            <w:tcW w:w="320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71"/>
              </w:rPr>
              <w:t>4</w:t>
            </w:r>
          </w:p>
        </w:tc>
        <w:tc>
          <w:tcPr>
            <w:tcW w:w="160" w:type="dxa"/>
            <w:vAlign w:val="bottom"/>
            <w:shd w:val="clear" w:color="auto" w:fill="CCECFF"/>
          </w:tcPr>
          <w:p>
            <w:pPr>
              <w:spacing w:after="0"/>
              <w:rPr>
                <w:sz w:val="12"/>
                <w:szCs w:val="12"/>
                <w:color w:val="auto"/>
              </w:rPr>
            </w:pPr>
          </w:p>
        </w:tc>
        <w:tc>
          <w:tcPr>
            <w:tcW w:w="3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160" w:type="dxa"/>
            <w:vAlign w:val="bottom"/>
            <w:gridSpan w:val="3"/>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8.87 %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5,630</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5,613</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5,478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Spendmend Holdings LLC</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3/1/2028</w:t>
            </w:r>
          </w:p>
        </w:tc>
        <w:tc>
          <w:tcPr>
            <w:tcW w:w="160" w:type="dxa"/>
            <w:vAlign w:val="bottom"/>
          </w:tcPr>
          <w:p>
            <w:pPr>
              <w:spacing w:after="0"/>
              <w:rPr>
                <w:sz w:val="12"/>
                <w:szCs w:val="12"/>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116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8.63 %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SOFR+575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2,949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CFF"/>
          </w:tcPr>
          <w:p>
            <w:pPr>
              <w:spacing w:after="0"/>
              <w:rPr>
                <w:sz w:val="10"/>
                <w:szCs w:val="10"/>
                <w:color w:val="auto"/>
              </w:rPr>
            </w:pPr>
          </w:p>
        </w:tc>
        <w:tc>
          <w:tcPr>
            <w:tcW w:w="460" w:type="dxa"/>
            <w:vAlign w:val="bottom"/>
            <w:gridSpan w:val="2"/>
            <w:shd w:val="clear" w:color="auto" w:fill="CCECFF"/>
          </w:tcPr>
          <w:p>
            <w:pPr>
              <w:jc w:val="center"/>
              <w:spacing w:after="0" w:line="125" w:lineRule="exact"/>
              <w:rPr>
                <w:sz w:val="20"/>
                <w:szCs w:val="20"/>
                <w:color w:val="auto"/>
              </w:rPr>
            </w:pPr>
            <w:r>
              <w:rPr>
                <w:rFonts w:ascii="Times New Roman" w:cs="Times New Roman" w:eastAsia="Times New Roman" w:hAnsi="Times New Roman"/>
                <w:sz w:val="11"/>
                <w:szCs w:val="11"/>
                <w:color w:val="auto"/>
                <w:w w:val="97"/>
              </w:rPr>
              <w:t>12/11/20</w:t>
            </w:r>
          </w:p>
        </w:tc>
        <w:tc>
          <w:tcPr>
            <w:tcW w:w="160" w:type="dxa"/>
            <w:vAlign w:val="bottom"/>
            <w:shd w:val="clear" w:color="auto" w:fill="CCECFF"/>
          </w:tcPr>
          <w:p>
            <w:pPr>
              <w:spacing w:after="0"/>
              <w:rPr>
                <w:sz w:val="10"/>
                <w:szCs w:val="10"/>
                <w:color w:val="auto"/>
              </w:rPr>
            </w:pPr>
          </w:p>
        </w:tc>
        <w:tc>
          <w:tcPr>
            <w:tcW w:w="320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26</w:t>
            </w:r>
          </w:p>
        </w:tc>
        <w:tc>
          <w:tcPr>
            <w:tcW w:w="160" w:type="dxa"/>
            <w:vAlign w:val="bottom"/>
            <w:shd w:val="clear" w:color="auto" w:fill="CCECFF"/>
          </w:tcPr>
          <w:p>
            <w:pPr>
              <w:spacing w:after="0"/>
              <w:rPr>
                <w:sz w:val="12"/>
                <w:szCs w:val="12"/>
                <w:color w:val="auto"/>
              </w:rPr>
            </w:pPr>
          </w:p>
        </w:tc>
        <w:tc>
          <w:tcPr>
            <w:tcW w:w="3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1160" w:type="dxa"/>
            <w:vAlign w:val="bottom"/>
            <w:gridSpan w:val="3"/>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8.37 %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9,075</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9,015</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9,030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4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11/24/20</w:t>
            </w:r>
          </w:p>
        </w:tc>
        <w:tc>
          <w:tcPr>
            <w:tcW w:w="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Summit Behavioral Healthcare, LLC</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28</w:t>
            </w:r>
          </w:p>
        </w:tc>
        <w:tc>
          <w:tcPr>
            <w:tcW w:w="160" w:type="dxa"/>
            <w:vAlign w:val="bottom"/>
          </w:tcPr>
          <w:p>
            <w:pPr>
              <w:spacing w:after="0"/>
              <w:rPr>
                <w:sz w:val="12"/>
                <w:szCs w:val="12"/>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16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9.45 %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w w:val="98"/>
              </w:rPr>
              <w:t>System Planning and Analysis, Inc. (f/k/a Management Consulting &amp; Research,</w:t>
            </w: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8/16/202</w:t>
            </w:r>
          </w:p>
        </w:tc>
        <w:tc>
          <w:tcPr>
            <w:tcW w:w="160" w:type="dxa"/>
            <w:vAlign w:val="bottom"/>
            <w:shd w:val="clear" w:color="auto" w:fill="CCECFF"/>
          </w:tcPr>
          <w:p>
            <w:pPr>
              <w:spacing w:after="0"/>
              <w:rPr>
                <w:sz w:val="10"/>
                <w:szCs w:val="10"/>
                <w:color w:val="auto"/>
              </w:rPr>
            </w:pPr>
          </w:p>
        </w:tc>
        <w:tc>
          <w:tcPr>
            <w:tcW w:w="320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LLC)</w:t>
            </w: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71"/>
              </w:rPr>
              <w:t>7</w:t>
            </w:r>
          </w:p>
        </w:tc>
        <w:tc>
          <w:tcPr>
            <w:tcW w:w="160" w:type="dxa"/>
            <w:vAlign w:val="bottom"/>
            <w:shd w:val="clear" w:color="auto" w:fill="CCECFF"/>
          </w:tcPr>
          <w:p>
            <w:pPr>
              <w:spacing w:after="0"/>
              <w:rPr>
                <w:sz w:val="12"/>
                <w:szCs w:val="12"/>
                <w:color w:val="auto"/>
              </w:rPr>
            </w:pPr>
          </w:p>
        </w:tc>
        <w:tc>
          <w:tcPr>
            <w:tcW w:w="3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60" w:type="dxa"/>
            <w:vAlign w:val="bottom"/>
            <w:gridSpan w:val="3"/>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10.94 %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9"/>
              </w:rPr>
              <w:t>SOFR+600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14,850</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14,603</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14,657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4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11/24/20</w:t>
            </w:r>
          </w:p>
        </w:tc>
        <w:tc>
          <w:tcPr>
            <w:tcW w:w="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Team Services Group, LLC</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28</w:t>
            </w:r>
          </w:p>
        </w:tc>
        <w:tc>
          <w:tcPr>
            <w:tcW w:w="160" w:type="dxa"/>
            <w:vAlign w:val="bottom"/>
          </w:tcPr>
          <w:p>
            <w:pPr>
              <w:spacing w:after="0"/>
              <w:rPr>
                <w:sz w:val="12"/>
                <w:szCs w:val="12"/>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and Pharmaceuticals</w:t>
            </w:r>
          </w:p>
        </w:tc>
        <w:tc>
          <w:tcPr>
            <w:tcW w:w="116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9.95 %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00" w:type="dxa"/>
            <w:vAlign w:val="bottom"/>
            <w:shd w:val="clear" w:color="auto" w:fill="CCECFF"/>
          </w:tcPr>
          <w:p>
            <w:pPr>
              <w:spacing w:after="0"/>
              <w:rPr>
                <w:sz w:val="10"/>
                <w:szCs w:val="10"/>
                <w:color w:val="auto"/>
              </w:rPr>
            </w:pP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7/18/202</w:t>
            </w:r>
          </w:p>
        </w:tc>
        <w:tc>
          <w:tcPr>
            <w:tcW w:w="160" w:type="dxa"/>
            <w:vAlign w:val="bottom"/>
            <w:shd w:val="clear" w:color="auto" w:fill="CCECFF"/>
          </w:tcPr>
          <w:p>
            <w:pPr>
              <w:spacing w:after="0"/>
              <w:rPr>
                <w:sz w:val="10"/>
                <w:szCs w:val="10"/>
                <w:color w:val="auto"/>
              </w:rPr>
            </w:pPr>
          </w:p>
        </w:tc>
        <w:tc>
          <w:tcPr>
            <w:tcW w:w="320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71"/>
              </w:rPr>
              <w:t>5</w:t>
            </w:r>
          </w:p>
        </w:tc>
        <w:tc>
          <w:tcPr>
            <w:tcW w:w="160" w:type="dxa"/>
            <w:vAlign w:val="bottom"/>
            <w:shd w:val="clear" w:color="auto" w:fill="CCECFF"/>
          </w:tcPr>
          <w:p>
            <w:pPr>
              <w:spacing w:after="0"/>
              <w:rPr>
                <w:sz w:val="12"/>
                <w:szCs w:val="12"/>
                <w:color w:val="auto"/>
              </w:rPr>
            </w:pPr>
          </w:p>
        </w:tc>
        <w:tc>
          <w:tcPr>
            <w:tcW w:w="3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160" w:type="dxa"/>
            <w:vAlign w:val="bottom"/>
            <w:gridSpan w:val="3"/>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9.67 %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3,127</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3,086</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The Aegis Technologies Group, LLC</w:t>
            </w:r>
          </w:p>
        </w:tc>
        <w:tc>
          <w:tcPr>
            <w:tcW w:w="4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10/31/20</w:t>
            </w:r>
          </w:p>
        </w:tc>
        <w:tc>
          <w:tcPr>
            <w:tcW w:w="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25</w:t>
            </w:r>
          </w:p>
        </w:tc>
        <w:tc>
          <w:tcPr>
            <w:tcW w:w="160" w:type="dxa"/>
            <w:vAlign w:val="bottom"/>
          </w:tcPr>
          <w:p>
            <w:pPr>
              <w:spacing w:after="0"/>
              <w:rPr>
                <w:sz w:val="12"/>
                <w:szCs w:val="12"/>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6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10.70 %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5,645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5,590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00" w:type="dxa"/>
            <w:vAlign w:val="bottom"/>
            <w:shd w:val="clear" w:color="auto" w:fill="CCECFF"/>
          </w:tcPr>
          <w:p>
            <w:pPr>
              <w:spacing w:after="0"/>
              <w:rPr>
                <w:sz w:val="10"/>
                <w:szCs w:val="10"/>
                <w:color w:val="auto"/>
              </w:rPr>
            </w:pP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7/27/202</w:t>
            </w:r>
          </w:p>
        </w:tc>
        <w:tc>
          <w:tcPr>
            <w:tcW w:w="160" w:type="dxa"/>
            <w:vAlign w:val="bottom"/>
            <w:shd w:val="clear" w:color="auto" w:fill="CCECFF"/>
          </w:tcPr>
          <w:p>
            <w:pPr>
              <w:spacing w:after="0"/>
              <w:rPr>
                <w:sz w:val="10"/>
                <w:szCs w:val="10"/>
                <w:color w:val="auto"/>
              </w:rPr>
            </w:pPr>
          </w:p>
        </w:tc>
        <w:tc>
          <w:tcPr>
            <w:tcW w:w="320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71"/>
              </w:rPr>
              <w:t>6</w:t>
            </w:r>
          </w:p>
        </w:tc>
        <w:tc>
          <w:tcPr>
            <w:tcW w:w="160" w:type="dxa"/>
            <w:vAlign w:val="bottom"/>
            <w:shd w:val="clear" w:color="auto" w:fill="CCECFF"/>
          </w:tcPr>
          <w:p>
            <w:pPr>
              <w:spacing w:after="0"/>
              <w:rPr>
                <w:sz w:val="12"/>
                <w:szCs w:val="12"/>
                <w:color w:val="auto"/>
              </w:rPr>
            </w:pPr>
          </w:p>
        </w:tc>
        <w:tc>
          <w:tcPr>
            <w:tcW w:w="3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60" w:type="dxa"/>
            <w:vAlign w:val="bottom"/>
            <w:gridSpan w:val="3"/>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11.98 %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1,698</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1,672</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1,666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4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9/16/202</w:t>
            </w:r>
          </w:p>
        </w:tc>
        <w:tc>
          <w:tcPr>
            <w:tcW w:w="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Infosoft Group, LLC</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71"/>
              </w:rPr>
              <w:t>4</w:t>
            </w:r>
          </w:p>
        </w:tc>
        <w:tc>
          <w:tcPr>
            <w:tcW w:w="160" w:type="dxa"/>
            <w:vAlign w:val="bottom"/>
          </w:tcPr>
          <w:p>
            <w:pPr>
              <w:spacing w:after="0"/>
              <w:rPr>
                <w:sz w:val="12"/>
                <w:szCs w:val="12"/>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116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9.84 %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12,883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12,879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00" w:type="dxa"/>
            <w:vAlign w:val="bottom"/>
            <w:shd w:val="clear" w:color="auto" w:fill="CCECFF"/>
          </w:tcPr>
          <w:p>
            <w:pPr>
              <w:spacing w:after="0"/>
              <w:rPr>
                <w:sz w:val="10"/>
                <w:szCs w:val="10"/>
                <w:color w:val="auto"/>
              </w:rPr>
            </w:pP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8/30/202</w:t>
            </w:r>
          </w:p>
        </w:tc>
        <w:tc>
          <w:tcPr>
            <w:tcW w:w="160" w:type="dxa"/>
            <w:vAlign w:val="bottom"/>
            <w:shd w:val="clear" w:color="auto" w:fill="CCECFF"/>
          </w:tcPr>
          <w:p>
            <w:pPr>
              <w:spacing w:after="0"/>
              <w:rPr>
                <w:sz w:val="10"/>
                <w:szCs w:val="10"/>
                <w:color w:val="auto"/>
              </w:rPr>
            </w:pPr>
          </w:p>
        </w:tc>
        <w:tc>
          <w:tcPr>
            <w:tcW w:w="320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71"/>
              </w:rPr>
              <w:t>7</w:t>
            </w:r>
          </w:p>
        </w:tc>
        <w:tc>
          <w:tcPr>
            <w:tcW w:w="160" w:type="dxa"/>
            <w:vAlign w:val="bottom"/>
            <w:shd w:val="clear" w:color="auto" w:fill="CCECFF"/>
          </w:tcPr>
          <w:p>
            <w:pPr>
              <w:spacing w:after="0"/>
              <w:rPr>
                <w:sz w:val="12"/>
                <w:szCs w:val="12"/>
                <w:color w:val="auto"/>
              </w:rPr>
            </w:pPr>
          </w:p>
        </w:tc>
        <w:tc>
          <w:tcPr>
            <w:tcW w:w="3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Construction and Engineering</w:t>
            </w:r>
          </w:p>
        </w:tc>
        <w:tc>
          <w:tcPr>
            <w:tcW w:w="1160" w:type="dxa"/>
            <w:vAlign w:val="bottom"/>
            <w:gridSpan w:val="3"/>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9.88 %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5,564</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5,469</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5,447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4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11/24/20</w:t>
            </w:r>
          </w:p>
        </w:tc>
        <w:tc>
          <w:tcPr>
            <w:tcW w:w="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25</w:t>
            </w:r>
          </w:p>
        </w:tc>
        <w:tc>
          <w:tcPr>
            <w:tcW w:w="160" w:type="dxa"/>
            <w:vAlign w:val="bottom"/>
          </w:tcPr>
          <w:p>
            <w:pPr>
              <w:spacing w:after="0"/>
              <w:rPr>
                <w:sz w:val="12"/>
                <w:szCs w:val="12"/>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16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9.61 %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8,592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00" w:type="dxa"/>
            <w:vAlign w:val="bottom"/>
            <w:shd w:val="clear" w:color="auto" w:fill="CCECFF"/>
          </w:tcPr>
          <w:p>
            <w:pPr>
              <w:spacing w:after="0"/>
              <w:rPr>
                <w:sz w:val="10"/>
                <w:szCs w:val="10"/>
                <w:color w:val="auto"/>
              </w:rPr>
            </w:pP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3/26/202</w:t>
            </w:r>
          </w:p>
        </w:tc>
        <w:tc>
          <w:tcPr>
            <w:tcW w:w="160" w:type="dxa"/>
            <w:vAlign w:val="bottom"/>
            <w:shd w:val="clear" w:color="auto" w:fill="CCECFF"/>
          </w:tcPr>
          <w:p>
            <w:pPr>
              <w:spacing w:after="0"/>
              <w:rPr>
                <w:sz w:val="10"/>
                <w:szCs w:val="10"/>
                <w:color w:val="auto"/>
              </w:rPr>
            </w:pPr>
          </w:p>
        </w:tc>
        <w:tc>
          <w:tcPr>
            <w:tcW w:w="320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71"/>
              </w:rPr>
              <w:t>6</w:t>
            </w:r>
          </w:p>
        </w:tc>
        <w:tc>
          <w:tcPr>
            <w:tcW w:w="160" w:type="dxa"/>
            <w:vAlign w:val="bottom"/>
            <w:shd w:val="clear" w:color="auto" w:fill="CCECFF"/>
          </w:tcPr>
          <w:p>
            <w:pPr>
              <w:spacing w:after="0"/>
              <w:rPr>
                <w:sz w:val="12"/>
                <w:szCs w:val="12"/>
                <w:color w:val="auto"/>
              </w:rPr>
            </w:pPr>
          </w:p>
        </w:tc>
        <w:tc>
          <w:tcPr>
            <w:tcW w:w="3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60" w:type="dxa"/>
            <w:vAlign w:val="bottom"/>
            <w:gridSpan w:val="3"/>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10.13 %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14,678</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14,611</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14,311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4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6/16/202</w:t>
            </w:r>
          </w:p>
        </w:tc>
        <w:tc>
          <w:tcPr>
            <w:tcW w:w="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71"/>
              </w:rPr>
              <w:t>5</w:t>
            </w:r>
          </w:p>
        </w:tc>
        <w:tc>
          <w:tcPr>
            <w:tcW w:w="160" w:type="dxa"/>
            <w:vAlign w:val="bottom"/>
          </w:tcPr>
          <w:p>
            <w:pPr>
              <w:spacing w:after="0"/>
              <w:rPr>
                <w:sz w:val="12"/>
                <w:szCs w:val="12"/>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6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11.46 %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5,468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Tyto Athene, LLC (New Issue)</w:t>
            </w: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4/1/2028</w:t>
            </w:r>
          </w:p>
        </w:tc>
        <w:tc>
          <w:tcPr>
            <w:tcW w:w="160" w:type="dxa"/>
            <w:vAlign w:val="bottom"/>
            <w:shd w:val="clear" w:color="auto" w:fill="CCECFF"/>
          </w:tcPr>
          <w:p>
            <w:pPr>
              <w:spacing w:after="0"/>
              <w:rPr>
                <w:sz w:val="13"/>
                <w:szCs w:val="13"/>
                <w:color w:val="auto"/>
              </w:rPr>
            </w:pPr>
          </w:p>
        </w:tc>
        <w:tc>
          <w:tcPr>
            <w:tcW w:w="3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160" w:type="dxa"/>
            <w:vAlign w:val="bottom"/>
            <w:gridSpan w:val="3"/>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9.25 %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15,511</w:t>
            </w: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15,387</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14,053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4/3/2024</w:t>
            </w:r>
          </w:p>
        </w:tc>
        <w:tc>
          <w:tcPr>
            <w:tcW w:w="160" w:type="dxa"/>
            <w:vAlign w:val="bottom"/>
          </w:tcPr>
          <w:p>
            <w:pPr>
              <w:spacing w:after="0"/>
              <w:rPr>
                <w:sz w:val="12"/>
                <w:szCs w:val="12"/>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16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9.23 %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17,345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17,273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500" w:type="dxa"/>
            <w:vAlign w:val="bottom"/>
            <w:shd w:val="clear" w:color="auto" w:fill="CCECFF"/>
          </w:tcPr>
          <w:p>
            <w:pPr>
              <w:spacing w:after="0"/>
              <w:rPr>
                <w:sz w:val="10"/>
                <w:szCs w:val="10"/>
                <w:color w:val="auto"/>
              </w:rPr>
            </w:pPr>
          </w:p>
        </w:tc>
        <w:tc>
          <w:tcPr>
            <w:tcW w:w="460" w:type="dxa"/>
            <w:vAlign w:val="bottom"/>
            <w:gridSpan w:val="2"/>
            <w:shd w:val="clear" w:color="auto" w:fill="CCECFF"/>
          </w:tcPr>
          <w:p>
            <w:pPr>
              <w:jc w:val="center"/>
              <w:spacing w:after="0" w:line="125" w:lineRule="exact"/>
              <w:rPr>
                <w:sz w:val="20"/>
                <w:szCs w:val="20"/>
                <w:color w:val="auto"/>
              </w:rPr>
            </w:pPr>
            <w:r>
              <w:rPr>
                <w:rFonts w:ascii="Times New Roman" w:cs="Times New Roman" w:eastAsia="Times New Roman" w:hAnsi="Times New Roman"/>
                <w:sz w:val="11"/>
                <w:szCs w:val="11"/>
                <w:color w:val="auto"/>
                <w:w w:val="97"/>
              </w:rPr>
              <w:t>5/24/202</w:t>
            </w:r>
          </w:p>
        </w:tc>
        <w:tc>
          <w:tcPr>
            <w:tcW w:w="160" w:type="dxa"/>
            <w:vAlign w:val="bottom"/>
            <w:shd w:val="clear" w:color="auto" w:fill="CCECFF"/>
          </w:tcPr>
          <w:p>
            <w:pPr>
              <w:spacing w:after="0"/>
              <w:rPr>
                <w:sz w:val="10"/>
                <w:szCs w:val="10"/>
                <w:color w:val="auto"/>
              </w:rPr>
            </w:pPr>
          </w:p>
        </w:tc>
        <w:tc>
          <w:tcPr>
            <w:tcW w:w="320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Unique Indoor Comfort, LLC</w:t>
            </w: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71"/>
              </w:rPr>
              <w:t>7</w:t>
            </w:r>
          </w:p>
        </w:tc>
        <w:tc>
          <w:tcPr>
            <w:tcW w:w="160" w:type="dxa"/>
            <w:vAlign w:val="bottom"/>
            <w:shd w:val="clear" w:color="auto" w:fill="CCECFF"/>
          </w:tcPr>
          <w:p>
            <w:pPr>
              <w:spacing w:after="0"/>
              <w:rPr>
                <w:sz w:val="12"/>
                <w:szCs w:val="12"/>
                <w:color w:val="auto"/>
              </w:rPr>
            </w:pPr>
          </w:p>
        </w:tc>
        <w:tc>
          <w:tcPr>
            <w:tcW w:w="3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Home and Office Furnishings, Housewares</w:t>
            </w:r>
          </w:p>
        </w:tc>
        <w:tc>
          <w:tcPr>
            <w:tcW w:w="1160" w:type="dxa"/>
            <w:vAlign w:val="bottom"/>
            <w:gridSpan w:val="3"/>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9.98 %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9"/>
              </w:rPr>
              <w:t>SOFR+525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4,872</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4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3/31/202</w:t>
            </w:r>
          </w:p>
        </w:tc>
        <w:tc>
          <w:tcPr>
            <w:tcW w:w="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71"/>
              </w:rPr>
              <w:t>7</w:t>
            </w:r>
          </w:p>
        </w:tc>
        <w:tc>
          <w:tcPr>
            <w:tcW w:w="160" w:type="dxa"/>
            <w:vAlign w:val="bottom"/>
          </w:tcPr>
          <w:p>
            <w:pPr>
              <w:spacing w:after="0"/>
              <w:rPr>
                <w:sz w:val="12"/>
                <w:szCs w:val="12"/>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Wholesale</w:t>
            </w:r>
          </w:p>
        </w:tc>
        <w:tc>
          <w:tcPr>
            <w:tcW w:w="116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0.00 %</w:t>
            </w:r>
          </w:p>
        </w:tc>
        <w:tc>
          <w:tcPr>
            <w:tcW w:w="5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12,684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(PIK 3.0%)</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500" w:type="dxa"/>
            <w:vAlign w:val="bottom"/>
            <w:shd w:val="clear" w:color="auto" w:fill="CCECFF"/>
          </w:tcPr>
          <w:p>
            <w:pPr>
              <w:spacing w:after="0"/>
              <w:rPr>
                <w:sz w:val="10"/>
                <w:szCs w:val="10"/>
                <w:color w:val="auto"/>
              </w:rPr>
            </w:pP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2/27/202</w:t>
            </w:r>
          </w:p>
        </w:tc>
        <w:tc>
          <w:tcPr>
            <w:tcW w:w="160" w:type="dxa"/>
            <w:vAlign w:val="bottom"/>
            <w:shd w:val="clear" w:color="auto" w:fill="CCECFF"/>
          </w:tcPr>
          <w:p>
            <w:pPr>
              <w:spacing w:after="0"/>
              <w:rPr>
                <w:sz w:val="10"/>
                <w:szCs w:val="10"/>
                <w:color w:val="auto"/>
              </w:rPr>
            </w:pPr>
          </w:p>
        </w:tc>
        <w:tc>
          <w:tcPr>
            <w:tcW w:w="320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96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4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71"/>
              </w:rPr>
              <w:t>6</w:t>
            </w:r>
          </w:p>
        </w:tc>
        <w:tc>
          <w:tcPr>
            <w:tcW w:w="160" w:type="dxa"/>
            <w:vAlign w:val="bottom"/>
            <w:shd w:val="clear" w:color="auto" w:fill="CCECFF"/>
          </w:tcPr>
          <w:p>
            <w:pPr>
              <w:spacing w:after="0"/>
              <w:rPr>
                <w:sz w:val="12"/>
                <w:szCs w:val="12"/>
                <w:color w:val="auto"/>
              </w:rPr>
            </w:pPr>
          </w:p>
        </w:tc>
        <w:tc>
          <w:tcPr>
            <w:tcW w:w="32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160" w:type="dxa"/>
            <w:vAlign w:val="bottom"/>
            <w:gridSpan w:val="3"/>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10.48 %</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9"/>
              </w:rPr>
              <w:t>SOFR+575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8,524</w:t>
            </w: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8,487</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8,240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3/1/2024</w:t>
            </w:r>
          </w:p>
        </w:tc>
        <w:tc>
          <w:tcPr>
            <w:tcW w:w="160" w:type="dxa"/>
            <w:vAlign w:val="bottom"/>
          </w:tcPr>
          <w:p>
            <w:pPr>
              <w:spacing w:after="0"/>
              <w:rPr>
                <w:sz w:val="12"/>
                <w:szCs w:val="12"/>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16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11.53 %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16,915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4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320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96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54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60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400" w:type="dxa"/>
            <w:vAlign w:val="bottom"/>
            <w:tcBorders>
              <w:bottom w:val="single" w:sz="8" w:color="auto"/>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500" w:type="dxa"/>
            <w:vAlign w:val="bottom"/>
            <w:tcBorders>
              <w:bottom w:val="single" w:sz="8" w:color="auto"/>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769,096</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747,402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 - 5.0%</w:t>
            </w:r>
          </w:p>
        </w:tc>
        <w:tc>
          <w:tcPr>
            <w:tcW w:w="20" w:type="dxa"/>
            <w:vAlign w:val="bottom"/>
            <w:shd w:val="clear" w:color="auto" w:fill="CCECFF"/>
          </w:tcPr>
          <w:p>
            <w:pPr>
              <w:spacing w:after="0"/>
              <w:rPr>
                <w:sz w:val="11"/>
                <w:szCs w:val="11"/>
                <w:color w:val="auto"/>
              </w:rPr>
            </w:pPr>
          </w:p>
        </w:tc>
        <w:tc>
          <w:tcPr>
            <w:tcW w:w="4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320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500" w:type="dxa"/>
            <w:vAlign w:val="bottom"/>
            <w:shd w:val="clear" w:color="auto" w:fill="CCECFF"/>
          </w:tcPr>
          <w:p>
            <w:pPr>
              <w:spacing w:after="0"/>
              <w:rPr>
                <w:sz w:val="13"/>
                <w:szCs w:val="13"/>
                <w:color w:val="auto"/>
              </w:rPr>
            </w:pPr>
          </w:p>
        </w:tc>
        <w:tc>
          <w:tcPr>
            <w:tcW w:w="460" w:type="dxa"/>
            <w:vAlign w:val="bottom"/>
            <w:gridSpan w:val="2"/>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2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4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9/29/202</w:t>
            </w:r>
          </w:p>
        </w:tc>
        <w:tc>
          <w:tcPr>
            <w:tcW w:w="1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2,968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2,970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71"/>
              </w:rPr>
              <w:t>4</w:t>
            </w:r>
          </w:p>
        </w:tc>
        <w:tc>
          <w:tcPr>
            <w:tcW w:w="160" w:type="dxa"/>
            <w:vAlign w:val="bottom"/>
          </w:tcPr>
          <w:p>
            <w:pPr>
              <w:spacing w:after="0"/>
              <w:rPr>
                <w:sz w:val="11"/>
                <w:szCs w:val="11"/>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60" w:type="dxa"/>
            <w:vAlign w:val="bottom"/>
            <w:gridSpan w:val="3"/>
          </w:tcPr>
          <w:p>
            <w:pPr>
              <w:jc w:val="right"/>
              <w:ind w:right="26"/>
              <w:spacing w:after="0"/>
              <w:rPr>
                <w:sz w:val="20"/>
                <w:szCs w:val="20"/>
                <w:color w:val="auto"/>
              </w:rPr>
            </w:pPr>
            <w:r>
              <w:rPr>
                <w:rFonts w:ascii="Times New Roman" w:cs="Times New Roman" w:eastAsia="Times New Roman" w:hAnsi="Times New Roman"/>
                <w:sz w:val="11"/>
                <w:szCs w:val="11"/>
                <w:color w:val="auto"/>
              </w:rPr>
              <w:t>13.23 %</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5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20" w:type="dxa"/>
            <w:vAlign w:val="bottom"/>
            <w:tcBorders>
              <w:bottom w:val="single" w:sz="8" w:color="CCECFF"/>
            </w:tcBorders>
            <w:shd w:val="clear" w:color="auto" w:fill="CCECFF"/>
          </w:tcPr>
          <w:p>
            <w:pPr>
              <w:spacing w:after="0"/>
              <w:rPr>
                <w:sz w:val="12"/>
                <w:szCs w:val="12"/>
                <w:color w:val="auto"/>
              </w:rPr>
            </w:pPr>
          </w:p>
        </w:tc>
        <w:tc>
          <w:tcPr>
            <w:tcW w:w="4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320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9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spacing w:after="0"/>
              <w:rPr>
                <w:sz w:val="12"/>
                <w:szCs w:val="12"/>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2,968</w:t>
            </w:r>
          </w:p>
        </w:tc>
        <w:tc>
          <w:tcPr>
            <w:tcW w:w="1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2,970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Equity Securities - 0.4%</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5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New MPE Holdings, LLC</w:t>
            </w:r>
          </w:p>
        </w:tc>
        <w:tc>
          <w:tcPr>
            <w:tcW w:w="20" w:type="dxa"/>
            <w:vAlign w:val="bottom"/>
            <w:tcBorders>
              <w:bottom w:val="single" w:sz="8" w:color="CCECFF"/>
            </w:tcBorders>
            <w:shd w:val="clear" w:color="auto" w:fill="CCECFF"/>
          </w:tcPr>
          <w:p>
            <w:pPr>
              <w:spacing w:after="0"/>
              <w:rPr>
                <w:sz w:val="13"/>
                <w:szCs w:val="13"/>
                <w:color w:val="auto"/>
              </w:rPr>
            </w:pPr>
          </w:p>
        </w:tc>
        <w:tc>
          <w:tcPr>
            <w:tcW w:w="440" w:type="dxa"/>
            <w:vAlign w:val="bottom"/>
            <w:tcBorders>
              <w:bottom w:val="single" w:sz="8" w:color="CCECFF"/>
            </w:tcBorders>
            <w:shd w:val="clear" w:color="auto" w:fill="CCECFF"/>
          </w:tcPr>
          <w:p>
            <w:pPr>
              <w:ind w:left="32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Borders>
              <w:bottom w:val="single" w:sz="8" w:color="CCECFF"/>
            </w:tcBorders>
            <w:shd w:val="clear" w:color="auto" w:fill="CCECFF"/>
          </w:tcPr>
          <w:p>
            <w:pPr>
              <w:spacing w:after="0"/>
              <w:rPr>
                <w:sz w:val="13"/>
                <w:szCs w:val="13"/>
                <w:color w:val="auto"/>
              </w:rPr>
            </w:pPr>
          </w:p>
        </w:tc>
        <w:tc>
          <w:tcPr>
            <w:tcW w:w="32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20" w:type="dxa"/>
            <w:vAlign w:val="bottom"/>
            <w:tcBorders>
              <w:bottom w:val="single" w:sz="8" w:color="CCECFF"/>
            </w:tcBorders>
            <w:shd w:val="clear" w:color="auto" w:fill="CCECFF"/>
          </w:tcPr>
          <w:p>
            <w:pPr>
              <w:spacing w:after="0"/>
              <w:rPr>
                <w:sz w:val="13"/>
                <w:szCs w:val="13"/>
                <w:color w:val="auto"/>
              </w:rPr>
            </w:pPr>
          </w:p>
        </w:tc>
        <w:tc>
          <w:tcPr>
            <w:tcW w:w="1140" w:type="dxa"/>
            <w:vAlign w:val="bottom"/>
            <w:tcBorders>
              <w:bottom w:val="single" w:sz="8" w:color="CCECFF"/>
            </w:tcBorders>
            <w:gridSpan w:val="2"/>
            <w:shd w:val="clear" w:color="auto" w:fill="CCEC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CFF"/>
            </w:tcBorders>
            <w:shd w:val="clear" w:color="auto" w:fill="CCECFF"/>
          </w:tcPr>
          <w:p>
            <w:pPr>
              <w:spacing w:after="0"/>
              <w:rPr>
                <w:sz w:val="13"/>
                <w:szCs w:val="13"/>
                <w:color w:val="auto"/>
              </w:rPr>
            </w:pPr>
          </w:p>
        </w:tc>
        <w:tc>
          <w:tcPr>
            <w:tcW w:w="6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320</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- 1,360.1%</w:t>
            </w:r>
          </w:p>
        </w:tc>
        <w:tc>
          <w:tcPr>
            <w:tcW w:w="20" w:type="dxa"/>
            <w:vAlign w:val="bottom"/>
            <w:tcBorders>
              <w:bottom w:val="single" w:sz="8" w:color="CCECFF"/>
            </w:tcBorders>
            <w:shd w:val="clear" w:color="auto" w:fill="CCECFF"/>
          </w:tcPr>
          <w:p>
            <w:pPr>
              <w:spacing w:after="0"/>
              <w:rPr>
                <w:sz w:val="12"/>
                <w:szCs w:val="12"/>
                <w:color w:val="auto"/>
              </w:rPr>
            </w:pPr>
          </w:p>
        </w:tc>
        <w:tc>
          <w:tcPr>
            <w:tcW w:w="4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320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96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spacing w:after="0"/>
              <w:rPr>
                <w:sz w:val="12"/>
                <w:szCs w:val="12"/>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772,064</w:t>
            </w:r>
          </w:p>
        </w:tc>
        <w:tc>
          <w:tcPr>
            <w:tcW w:w="1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750,692</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- 75.5%</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5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20" w:type="dxa"/>
            <w:vAlign w:val="bottom"/>
            <w:tcBorders>
              <w:bottom w:val="single" w:sz="8" w:color="CCECFF"/>
            </w:tcBorders>
            <w:shd w:val="clear" w:color="auto" w:fill="CCECFF"/>
          </w:tcPr>
          <w:p>
            <w:pPr>
              <w:spacing w:after="0"/>
              <w:rPr>
                <w:sz w:val="13"/>
                <w:szCs w:val="13"/>
                <w:color w:val="auto"/>
              </w:rPr>
            </w:pPr>
          </w:p>
        </w:tc>
        <w:tc>
          <w:tcPr>
            <w:tcW w:w="4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320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96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54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60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41,692</w:t>
            </w:r>
          </w:p>
        </w:tc>
        <w:tc>
          <w:tcPr>
            <w:tcW w:w="1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41,692</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41,692</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41,692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—1,329.0%</w:t>
            </w:r>
          </w:p>
        </w:tc>
        <w:tc>
          <w:tcPr>
            <w:tcW w:w="20" w:type="dxa"/>
            <w:vAlign w:val="bottom"/>
            <w:tcBorders>
              <w:bottom w:val="single" w:sz="8" w:color="CCECFF"/>
            </w:tcBorders>
            <w:shd w:val="clear" w:color="auto" w:fill="CCECFF"/>
          </w:tcPr>
          <w:p>
            <w:pPr>
              <w:spacing w:after="0"/>
              <w:rPr>
                <w:sz w:val="15"/>
                <w:szCs w:val="15"/>
                <w:color w:val="auto"/>
              </w:rPr>
            </w:pPr>
          </w:p>
        </w:tc>
        <w:tc>
          <w:tcPr>
            <w:tcW w:w="4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3200" w:type="dxa"/>
            <w:vAlign w:val="bottom"/>
            <w:tcBorders>
              <w:bottom w:val="single" w:sz="8" w:color="CCECFF"/>
            </w:tcBorders>
            <w:shd w:val="clear" w:color="auto" w:fill="CCECFF"/>
          </w:tcPr>
          <w:p>
            <w:pPr>
              <w:spacing w:after="0"/>
              <w:rPr>
                <w:sz w:val="15"/>
                <w:szCs w:val="15"/>
                <w:color w:val="auto"/>
              </w:rPr>
            </w:pPr>
          </w:p>
        </w:tc>
        <w:tc>
          <w:tcPr>
            <w:tcW w:w="20" w:type="dxa"/>
            <w:vAlign w:val="bottom"/>
            <w:tcBorders>
              <w:bottom w:val="single" w:sz="8" w:color="CCECFF"/>
            </w:tcBorders>
            <w:shd w:val="clear" w:color="auto" w:fill="CCECFF"/>
          </w:tcPr>
          <w:p>
            <w:pPr>
              <w:spacing w:after="0"/>
              <w:rPr>
                <w:sz w:val="15"/>
                <w:szCs w:val="15"/>
                <w:color w:val="auto"/>
              </w:rPr>
            </w:pPr>
          </w:p>
        </w:tc>
        <w:tc>
          <w:tcPr>
            <w:tcW w:w="9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5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60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813,756</w:t>
            </w:r>
          </w:p>
        </w:tc>
        <w:tc>
          <w:tcPr>
            <w:tcW w:w="12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792,384</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 — (1,229.0)%</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(737,189 )</w:t>
            </w:r>
          </w:p>
        </w:tc>
        <w:tc>
          <w:tcPr>
            <w:tcW w:w="0" w:type="dxa"/>
            <w:vAlign w:val="bottom"/>
          </w:tcPr>
          <w:p>
            <w:pPr>
              <w:spacing w:after="0"/>
              <w:rPr>
                <w:sz w:val="1"/>
                <w:szCs w:val="1"/>
                <w:color w:val="auto"/>
              </w:rPr>
            </w:pPr>
          </w:p>
        </w:tc>
      </w:tr>
      <w:tr>
        <w:trPr>
          <w:trHeight w:val="182"/>
        </w:trPr>
        <w:tc>
          <w:tcPr>
            <w:tcW w:w="35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20" w:type="dxa"/>
            <w:vAlign w:val="bottom"/>
            <w:tcBorders>
              <w:bottom w:val="single" w:sz="8" w:color="CCECFF"/>
            </w:tcBorders>
            <w:shd w:val="clear" w:color="auto" w:fill="CCECFF"/>
          </w:tcPr>
          <w:p>
            <w:pPr>
              <w:spacing w:after="0"/>
              <w:rPr>
                <w:sz w:val="15"/>
                <w:szCs w:val="15"/>
                <w:color w:val="auto"/>
              </w:rPr>
            </w:pPr>
          </w:p>
        </w:tc>
        <w:tc>
          <w:tcPr>
            <w:tcW w:w="4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3200" w:type="dxa"/>
            <w:vAlign w:val="bottom"/>
            <w:tcBorders>
              <w:bottom w:val="single" w:sz="8" w:color="CCECFF"/>
            </w:tcBorders>
            <w:shd w:val="clear" w:color="auto" w:fill="CCECFF"/>
          </w:tcPr>
          <w:p>
            <w:pPr>
              <w:spacing w:after="0"/>
              <w:rPr>
                <w:sz w:val="15"/>
                <w:szCs w:val="15"/>
                <w:color w:val="auto"/>
              </w:rPr>
            </w:pPr>
          </w:p>
        </w:tc>
        <w:tc>
          <w:tcPr>
            <w:tcW w:w="20" w:type="dxa"/>
            <w:vAlign w:val="bottom"/>
            <w:tcBorders>
              <w:bottom w:val="single" w:sz="8" w:color="CCECFF"/>
            </w:tcBorders>
            <w:shd w:val="clear" w:color="auto" w:fill="CCECFF"/>
          </w:tcPr>
          <w:p>
            <w:pPr>
              <w:spacing w:after="0"/>
              <w:rPr>
                <w:sz w:val="15"/>
                <w:szCs w:val="15"/>
                <w:color w:val="auto"/>
              </w:rPr>
            </w:pPr>
          </w:p>
        </w:tc>
        <w:tc>
          <w:tcPr>
            <w:tcW w:w="96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5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60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40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top w:val="single" w:sz="8" w:color="auto"/>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55,195</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6588760</wp:posOffset>
            </wp:positionH>
            <wp:positionV relativeFrom="paragraph">
              <wp:posOffset>-1619250</wp:posOffset>
            </wp:positionV>
            <wp:extent cx="68580" cy="1111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1111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-1053465</wp:posOffset>
            </wp:positionV>
            <wp:extent cx="68580" cy="1028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1028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-856615</wp:posOffset>
            </wp:positionV>
            <wp:extent cx="68580" cy="1117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1117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-650875</wp:posOffset>
            </wp:positionV>
            <wp:extent cx="68580" cy="1028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028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-453390</wp:posOffset>
            </wp:positionV>
            <wp:extent cx="68580" cy="1111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111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-247650</wp:posOffset>
            </wp:positionV>
            <wp:extent cx="54864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864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 w:lineRule="exact"/>
        <w:rPr>
          <w:sz w:val="20"/>
          <w:szCs w:val="20"/>
          <w:color w:val="auto"/>
        </w:rPr>
      </w:pPr>
    </w:p>
    <w:p>
      <w:pPr>
        <w:jc w:val="both"/>
        <w:ind w:left="380" w:right="120" w:hanging="372"/>
        <w:spacing w:after="0" w:line="222" w:lineRule="auto"/>
        <w:tabs>
          <w:tab w:leader="none" w:pos="38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Times New Roman" w:cs="Times New Roman" w:eastAsia="Times New Roman" w:hAnsi="Times New Roman"/>
          <w:sz w:val="14"/>
          <w:szCs w:val="14"/>
          <w:color w:val="auto"/>
          <w:vertAlign w:val="superscript"/>
        </w:rPr>
      </w:pPr>
    </w:p>
    <w:p>
      <w:pPr>
        <w:ind w:left="380" w:hanging="372"/>
        <w:spacing w:after="0" w:line="181" w:lineRule="auto"/>
        <w:tabs>
          <w:tab w:leader="none" w:pos="38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PSSL’s accounting policy.</w:t>
      </w:r>
    </w:p>
    <w:p>
      <w:pPr>
        <w:ind w:left="380" w:hanging="372"/>
        <w:spacing w:after="0" w:line="181" w:lineRule="auto"/>
        <w:tabs>
          <w:tab w:leader="none" w:pos="38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Non-U.S. company or principal place of business outside the United States.</w:t>
      </w:r>
    </w:p>
    <w:p>
      <w:pPr>
        <w:ind w:left="380" w:hanging="372"/>
        <w:spacing w:after="0" w:line="181" w:lineRule="auto"/>
        <w:tabs>
          <w:tab w:leader="none" w:pos="38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Non-income producing security.</w:t>
      </w:r>
    </w:p>
    <w:p>
      <w:pPr>
        <w:ind w:left="380" w:hanging="372"/>
        <w:spacing w:after="0" w:line="191" w:lineRule="auto"/>
        <w:tabs>
          <w:tab w:leader="none" w:pos="38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PSSL’s individual investments as of September 30, 2022 (Par and $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Basis Point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42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6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Spread Above</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0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6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 xml:space="preserve">Index </w:t>
            </w:r>
            <w:r>
              <w:rPr>
                <w:rFonts w:ascii="Times New Roman" w:cs="Times New Roman" w:eastAsia="Times New Roman" w:hAnsi="Times New Roman"/>
                <w:sz w:val="14"/>
                <w:szCs w:val="14"/>
                <w:b w:val="1"/>
                <w:bCs w:val="1"/>
                <w:color w:val="auto"/>
                <w:vertAlign w:val="superscript"/>
              </w:rPr>
              <w:t>(1)</w:t>
            </w:r>
          </w:p>
        </w:tc>
        <w:tc>
          <w:tcPr>
            <w:tcW w:w="80" w:type="dxa"/>
            <w:vAlign w:val="bottom"/>
          </w:tcPr>
          <w:p>
            <w:pPr>
              <w:spacing w:after="0"/>
              <w:rPr>
                <w:sz w:val="14"/>
                <w:szCs w:val="14"/>
                <w:color w:val="auto"/>
              </w:rPr>
            </w:pPr>
          </w:p>
        </w:tc>
        <w:tc>
          <w:tcPr>
            <w:tcW w:w="6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Par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- 1,330.4%</w:t>
            </w: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5/6/2026</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9.67 %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8,888</w:t>
            </w:r>
          </w:p>
        </w:tc>
        <w:tc>
          <w:tcPr>
            <w:tcW w:w="3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8,788</w:t>
            </w:r>
          </w:p>
        </w:tc>
        <w:tc>
          <w:tcPr>
            <w:tcW w:w="40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8,821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Alpine Acquisition Corp II</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11/30/2026</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Containers and Packaging</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8.22 %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9,790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7/24/2025</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10.81 %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5,225</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5,113</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5,042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12/21/2023</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Building Products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7.79 %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4,883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Anteriad, LLC (f/k/a MeritDirect,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5/23/2024</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Advertising, Printing &amp; Publishing</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9.67 %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5,284</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5,208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7/21/2027</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8.33 %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6.72 %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1,010</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1,010</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9.67 %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2,202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7.86 %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11,115</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11,050</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11,059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12/29/2026</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8.76 %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8,421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8,317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Arcfield Acquisition Corp.</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3/7/2028</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8.99 %</w:t>
            </w:r>
          </w:p>
        </w:tc>
        <w:tc>
          <w:tcPr>
            <w:tcW w:w="7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w w:val="96"/>
              </w:rPr>
              <w:t>SOFR + 575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4,677</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4,588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4,583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7/1/2029</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7.76 %</w:t>
            </w:r>
          </w:p>
        </w:tc>
        <w:tc>
          <w:tcPr>
            <w:tcW w:w="760" w:type="dxa"/>
            <w:vAlign w:val="bottom"/>
          </w:tcPr>
          <w:p>
            <w:pPr>
              <w:ind w:left="200"/>
              <w:spacing w:after="0"/>
              <w:rPr>
                <w:sz w:val="20"/>
                <w:szCs w:val="20"/>
                <w:color w:val="auto"/>
              </w:rPr>
            </w:pPr>
            <w:r>
              <w:rPr>
                <w:rFonts w:ascii="Times New Roman" w:cs="Times New Roman" w:eastAsia="Times New Roman" w:hAnsi="Times New Roman"/>
                <w:sz w:val="11"/>
                <w:szCs w:val="11"/>
                <w:color w:val="auto"/>
                <w:w w:val="96"/>
              </w:rPr>
              <w:t>SOFR + 525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9/17/2024</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8.62 %</w:t>
            </w:r>
          </w:p>
        </w:tc>
        <w:tc>
          <w:tcPr>
            <w:tcW w:w="7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w w:val="96"/>
              </w:rPr>
              <w:t>SOFR + 500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15,293</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15,102</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14,956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12/2/2022</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7.39 %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5/16/2024</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9.20 %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L+662</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14,822</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14,771</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14,674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Cadence Aerospace, LLC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11/14/2023</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11.31 %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L+325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12,412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12,385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(PIK 11.31%)</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5/13/2028</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9.55 %</w:t>
            </w:r>
          </w:p>
        </w:tc>
        <w:tc>
          <w:tcPr>
            <w:tcW w:w="7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w w:val="96"/>
              </w:rPr>
              <w:t>SOFR + 600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6,484</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6,359</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6,386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8/20/2026</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9.08 %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CHA Holdings, Inc.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4/10/2025</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Construction and Engineering</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8.17 %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5,557</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5,487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Challenger Performance Optimization,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8/31/2023</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9.27 %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9,271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9,247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(PIK 1.00%)</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7/13/2027</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8.42 %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3,907</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3,842</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3,810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8/16/2027</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9.39 %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10/19/2022</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8.87 %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8,655</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8,653</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8,655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10/19/2022</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8.87 %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7,248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7,246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8/31/2027</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9.42 %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14,862</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14,610</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14,639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DRI Holding Inc.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12/21/2028</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8.37 %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1,832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4"/>
              </w:rPr>
              <w:t>11/3/2025</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8.87 %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15,179</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15,103</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14,693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6/30/2024</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Containers and Packaging</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8.62 %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10,278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10,151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5/1/2028</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10.62 %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2,621</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2,598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12/23/2025</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7.82 %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3/15/2027</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8.87 %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12,935</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12,759</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12,644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6/17/2028</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8.39 %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10,238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5/14/2026</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9.37 %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14,638</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14,427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14,199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3/16/2026</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8.74 %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3,904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8/10/2027</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9.17 %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2,369</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2,320</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2,274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12/31/2026</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8.67 %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2,392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11/23/2028</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10.17 %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4,874</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12/10/2024</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3,052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Icon Partners III, LP</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4"/>
              </w:rPr>
              <w:t>5/11/2028</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7.55 %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2,327</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12/30/2026</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10.20 %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SOFR+700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Imagine Acquisitionco,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11/15/2027</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8.42 %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5,364</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5,261</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12/7/2023</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8.55 %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SOFR+700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16,620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9/29/2023</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8.42 %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11,187</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11,168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10,963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8/27/2025</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7.58 %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5,966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ITI Holdings, Inc.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3/3/2028</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8.67 %</w:t>
            </w:r>
          </w:p>
        </w:tc>
        <w:tc>
          <w:tcPr>
            <w:tcW w:w="7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w w:val="96"/>
              </w:rPr>
              <w:t>SOFR + 550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3,980</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12/20/2023</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11.12 %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19,250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19,103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11/10/2027</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9.67 %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16,830</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16,451</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16,494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2/18/2027</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11.17 %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14,355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14,074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10/31/2024</w:t>
            </w:r>
          </w:p>
        </w:tc>
        <w:tc>
          <w:tcPr>
            <w:tcW w:w="120" w:type="dxa"/>
            <w:vAlign w:val="bottom"/>
            <w:shd w:val="clear" w:color="auto" w:fill="CCECFF"/>
          </w:tcPr>
          <w:p>
            <w:pPr>
              <w:spacing w:after="0"/>
              <w:rPr>
                <w:sz w:val="12"/>
                <w:szCs w:val="12"/>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9.70 %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10,578</w:t>
            </w:r>
          </w:p>
        </w:tc>
        <w:tc>
          <w:tcPr>
            <w:tcW w:w="1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10,539</w:t>
            </w:r>
          </w:p>
        </w:tc>
        <w:tc>
          <w:tcPr>
            <w:tcW w:w="2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10,335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(PIK 2.00%)</w:t>
            </w:r>
          </w:p>
        </w:tc>
        <w:tc>
          <w:tcPr>
            <w:tcW w:w="7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2/3/2026</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9.04 %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10,598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10,428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7/20/2027</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 Gaming and Leisure</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8.31 %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4,331</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4,258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3,183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Magenta Buyer,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7/31/2028</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7.87 %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2,695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Marketplace Events, LLC - Super Priority First Lien Term Loan</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9/30/2025</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8.19 %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Marketplace Events, LLC - Super Priority First Lien Unfunded Term</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Loan</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9/30/2025</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Marketplace Events,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9/30/2026</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8.19 %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4,837</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3,527</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5/14/2026</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8.62 %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9,782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4/16/2027</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8.56 %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7,406</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7,296</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MDI Buyer,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7/25/2028</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8.98 %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12/10/2027</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9.17 %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2,396</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2,353</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2,372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3/28/2024</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8.70 %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5,829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9/28/2027</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8.67 %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3,465</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3,405</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3,264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8/19/2026</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&amp; Childcare</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7.80 %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10,641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New Milani Group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6/6/2024</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7.75 %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14,363</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14,319</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14,111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7/9/2026</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8.40 %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SOFR+475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5,060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5/7/2027</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Air Freight and Logistics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9.37 %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14,598</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14,353</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14,160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3/27/2024</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9.80 %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7,682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2/4/2028</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8.41 %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3,990</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3,918</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3,890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5/18/2026</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9.81 %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9/29/2025</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8.07 %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9,593</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9,234</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7,674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4"/>
              </w:rPr>
              <w:t>11/9/2027</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9.62 %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8,238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10/19/2022</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8.87 %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1,562</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1,561</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7"/>
              </w:rPr>
              <w:t>5/8/2026</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9.17 %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2,580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Pragmatic Institute, LLC</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7"/>
              </w:rPr>
              <w:t>7/6/2028</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9.30 %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11,250</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11,056</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11,138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11/19/2026</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8.41 %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4,845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 - Unfunded Term Loan</w:t>
            </w:r>
          </w:p>
        </w:tc>
        <w:tc>
          <w:tcPr>
            <w:tcW w:w="760" w:type="dxa"/>
            <w:vAlign w:val="bottom"/>
            <w:gridSpan w:val="2"/>
            <w:shd w:val="clear" w:color="auto" w:fill="CCECFF"/>
          </w:tcPr>
          <w:p>
            <w:pPr>
              <w:jc w:val="center"/>
              <w:ind w:left="46"/>
              <w:spacing w:after="0"/>
              <w:rPr>
                <w:sz w:val="20"/>
                <w:szCs w:val="20"/>
                <w:color w:val="auto"/>
              </w:rPr>
            </w:pPr>
            <w:r>
              <w:rPr>
                <w:rFonts w:ascii="Times New Roman" w:cs="Times New Roman" w:eastAsia="Times New Roman" w:hAnsi="Times New Roman"/>
                <w:sz w:val="11"/>
                <w:szCs w:val="11"/>
                <w:color w:val="auto"/>
                <w:w w:val="99"/>
              </w:rPr>
              <w:t>11/19/2026</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1,888</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76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2/28/2028</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Air Freight and Logistics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9.13 %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76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1/29/2026</w:t>
            </w:r>
          </w:p>
        </w:tc>
        <w:tc>
          <w:tcPr>
            <w:tcW w:w="12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100" w:type="dxa"/>
            <w:vAlign w:val="bottom"/>
            <w:gridSpan w:val="3"/>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9.92 %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4,856</w:t>
            </w:r>
          </w:p>
        </w:tc>
        <w:tc>
          <w:tcPr>
            <w:tcW w:w="20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760" w:type="dxa"/>
            <w:vAlign w:val="bottom"/>
            <w:gridSpan w:val="2"/>
          </w:tcPr>
          <w:p>
            <w:pPr>
              <w:jc w:val="center"/>
              <w:ind w:left="46"/>
              <w:spacing w:after="0"/>
              <w:rPr>
                <w:sz w:val="20"/>
                <w:szCs w:val="20"/>
                <w:color w:val="auto"/>
              </w:rPr>
            </w:pPr>
            <w:r>
              <w:rPr>
                <w:rFonts w:ascii="Times New Roman" w:cs="Times New Roman" w:eastAsia="Times New Roman" w:hAnsi="Times New Roman"/>
                <w:sz w:val="11"/>
                <w:szCs w:val="11"/>
                <w:color w:val="auto"/>
                <w:w w:val="99"/>
              </w:rPr>
              <w:t>12/20/2024</w:t>
            </w:r>
          </w:p>
        </w:tc>
        <w:tc>
          <w:tcPr>
            <w:tcW w:w="12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8.84 %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12,564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12,354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70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Basis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2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Point</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9"/>
        </w:trPr>
        <w:tc>
          <w:tcPr>
            <w:tcW w:w="2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2"/>
          </w:tcPr>
          <w:p>
            <w:pPr>
              <w:jc w:val="right"/>
              <w:ind w:right="246"/>
              <w:spacing w:after="0" w:line="119" w:lineRule="exact"/>
              <w:rPr>
                <w:sz w:val="20"/>
                <w:szCs w:val="20"/>
                <w:color w:val="auto"/>
              </w:rPr>
            </w:pPr>
            <w:r>
              <w:rPr>
                <w:rFonts w:ascii="Times New Roman" w:cs="Times New Roman" w:eastAsia="Times New Roman" w:hAnsi="Times New Roman"/>
                <w:sz w:val="11"/>
                <w:szCs w:val="11"/>
                <w:b w:val="1"/>
                <w:bCs w:val="1"/>
                <w:color w:val="auto"/>
              </w:rPr>
              <w:t>Current</w:t>
            </w:r>
          </w:p>
        </w:tc>
        <w:tc>
          <w:tcPr>
            <w:tcW w:w="5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Above</w:t>
            </w:r>
          </w:p>
        </w:tc>
        <w:tc>
          <w:tcPr>
            <w:tcW w:w="120" w:type="dxa"/>
            <w:vAlign w:val="bottom"/>
          </w:tcPr>
          <w:p>
            <w:pPr>
              <w:spacing w:after="0"/>
              <w:rPr>
                <w:sz w:val="10"/>
                <w:szCs w:val="10"/>
                <w:color w:val="auto"/>
              </w:rPr>
            </w:pPr>
          </w:p>
        </w:tc>
        <w:tc>
          <w:tcPr>
            <w:tcW w:w="600" w:type="dxa"/>
            <w:vAlign w:val="bottom"/>
          </w:tcPr>
          <w:p>
            <w:pPr>
              <w:jc w:val="right"/>
              <w:ind w:right="126"/>
              <w:spacing w:after="0" w:line="119" w:lineRule="exact"/>
              <w:rPr>
                <w:sz w:val="20"/>
                <w:szCs w:val="20"/>
                <w:color w:val="auto"/>
              </w:rPr>
            </w:pPr>
            <w:r>
              <w:rPr>
                <w:rFonts w:ascii="Times New Roman" w:cs="Times New Roman" w:eastAsia="Times New Roman" w:hAnsi="Times New Roman"/>
                <w:sz w:val="11"/>
                <w:szCs w:val="11"/>
                <w:b w:val="1"/>
                <w:bCs w:val="1"/>
                <w:color w:val="auto"/>
              </w:rPr>
              <w:t>Par /</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20" w:type="dxa"/>
            <w:vAlign w:val="bottom"/>
          </w:tcPr>
          <w:p>
            <w:pPr>
              <w:spacing w:after="0"/>
              <w:rPr>
                <w:sz w:val="13"/>
                <w:szCs w:val="13"/>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80" w:type="dxa"/>
            <w:vAlign w:val="bottom"/>
          </w:tcPr>
          <w:p>
            <w:pPr>
              <w:spacing w:after="0"/>
              <w:rPr>
                <w:sz w:val="13"/>
                <w:szCs w:val="13"/>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40" w:type="dxa"/>
            <w:vAlign w:val="bottom"/>
          </w:tcPr>
          <w:p>
            <w:pPr>
              <w:spacing w:after="0"/>
              <w:rPr>
                <w:sz w:val="13"/>
                <w:szCs w:val="13"/>
                <w:color w:val="auto"/>
              </w:rPr>
            </w:pPr>
          </w:p>
        </w:tc>
        <w:tc>
          <w:tcPr>
            <w:tcW w:w="880" w:type="dxa"/>
            <w:vAlign w:val="bottom"/>
            <w:gridSpan w:val="2"/>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52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20" w:type="dxa"/>
            <w:vAlign w:val="bottom"/>
          </w:tcPr>
          <w:p>
            <w:pPr>
              <w:spacing w:after="0"/>
              <w:rPr>
                <w:sz w:val="13"/>
                <w:szCs w:val="13"/>
                <w:color w:val="auto"/>
              </w:rPr>
            </w:pPr>
          </w:p>
        </w:tc>
        <w:tc>
          <w:tcPr>
            <w:tcW w:w="6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13"/>
                <w:szCs w:val="13"/>
                <w:color w:val="auto"/>
              </w:rPr>
            </w:pPr>
          </w:p>
        </w:tc>
        <w:tc>
          <w:tcPr>
            <w:tcW w:w="780" w:type="dxa"/>
            <w:vAlign w:val="bottom"/>
            <w:gridSpan w:val="3"/>
          </w:tcPr>
          <w:p>
            <w:pPr>
              <w:jc w:val="right"/>
              <w:ind w:right="102"/>
              <w:spacing w:after="0" w:line="153" w:lineRule="exact"/>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(2)</w:t>
            </w:r>
          </w:p>
        </w:tc>
      </w:tr>
      <w:tr>
        <w:trPr>
          <w:trHeight w:val="142"/>
        </w:trPr>
        <w:tc>
          <w:tcPr>
            <w:tcW w:w="3620" w:type="dxa"/>
            <w:vAlign w:val="bottom"/>
            <w:tcBorders>
              <w:top w:val="single" w:sz="8" w:color="auto"/>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20" w:type="dxa"/>
            <w:vAlign w:val="bottom"/>
            <w:shd w:val="clear" w:color="auto" w:fill="CCECFF"/>
          </w:tcPr>
          <w:p>
            <w:pPr>
              <w:spacing w:after="0"/>
              <w:rPr>
                <w:sz w:val="12"/>
                <w:szCs w:val="12"/>
                <w:color w:val="auto"/>
              </w:rPr>
            </w:pPr>
          </w:p>
        </w:tc>
        <w:tc>
          <w:tcPr>
            <w:tcW w:w="4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1/3/2025</w:t>
            </w:r>
          </w:p>
        </w:tc>
        <w:tc>
          <w:tcPr>
            <w:tcW w:w="180" w:type="dxa"/>
            <w:vAlign w:val="bottom"/>
            <w:shd w:val="clear" w:color="auto" w:fill="CCECFF"/>
          </w:tcPr>
          <w:p>
            <w:pPr>
              <w:spacing w:after="0"/>
              <w:rPr>
                <w:sz w:val="12"/>
                <w:szCs w:val="12"/>
                <w:color w:val="auto"/>
              </w:rPr>
            </w:pPr>
          </w:p>
        </w:tc>
        <w:tc>
          <w:tcPr>
            <w:tcW w:w="31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shd w:val="clear" w:color="auto" w:fill="CCECFF"/>
          </w:tcPr>
          <w:p>
            <w:pPr>
              <w:spacing w:after="0"/>
              <w:rPr>
                <w:sz w:val="12"/>
                <w:szCs w:val="12"/>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9.67</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20" w:type="dxa"/>
            <w:vAlign w:val="bottom"/>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5,013</w:t>
            </w:r>
          </w:p>
        </w:tc>
        <w:tc>
          <w:tcPr>
            <w:tcW w:w="120" w:type="dxa"/>
            <w:vAlign w:val="bottom"/>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4,960</w:t>
            </w:r>
          </w:p>
        </w:tc>
        <w:tc>
          <w:tcPr>
            <w:tcW w:w="120" w:type="dxa"/>
            <w:vAlign w:val="bottom"/>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100" w:type="dxa"/>
            <w:vAlign w:val="bottom"/>
            <w:shd w:val="clear" w:color="auto" w:fill="CCECFF"/>
          </w:tcPr>
          <w:p>
            <w:pPr>
              <w:spacing w:after="0"/>
              <w:rPr>
                <w:sz w:val="12"/>
                <w:szCs w:val="12"/>
                <w:color w:val="auto"/>
              </w:rPr>
            </w:pPr>
          </w:p>
        </w:tc>
      </w:tr>
      <w:tr>
        <w:trPr>
          <w:trHeight w:val="121"/>
        </w:trPr>
        <w:tc>
          <w:tcPr>
            <w:tcW w:w="2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12/20/202</w:t>
            </w:r>
          </w:p>
        </w:tc>
        <w:tc>
          <w:tcPr>
            <w:tcW w:w="1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71"/>
              </w:rPr>
              <w:t>4</w:t>
            </w:r>
          </w:p>
        </w:tc>
        <w:tc>
          <w:tcPr>
            <w:tcW w:w="180" w:type="dxa"/>
            <w:vAlign w:val="bottom"/>
          </w:tcPr>
          <w:p>
            <w:pPr>
              <w:spacing w:after="0"/>
              <w:rPr>
                <w:sz w:val="12"/>
                <w:szCs w:val="12"/>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40" w:type="dxa"/>
            <w:vAlign w:val="bottom"/>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8.62 % 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5,240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5,187</w:t>
            </w:r>
          </w:p>
        </w:tc>
        <w:tc>
          <w:tcPr>
            <w:tcW w:w="100" w:type="dxa"/>
            <w:vAlign w:val="bottom"/>
          </w:tcPr>
          <w:p>
            <w:pPr>
              <w:spacing w:after="0"/>
              <w:rPr>
                <w:sz w:val="12"/>
                <w:szCs w:val="12"/>
                <w:color w:val="auto"/>
              </w:rPr>
            </w:pPr>
          </w:p>
        </w:tc>
      </w:tr>
      <w:tr>
        <w:trPr>
          <w:trHeight w:val="126"/>
        </w:trPr>
        <w:tc>
          <w:tcPr>
            <w:tcW w:w="270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318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SOFR+50</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r>
      <w:tr>
        <w:trPr>
          <w:trHeight w:val="140"/>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50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7/14/2025</w:t>
            </w:r>
          </w:p>
        </w:tc>
        <w:tc>
          <w:tcPr>
            <w:tcW w:w="180" w:type="dxa"/>
            <w:vAlign w:val="bottom"/>
            <w:shd w:val="clear" w:color="auto" w:fill="CCECFF"/>
          </w:tcPr>
          <w:p>
            <w:pPr>
              <w:spacing w:after="0"/>
              <w:rPr>
                <w:sz w:val="12"/>
                <w:szCs w:val="12"/>
                <w:color w:val="auto"/>
              </w:rPr>
            </w:pPr>
          </w:p>
        </w:tc>
        <w:tc>
          <w:tcPr>
            <w:tcW w:w="3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10.27 %</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11,847</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11,829</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11,551</w:t>
            </w:r>
          </w:p>
        </w:tc>
        <w:tc>
          <w:tcPr>
            <w:tcW w:w="100" w:type="dxa"/>
            <w:vAlign w:val="bottom"/>
            <w:shd w:val="clear" w:color="auto" w:fill="CCECFF"/>
          </w:tcPr>
          <w:p>
            <w:pPr>
              <w:spacing w:after="0"/>
              <w:rPr>
                <w:sz w:val="12"/>
                <w:szCs w:val="12"/>
                <w:color w:val="auto"/>
              </w:rPr>
            </w:pPr>
          </w:p>
        </w:tc>
      </w:tr>
      <w:tr>
        <w:trPr>
          <w:trHeight w:val="157"/>
        </w:trPr>
        <w:tc>
          <w:tcPr>
            <w:tcW w:w="270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18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(PIK 0.50%)</w:t>
            </w:r>
          </w:p>
        </w:tc>
        <w:tc>
          <w:tcPr>
            <w:tcW w:w="5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21"/>
        </w:trPr>
        <w:tc>
          <w:tcPr>
            <w:tcW w:w="2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12/18/202</w:t>
            </w:r>
          </w:p>
        </w:tc>
        <w:tc>
          <w:tcPr>
            <w:tcW w:w="1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71"/>
              </w:rPr>
              <w:t>5</w:t>
            </w:r>
          </w:p>
        </w:tc>
        <w:tc>
          <w:tcPr>
            <w:tcW w:w="180" w:type="dxa"/>
            <w:vAlign w:val="bottom"/>
          </w:tcPr>
          <w:p>
            <w:pPr>
              <w:spacing w:after="0"/>
              <w:rPr>
                <w:sz w:val="12"/>
                <w:szCs w:val="12"/>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12.17 % 1M L+850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14,421</w:t>
            </w:r>
          </w:p>
        </w:tc>
        <w:tc>
          <w:tcPr>
            <w:tcW w:w="100" w:type="dxa"/>
            <w:vAlign w:val="bottom"/>
          </w:tcPr>
          <w:p>
            <w:pPr>
              <w:spacing w:after="0"/>
              <w:rPr>
                <w:sz w:val="12"/>
                <w:szCs w:val="12"/>
                <w:color w:val="auto"/>
              </w:rPr>
            </w:pPr>
          </w:p>
        </w:tc>
      </w:tr>
      <w:tr>
        <w:trPr>
          <w:trHeight w:val="126"/>
        </w:trPr>
        <w:tc>
          <w:tcPr>
            <w:tcW w:w="270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50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10/14/202</w:t>
            </w:r>
          </w:p>
        </w:tc>
        <w:tc>
          <w:tcPr>
            <w:tcW w:w="180" w:type="dxa"/>
            <w:vAlign w:val="bottom"/>
            <w:shd w:val="clear" w:color="auto" w:fill="CCECFF"/>
          </w:tcPr>
          <w:p>
            <w:pPr>
              <w:spacing w:after="0"/>
              <w:rPr>
                <w:sz w:val="10"/>
                <w:szCs w:val="10"/>
                <w:color w:val="auto"/>
              </w:rPr>
            </w:pPr>
          </w:p>
        </w:tc>
        <w:tc>
          <w:tcPr>
            <w:tcW w:w="318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r>
      <w:tr>
        <w:trPr>
          <w:trHeight w:val="149"/>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Smile Brands Inc.</w:t>
            </w:r>
          </w:p>
        </w:tc>
        <w:tc>
          <w:tcPr>
            <w:tcW w:w="50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71"/>
              </w:rPr>
              <w:t>5</w:t>
            </w:r>
          </w:p>
        </w:tc>
        <w:tc>
          <w:tcPr>
            <w:tcW w:w="180" w:type="dxa"/>
            <w:vAlign w:val="bottom"/>
            <w:shd w:val="clear" w:color="auto" w:fill="CCECFF"/>
          </w:tcPr>
          <w:p>
            <w:pPr>
              <w:spacing w:after="0"/>
              <w:rPr>
                <w:sz w:val="12"/>
                <w:szCs w:val="12"/>
                <w:color w:val="auto"/>
              </w:rPr>
            </w:pPr>
          </w:p>
        </w:tc>
        <w:tc>
          <w:tcPr>
            <w:tcW w:w="3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40" w:type="dxa"/>
            <w:vAlign w:val="bottom"/>
            <w:shd w:val="clear" w:color="auto" w:fill="CCECFF"/>
          </w:tcPr>
          <w:p>
            <w:pPr>
              <w:spacing w:after="0"/>
              <w:rPr>
                <w:sz w:val="12"/>
                <w:szCs w:val="12"/>
                <w:color w:val="auto"/>
              </w:rPr>
            </w:pPr>
          </w:p>
        </w:tc>
        <w:tc>
          <w:tcPr>
            <w:tcW w:w="140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7.05 % 3M L+450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11,917</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11,807</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11,470</w:t>
            </w:r>
          </w:p>
        </w:tc>
        <w:tc>
          <w:tcPr>
            <w:tcW w:w="100" w:type="dxa"/>
            <w:vAlign w:val="bottom"/>
            <w:shd w:val="clear" w:color="auto" w:fill="CCECFF"/>
          </w:tcPr>
          <w:p>
            <w:pPr>
              <w:spacing w:after="0"/>
              <w:rPr>
                <w:sz w:val="12"/>
                <w:szCs w:val="12"/>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1/17/2024</w:t>
            </w:r>
          </w:p>
        </w:tc>
        <w:tc>
          <w:tcPr>
            <w:tcW w:w="180" w:type="dxa"/>
            <w:vAlign w:val="bottom"/>
          </w:tcPr>
          <w:p>
            <w:pPr>
              <w:spacing w:after="0"/>
              <w:rPr>
                <w:sz w:val="12"/>
                <w:szCs w:val="12"/>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40" w:type="dxa"/>
            <w:vAlign w:val="bottom"/>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8.87 % 1M L+575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5,647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5,511</w:t>
            </w:r>
          </w:p>
        </w:tc>
        <w:tc>
          <w:tcPr>
            <w:tcW w:w="100" w:type="dxa"/>
            <w:vAlign w:val="bottom"/>
          </w:tcPr>
          <w:p>
            <w:pPr>
              <w:spacing w:after="0"/>
              <w:rPr>
                <w:sz w:val="12"/>
                <w:szCs w:val="12"/>
                <w:color w:val="auto"/>
              </w:rPr>
            </w:pPr>
          </w:p>
        </w:tc>
      </w:tr>
      <w:tr>
        <w:trPr>
          <w:trHeight w:val="125"/>
        </w:trPr>
        <w:tc>
          <w:tcPr>
            <w:tcW w:w="270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318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5" w:lineRule="exact"/>
              <w:rPr>
                <w:sz w:val="20"/>
                <w:szCs w:val="20"/>
                <w:color w:val="auto"/>
              </w:rPr>
            </w:pPr>
            <w:r>
              <w:rPr>
                <w:rFonts w:ascii="Times New Roman" w:cs="Times New Roman" w:eastAsia="Times New Roman" w:hAnsi="Times New Roman"/>
                <w:sz w:val="11"/>
                <w:szCs w:val="11"/>
                <w:color w:val="auto"/>
              </w:rPr>
              <w:t>SOFR+57</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r>
      <w:tr>
        <w:trPr>
          <w:trHeight w:val="149"/>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Spendmend Holdings LLC</w:t>
            </w:r>
          </w:p>
        </w:tc>
        <w:tc>
          <w:tcPr>
            <w:tcW w:w="50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3/1/2028</w:t>
            </w:r>
          </w:p>
        </w:tc>
        <w:tc>
          <w:tcPr>
            <w:tcW w:w="180" w:type="dxa"/>
            <w:vAlign w:val="bottom"/>
            <w:shd w:val="clear" w:color="auto" w:fill="CCECFF"/>
          </w:tcPr>
          <w:p>
            <w:pPr>
              <w:spacing w:after="0"/>
              <w:rPr>
                <w:sz w:val="12"/>
                <w:szCs w:val="12"/>
                <w:color w:val="auto"/>
              </w:rPr>
            </w:pPr>
          </w:p>
        </w:tc>
        <w:tc>
          <w:tcPr>
            <w:tcW w:w="3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8.63 %</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2,956</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2,916</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2,873</w:t>
            </w:r>
          </w:p>
        </w:tc>
        <w:tc>
          <w:tcPr>
            <w:tcW w:w="100" w:type="dxa"/>
            <w:vAlign w:val="bottom"/>
            <w:shd w:val="clear" w:color="auto" w:fill="CCECFF"/>
          </w:tcPr>
          <w:p>
            <w:pPr>
              <w:spacing w:after="0"/>
              <w:rPr>
                <w:sz w:val="12"/>
                <w:szCs w:val="12"/>
                <w:color w:val="auto"/>
              </w:rPr>
            </w:pPr>
          </w:p>
        </w:tc>
      </w:tr>
      <w:tr>
        <w:trPr>
          <w:trHeight w:val="121"/>
        </w:trPr>
        <w:tc>
          <w:tcPr>
            <w:tcW w:w="2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12/11/202</w:t>
            </w:r>
          </w:p>
        </w:tc>
        <w:tc>
          <w:tcPr>
            <w:tcW w:w="1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71"/>
              </w:rPr>
              <w:t>6</w:t>
            </w:r>
          </w:p>
        </w:tc>
        <w:tc>
          <w:tcPr>
            <w:tcW w:w="180" w:type="dxa"/>
            <w:vAlign w:val="bottom"/>
          </w:tcPr>
          <w:p>
            <w:pPr>
              <w:spacing w:after="0"/>
              <w:rPr>
                <w:sz w:val="12"/>
                <w:szCs w:val="12"/>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40" w:type="dxa"/>
            <w:vAlign w:val="bottom"/>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8.37 % 3M L+525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9,075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8,985</w:t>
            </w:r>
          </w:p>
        </w:tc>
        <w:tc>
          <w:tcPr>
            <w:tcW w:w="100" w:type="dxa"/>
            <w:vAlign w:val="bottom"/>
          </w:tcPr>
          <w:p>
            <w:pPr>
              <w:spacing w:after="0"/>
              <w:rPr>
                <w:sz w:val="12"/>
                <w:szCs w:val="12"/>
                <w:color w:val="auto"/>
              </w:rPr>
            </w:pPr>
          </w:p>
        </w:tc>
      </w:tr>
      <w:tr>
        <w:trPr>
          <w:trHeight w:val="126"/>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System Planning and Analysis, Inc. (f/k/a Management Consulting &amp; Research,</w:t>
            </w:r>
          </w:p>
        </w:tc>
        <w:tc>
          <w:tcPr>
            <w:tcW w:w="20" w:type="dxa"/>
            <w:vAlign w:val="bottom"/>
            <w:shd w:val="clear" w:color="auto" w:fill="CCECFF"/>
          </w:tcPr>
          <w:p>
            <w:pPr>
              <w:spacing w:after="0"/>
              <w:rPr>
                <w:sz w:val="10"/>
                <w:szCs w:val="10"/>
                <w:color w:val="auto"/>
              </w:rPr>
            </w:pPr>
          </w:p>
        </w:tc>
        <w:tc>
          <w:tcPr>
            <w:tcW w:w="4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318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SOFR+60</w:t>
            </w: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r>
      <w:tr>
        <w:trPr>
          <w:trHeight w:val="149"/>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LLC)</w:t>
            </w:r>
          </w:p>
        </w:tc>
        <w:tc>
          <w:tcPr>
            <w:tcW w:w="50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8/16/2027</w:t>
            </w:r>
          </w:p>
        </w:tc>
        <w:tc>
          <w:tcPr>
            <w:tcW w:w="180" w:type="dxa"/>
            <w:vAlign w:val="bottom"/>
            <w:shd w:val="clear" w:color="auto" w:fill="CCECFF"/>
          </w:tcPr>
          <w:p>
            <w:pPr>
              <w:spacing w:after="0"/>
              <w:rPr>
                <w:sz w:val="12"/>
                <w:szCs w:val="12"/>
                <w:color w:val="auto"/>
              </w:rPr>
            </w:pPr>
          </w:p>
        </w:tc>
        <w:tc>
          <w:tcPr>
            <w:tcW w:w="3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8.73 %</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14,888</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14,623</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14,649</w:t>
            </w:r>
          </w:p>
        </w:tc>
        <w:tc>
          <w:tcPr>
            <w:tcW w:w="100" w:type="dxa"/>
            <w:vAlign w:val="bottom"/>
            <w:shd w:val="clear" w:color="auto" w:fill="CCECFF"/>
          </w:tcPr>
          <w:p>
            <w:pPr>
              <w:spacing w:after="0"/>
              <w:rPr>
                <w:sz w:val="12"/>
                <w:szCs w:val="12"/>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7/18/2025</w:t>
            </w:r>
          </w:p>
        </w:tc>
        <w:tc>
          <w:tcPr>
            <w:tcW w:w="180" w:type="dxa"/>
            <w:vAlign w:val="bottom"/>
          </w:tcPr>
          <w:p>
            <w:pPr>
              <w:spacing w:after="0"/>
              <w:rPr>
                <w:sz w:val="12"/>
                <w:szCs w:val="12"/>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8.38 % 3M L+625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2,786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2,623</w:t>
            </w:r>
          </w:p>
        </w:tc>
        <w:tc>
          <w:tcPr>
            <w:tcW w:w="100" w:type="dxa"/>
            <w:vAlign w:val="bottom"/>
          </w:tcPr>
          <w:p>
            <w:pPr>
              <w:spacing w:after="0"/>
              <w:rPr>
                <w:sz w:val="12"/>
                <w:szCs w:val="12"/>
                <w:color w:val="auto"/>
              </w:rPr>
            </w:pPr>
          </w:p>
        </w:tc>
      </w:tr>
      <w:tr>
        <w:trPr>
          <w:trHeight w:val="125"/>
        </w:trPr>
        <w:tc>
          <w:tcPr>
            <w:tcW w:w="3620" w:type="dxa"/>
            <w:vAlign w:val="bottom"/>
            <w:gridSpan w:val="2"/>
            <w:shd w:val="clear" w:color="auto" w:fill="CCECFF"/>
          </w:tcPr>
          <w:p>
            <w:pPr>
              <w:ind w:left="20"/>
              <w:spacing w:after="0" w:line="125" w:lineRule="exact"/>
              <w:rPr>
                <w:sz w:val="20"/>
                <w:szCs w:val="20"/>
                <w:color w:val="auto"/>
              </w:rPr>
            </w:pPr>
            <w:r>
              <w:rPr>
                <w:rFonts w:ascii="Times New Roman" w:cs="Times New Roman" w:eastAsia="Times New Roman" w:hAnsi="Times New Roman"/>
                <w:sz w:val="11"/>
                <w:szCs w:val="11"/>
                <w:color w:val="auto"/>
              </w:rPr>
              <w:t>The Aegis Technologies Group, LLC</w:t>
            </w:r>
          </w:p>
        </w:tc>
        <w:tc>
          <w:tcPr>
            <w:tcW w:w="500" w:type="dxa"/>
            <w:vAlign w:val="bottom"/>
            <w:gridSpan w:val="2"/>
            <w:shd w:val="clear" w:color="auto" w:fill="CCECFF"/>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10/31/202</w:t>
            </w:r>
          </w:p>
        </w:tc>
        <w:tc>
          <w:tcPr>
            <w:tcW w:w="180" w:type="dxa"/>
            <w:vAlign w:val="bottom"/>
            <w:shd w:val="clear" w:color="auto" w:fill="CCECFF"/>
          </w:tcPr>
          <w:p>
            <w:pPr>
              <w:spacing w:after="0"/>
              <w:rPr>
                <w:sz w:val="10"/>
                <w:szCs w:val="10"/>
                <w:color w:val="auto"/>
              </w:rPr>
            </w:pPr>
          </w:p>
        </w:tc>
        <w:tc>
          <w:tcPr>
            <w:tcW w:w="318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r>
      <w:tr>
        <w:trPr>
          <w:trHeight w:val="149"/>
        </w:trPr>
        <w:tc>
          <w:tcPr>
            <w:tcW w:w="270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0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71"/>
              </w:rPr>
              <w:t>5</w:t>
            </w:r>
          </w:p>
        </w:tc>
        <w:tc>
          <w:tcPr>
            <w:tcW w:w="180" w:type="dxa"/>
            <w:vAlign w:val="bottom"/>
            <w:shd w:val="clear" w:color="auto" w:fill="CCECFF"/>
          </w:tcPr>
          <w:p>
            <w:pPr>
              <w:spacing w:after="0"/>
              <w:rPr>
                <w:sz w:val="12"/>
                <w:szCs w:val="12"/>
                <w:color w:val="auto"/>
              </w:rPr>
            </w:pPr>
          </w:p>
        </w:tc>
        <w:tc>
          <w:tcPr>
            <w:tcW w:w="3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shd w:val="clear" w:color="auto" w:fill="CCECFF"/>
          </w:tcPr>
          <w:p>
            <w:pPr>
              <w:spacing w:after="0"/>
              <w:rPr>
                <w:sz w:val="12"/>
                <w:szCs w:val="12"/>
                <w:color w:val="auto"/>
              </w:rPr>
            </w:pPr>
          </w:p>
        </w:tc>
        <w:tc>
          <w:tcPr>
            <w:tcW w:w="140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9.55 % 3M L+500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5,659</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5,600</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5,603</w:t>
            </w:r>
          </w:p>
        </w:tc>
        <w:tc>
          <w:tcPr>
            <w:tcW w:w="100" w:type="dxa"/>
            <w:vAlign w:val="bottom"/>
            <w:shd w:val="clear" w:color="auto" w:fill="CCECFF"/>
          </w:tcPr>
          <w:p>
            <w:pPr>
              <w:spacing w:after="0"/>
              <w:rPr>
                <w:sz w:val="12"/>
                <w:szCs w:val="12"/>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7/27/2026</w:t>
            </w:r>
          </w:p>
        </w:tc>
        <w:tc>
          <w:tcPr>
            <w:tcW w:w="180" w:type="dxa"/>
            <w:vAlign w:val="bottom"/>
          </w:tcPr>
          <w:p>
            <w:pPr>
              <w:spacing w:after="0"/>
              <w:rPr>
                <w:sz w:val="12"/>
                <w:szCs w:val="12"/>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10.67 % 1M L+700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1,707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1,724</w:t>
            </w:r>
          </w:p>
        </w:tc>
        <w:tc>
          <w:tcPr>
            <w:tcW w:w="100" w:type="dxa"/>
            <w:vAlign w:val="bottom"/>
          </w:tcPr>
          <w:p>
            <w:pPr>
              <w:spacing w:after="0"/>
              <w:rPr>
                <w:sz w:val="12"/>
                <w:szCs w:val="12"/>
                <w:color w:val="auto"/>
              </w:rPr>
            </w:pPr>
          </w:p>
        </w:tc>
      </w:tr>
      <w:tr>
        <w:trPr>
          <w:trHeight w:val="153"/>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Infosoft Group, LLC</w:t>
            </w:r>
          </w:p>
        </w:tc>
        <w:tc>
          <w:tcPr>
            <w:tcW w:w="50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9/16/2024</w:t>
            </w:r>
          </w:p>
        </w:tc>
        <w:tc>
          <w:tcPr>
            <w:tcW w:w="180" w:type="dxa"/>
            <w:vAlign w:val="bottom"/>
            <w:shd w:val="clear" w:color="auto" w:fill="CCECFF"/>
          </w:tcPr>
          <w:p>
            <w:pPr>
              <w:spacing w:after="0"/>
              <w:rPr>
                <w:sz w:val="13"/>
                <w:szCs w:val="13"/>
                <w:color w:val="auto"/>
              </w:rPr>
            </w:pPr>
          </w:p>
        </w:tc>
        <w:tc>
          <w:tcPr>
            <w:tcW w:w="3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40" w:type="dxa"/>
            <w:vAlign w:val="bottom"/>
            <w:shd w:val="clear" w:color="auto" w:fill="CCECFF"/>
          </w:tcPr>
          <w:p>
            <w:pPr>
              <w:spacing w:after="0"/>
              <w:rPr>
                <w:sz w:val="13"/>
                <w:szCs w:val="13"/>
                <w:color w:val="auto"/>
              </w:rPr>
            </w:pPr>
          </w:p>
        </w:tc>
        <w:tc>
          <w:tcPr>
            <w:tcW w:w="140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8.47 % 3M L+525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12,957</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12,952</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12,859</w:t>
            </w:r>
          </w:p>
        </w:tc>
        <w:tc>
          <w:tcPr>
            <w:tcW w:w="100" w:type="dxa"/>
            <w:vAlign w:val="bottom"/>
            <w:shd w:val="clear" w:color="auto" w:fill="CCECFF"/>
          </w:tcPr>
          <w:p>
            <w:pPr>
              <w:spacing w:after="0"/>
              <w:rPr>
                <w:sz w:val="13"/>
                <w:szCs w:val="13"/>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8/30/2027</w:t>
            </w:r>
          </w:p>
        </w:tc>
        <w:tc>
          <w:tcPr>
            <w:tcW w:w="180" w:type="dxa"/>
            <w:vAlign w:val="bottom"/>
          </w:tcPr>
          <w:p>
            <w:pPr>
              <w:spacing w:after="0"/>
              <w:rPr>
                <w:sz w:val="12"/>
                <w:szCs w:val="12"/>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Construction and Engineering</w:t>
            </w:r>
          </w:p>
        </w:tc>
        <w:tc>
          <w:tcPr>
            <w:tcW w:w="40" w:type="dxa"/>
            <w:vAlign w:val="bottom"/>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8.62 % 1M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5,578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5,550</w:t>
            </w:r>
          </w:p>
        </w:tc>
        <w:tc>
          <w:tcPr>
            <w:tcW w:w="100" w:type="dxa"/>
            <w:vAlign w:val="bottom"/>
          </w:tcPr>
          <w:p>
            <w:pPr>
              <w:spacing w:after="0"/>
              <w:rPr>
                <w:sz w:val="12"/>
                <w:szCs w:val="12"/>
                <w:color w:val="auto"/>
              </w:rPr>
            </w:pPr>
          </w:p>
        </w:tc>
      </w:tr>
      <w:tr>
        <w:trPr>
          <w:trHeight w:val="125"/>
        </w:trPr>
        <w:tc>
          <w:tcPr>
            <w:tcW w:w="270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500" w:type="dxa"/>
            <w:vAlign w:val="bottom"/>
            <w:gridSpan w:val="2"/>
            <w:shd w:val="clear" w:color="auto" w:fill="CCECFF"/>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11/24/202</w:t>
            </w:r>
          </w:p>
        </w:tc>
        <w:tc>
          <w:tcPr>
            <w:tcW w:w="180" w:type="dxa"/>
            <w:vAlign w:val="bottom"/>
            <w:shd w:val="clear" w:color="auto" w:fill="CCECFF"/>
          </w:tcPr>
          <w:p>
            <w:pPr>
              <w:spacing w:after="0"/>
              <w:rPr>
                <w:sz w:val="10"/>
                <w:szCs w:val="10"/>
                <w:color w:val="auto"/>
              </w:rPr>
            </w:pPr>
          </w:p>
        </w:tc>
        <w:tc>
          <w:tcPr>
            <w:tcW w:w="318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7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r>
      <w:tr>
        <w:trPr>
          <w:trHeight w:val="149"/>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50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71"/>
              </w:rPr>
              <w:t>5</w:t>
            </w:r>
          </w:p>
        </w:tc>
        <w:tc>
          <w:tcPr>
            <w:tcW w:w="180" w:type="dxa"/>
            <w:vAlign w:val="bottom"/>
            <w:shd w:val="clear" w:color="auto" w:fill="CCECFF"/>
          </w:tcPr>
          <w:p>
            <w:pPr>
              <w:spacing w:after="0"/>
              <w:rPr>
                <w:sz w:val="12"/>
                <w:szCs w:val="12"/>
                <w:color w:val="auto"/>
              </w:rPr>
            </w:pPr>
          </w:p>
        </w:tc>
        <w:tc>
          <w:tcPr>
            <w:tcW w:w="3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40" w:type="dxa"/>
            <w:vAlign w:val="bottom"/>
            <w:shd w:val="clear" w:color="auto" w:fill="CCECFF"/>
          </w:tcPr>
          <w:p>
            <w:pPr>
              <w:spacing w:after="0"/>
              <w:rPr>
                <w:sz w:val="12"/>
                <w:szCs w:val="12"/>
                <w:color w:val="auto"/>
              </w:rPr>
            </w:pPr>
          </w:p>
        </w:tc>
        <w:tc>
          <w:tcPr>
            <w:tcW w:w="140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8.30 % 3M L+475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8,744</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8,604</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8,482</w:t>
            </w:r>
          </w:p>
        </w:tc>
        <w:tc>
          <w:tcPr>
            <w:tcW w:w="100" w:type="dxa"/>
            <w:vAlign w:val="bottom"/>
            <w:shd w:val="clear" w:color="auto" w:fill="CCECFF"/>
          </w:tcPr>
          <w:p>
            <w:pPr>
              <w:spacing w:after="0"/>
              <w:rPr>
                <w:sz w:val="12"/>
                <w:szCs w:val="12"/>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3/26/2026</w:t>
            </w:r>
          </w:p>
        </w:tc>
        <w:tc>
          <w:tcPr>
            <w:tcW w:w="180" w:type="dxa"/>
            <w:vAlign w:val="bottom"/>
          </w:tcPr>
          <w:p>
            <w:pPr>
              <w:spacing w:after="0"/>
              <w:rPr>
                <w:sz w:val="12"/>
                <w:szCs w:val="12"/>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40" w:type="dxa"/>
            <w:vAlign w:val="bottom"/>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8.87 % 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14,952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14,871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14,578</w:t>
            </w:r>
          </w:p>
        </w:tc>
        <w:tc>
          <w:tcPr>
            <w:tcW w:w="100" w:type="dxa"/>
            <w:vAlign w:val="bottom"/>
          </w:tcPr>
          <w:p>
            <w:pPr>
              <w:spacing w:after="0"/>
              <w:rPr>
                <w:sz w:val="12"/>
                <w:szCs w:val="12"/>
                <w:color w:val="auto"/>
              </w:rPr>
            </w:pPr>
          </w:p>
        </w:tc>
      </w:tr>
      <w:tr>
        <w:trPr>
          <w:trHeight w:val="153"/>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50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6/16/2025</w:t>
            </w:r>
          </w:p>
        </w:tc>
        <w:tc>
          <w:tcPr>
            <w:tcW w:w="180" w:type="dxa"/>
            <w:vAlign w:val="bottom"/>
            <w:shd w:val="clear" w:color="auto" w:fill="CCECFF"/>
          </w:tcPr>
          <w:p>
            <w:pPr>
              <w:spacing w:after="0"/>
              <w:rPr>
                <w:sz w:val="13"/>
                <w:szCs w:val="13"/>
                <w:color w:val="auto"/>
              </w:rPr>
            </w:pPr>
          </w:p>
        </w:tc>
        <w:tc>
          <w:tcPr>
            <w:tcW w:w="3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40" w:type="dxa"/>
            <w:vAlign w:val="bottom"/>
            <w:shd w:val="clear" w:color="auto" w:fill="CCECFF"/>
          </w:tcPr>
          <w:p>
            <w:pPr>
              <w:spacing w:after="0"/>
              <w:rPr>
                <w:sz w:val="13"/>
                <w:szCs w:val="13"/>
                <w:color w:val="auto"/>
              </w:rPr>
            </w:pPr>
          </w:p>
        </w:tc>
        <w:tc>
          <w:tcPr>
            <w:tcW w:w="140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8.76 % 3M L+625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5,468</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5,450</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5,441</w:t>
            </w:r>
          </w:p>
        </w:tc>
        <w:tc>
          <w:tcPr>
            <w:tcW w:w="100" w:type="dxa"/>
            <w:vAlign w:val="bottom"/>
            <w:shd w:val="clear" w:color="auto" w:fill="CCECFF"/>
          </w:tcPr>
          <w:p>
            <w:pPr>
              <w:spacing w:after="0"/>
              <w:rPr>
                <w:sz w:val="13"/>
                <w:szCs w:val="13"/>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Tyto Athene, LLC (New Issue)</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7"/>
              </w:rPr>
              <w:t>4/1/2028</w:t>
            </w:r>
          </w:p>
        </w:tc>
        <w:tc>
          <w:tcPr>
            <w:tcW w:w="180" w:type="dxa"/>
            <w:vAlign w:val="bottom"/>
          </w:tcPr>
          <w:p>
            <w:pPr>
              <w:spacing w:after="0"/>
              <w:rPr>
                <w:sz w:val="12"/>
                <w:szCs w:val="12"/>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40" w:type="dxa"/>
            <w:vAlign w:val="bottom"/>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7.76 % 3M L+550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15,550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15,421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14,446</w:t>
            </w:r>
          </w:p>
        </w:tc>
        <w:tc>
          <w:tcPr>
            <w:tcW w:w="100" w:type="dxa"/>
            <w:vAlign w:val="bottom"/>
          </w:tcPr>
          <w:p>
            <w:pPr>
              <w:spacing w:after="0"/>
              <w:rPr>
                <w:sz w:val="12"/>
                <w:szCs w:val="12"/>
                <w:color w:val="auto"/>
              </w:rPr>
            </w:pPr>
          </w:p>
        </w:tc>
      </w:tr>
      <w:tr>
        <w:trPr>
          <w:trHeight w:val="153"/>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50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4/3/2024</w:t>
            </w:r>
          </w:p>
        </w:tc>
        <w:tc>
          <w:tcPr>
            <w:tcW w:w="180" w:type="dxa"/>
            <w:vAlign w:val="bottom"/>
            <w:shd w:val="clear" w:color="auto" w:fill="CCECFF"/>
          </w:tcPr>
          <w:p>
            <w:pPr>
              <w:spacing w:after="0"/>
              <w:rPr>
                <w:sz w:val="13"/>
                <w:szCs w:val="13"/>
                <w:color w:val="auto"/>
              </w:rPr>
            </w:pPr>
          </w:p>
        </w:tc>
        <w:tc>
          <w:tcPr>
            <w:tcW w:w="3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40" w:type="dxa"/>
            <w:vAlign w:val="bottom"/>
            <w:shd w:val="clear" w:color="auto" w:fill="CCECFF"/>
          </w:tcPr>
          <w:p>
            <w:pPr>
              <w:spacing w:after="0"/>
              <w:rPr>
                <w:sz w:val="13"/>
                <w:szCs w:val="13"/>
                <w:color w:val="auto"/>
              </w:rPr>
            </w:pPr>
          </w:p>
        </w:tc>
        <w:tc>
          <w:tcPr>
            <w:tcW w:w="140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8.17 % 3M L+450</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17,390</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17,305</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17,129</w:t>
            </w:r>
          </w:p>
        </w:tc>
        <w:tc>
          <w:tcPr>
            <w:tcW w:w="100" w:type="dxa"/>
            <w:vAlign w:val="bottom"/>
            <w:shd w:val="clear" w:color="auto" w:fill="CCECFF"/>
          </w:tcPr>
          <w:p>
            <w:pPr>
              <w:spacing w:after="0"/>
              <w:rPr>
                <w:sz w:val="13"/>
                <w:szCs w:val="13"/>
                <w:color w:val="auto"/>
              </w:rPr>
            </w:pPr>
          </w:p>
        </w:tc>
      </w:tr>
      <w:tr>
        <w:trPr>
          <w:trHeight w:val="121"/>
        </w:trPr>
        <w:tc>
          <w:tcPr>
            <w:tcW w:w="2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SOFR+52</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Unique Indoor Comfort, LLC</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5/24/2027</w:t>
            </w:r>
          </w:p>
        </w:tc>
        <w:tc>
          <w:tcPr>
            <w:tcW w:w="180" w:type="dxa"/>
            <w:vAlign w:val="bottom"/>
          </w:tcPr>
          <w:p>
            <w:pPr>
              <w:spacing w:after="0"/>
              <w:rPr>
                <w:sz w:val="12"/>
                <w:szCs w:val="12"/>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 Housewares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8.95 %</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4,866</w:t>
            </w:r>
          </w:p>
        </w:tc>
        <w:tc>
          <w:tcPr>
            <w:tcW w:w="100" w:type="dxa"/>
            <w:vAlign w:val="bottom"/>
          </w:tcPr>
          <w:p>
            <w:pPr>
              <w:spacing w:after="0"/>
              <w:rPr>
                <w:sz w:val="12"/>
                <w:szCs w:val="12"/>
                <w:color w:val="auto"/>
              </w:rPr>
            </w:pPr>
          </w:p>
        </w:tc>
      </w:tr>
      <w:tr>
        <w:trPr>
          <w:trHeight w:val="144"/>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50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3/31/2027</w:t>
            </w:r>
          </w:p>
        </w:tc>
        <w:tc>
          <w:tcPr>
            <w:tcW w:w="180" w:type="dxa"/>
            <w:vAlign w:val="bottom"/>
            <w:shd w:val="clear" w:color="auto" w:fill="CCECFF"/>
          </w:tcPr>
          <w:p>
            <w:pPr>
              <w:spacing w:after="0"/>
              <w:rPr>
                <w:sz w:val="12"/>
                <w:szCs w:val="12"/>
                <w:color w:val="auto"/>
              </w:rPr>
            </w:pPr>
          </w:p>
        </w:tc>
        <w:tc>
          <w:tcPr>
            <w:tcW w:w="3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40" w:type="dxa"/>
            <w:vAlign w:val="bottom"/>
            <w:shd w:val="clear" w:color="auto" w:fill="CCECFF"/>
          </w:tcPr>
          <w:p>
            <w:pPr>
              <w:spacing w:after="0"/>
              <w:rPr>
                <w:sz w:val="12"/>
                <w:szCs w:val="12"/>
                <w:color w:val="auto"/>
              </w:rPr>
            </w:pPr>
          </w:p>
        </w:tc>
        <w:tc>
          <w:tcPr>
            <w:tcW w:w="140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12.42 % 3M L+575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12,684</w:t>
            </w: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12,438</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8,473</w:t>
            </w:r>
          </w:p>
        </w:tc>
        <w:tc>
          <w:tcPr>
            <w:tcW w:w="100" w:type="dxa"/>
            <w:vAlign w:val="bottom"/>
            <w:shd w:val="clear" w:color="auto" w:fill="CCECFF"/>
          </w:tcPr>
          <w:p>
            <w:pPr>
              <w:spacing w:after="0"/>
              <w:rPr>
                <w:sz w:val="12"/>
                <w:szCs w:val="12"/>
                <w:color w:val="auto"/>
              </w:rPr>
            </w:pPr>
          </w:p>
        </w:tc>
      </w:tr>
      <w:tr>
        <w:trPr>
          <w:trHeight w:val="157"/>
        </w:trPr>
        <w:tc>
          <w:tcPr>
            <w:tcW w:w="270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18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88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(PIK 3.0%)</w:t>
            </w:r>
          </w:p>
        </w:tc>
        <w:tc>
          <w:tcPr>
            <w:tcW w:w="5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21"/>
        </w:trPr>
        <w:tc>
          <w:tcPr>
            <w:tcW w:w="2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SOFR+55</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2/27/2026</w:t>
            </w:r>
          </w:p>
        </w:tc>
        <w:tc>
          <w:tcPr>
            <w:tcW w:w="180" w:type="dxa"/>
            <w:vAlign w:val="bottom"/>
          </w:tcPr>
          <w:p>
            <w:pPr>
              <w:spacing w:after="0"/>
              <w:rPr>
                <w:sz w:val="12"/>
                <w:szCs w:val="12"/>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9.45 %</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8,546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8,261</w:t>
            </w:r>
          </w:p>
        </w:tc>
        <w:tc>
          <w:tcPr>
            <w:tcW w:w="100" w:type="dxa"/>
            <w:vAlign w:val="bottom"/>
          </w:tcPr>
          <w:p>
            <w:pPr>
              <w:spacing w:after="0"/>
              <w:rPr>
                <w:sz w:val="12"/>
                <w:szCs w:val="12"/>
                <w:color w:val="auto"/>
              </w:rPr>
            </w:pPr>
          </w:p>
        </w:tc>
      </w:tr>
      <w:tr>
        <w:trPr>
          <w:trHeight w:val="153"/>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50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3/1/2024</w:t>
            </w:r>
          </w:p>
        </w:tc>
        <w:tc>
          <w:tcPr>
            <w:tcW w:w="180" w:type="dxa"/>
            <w:vAlign w:val="bottom"/>
            <w:shd w:val="clear" w:color="auto" w:fill="CCECFF"/>
          </w:tcPr>
          <w:p>
            <w:pPr>
              <w:spacing w:after="0"/>
              <w:rPr>
                <w:sz w:val="13"/>
                <w:szCs w:val="13"/>
                <w:color w:val="auto"/>
              </w:rPr>
            </w:pPr>
          </w:p>
        </w:tc>
        <w:tc>
          <w:tcPr>
            <w:tcW w:w="31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40" w:type="dxa"/>
            <w:vAlign w:val="bottom"/>
            <w:shd w:val="clear" w:color="auto" w:fill="CCECFF"/>
          </w:tcPr>
          <w:p>
            <w:pPr>
              <w:spacing w:after="0"/>
              <w:rPr>
                <w:sz w:val="13"/>
                <w:szCs w:val="13"/>
                <w:color w:val="auto"/>
              </w:rPr>
            </w:pPr>
          </w:p>
        </w:tc>
        <w:tc>
          <w:tcPr>
            <w:tcW w:w="140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10.35 % 3M L+725</w:t>
            </w:r>
          </w:p>
        </w:tc>
        <w:tc>
          <w:tcPr>
            <w:tcW w:w="7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16,957</w:t>
            </w: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16,711</w:t>
            </w: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16,533</w:t>
            </w:r>
          </w:p>
        </w:tc>
        <w:tc>
          <w:tcPr>
            <w:tcW w:w="100" w:type="dxa"/>
            <w:vAlign w:val="bottom"/>
            <w:shd w:val="clear" w:color="auto" w:fill="CCECFF"/>
          </w:tcPr>
          <w:p>
            <w:pPr>
              <w:spacing w:after="0"/>
              <w:rPr>
                <w:sz w:val="13"/>
                <w:szCs w:val="13"/>
                <w:color w:val="auto"/>
              </w:rPr>
            </w:pPr>
          </w:p>
        </w:tc>
      </w:tr>
      <w:tr>
        <w:trPr>
          <w:trHeight w:val="148"/>
        </w:trPr>
        <w:tc>
          <w:tcPr>
            <w:tcW w:w="36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6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20" w:type="dxa"/>
            <w:vAlign w:val="bottom"/>
            <w:tcBorders>
              <w:bottom w:val="single" w:sz="8" w:color="CCECFF"/>
            </w:tcBorders>
            <w:shd w:val="clear" w:color="auto" w:fill="CCECFF"/>
          </w:tcPr>
          <w:p>
            <w:pPr>
              <w:spacing w:after="0"/>
              <w:rPr>
                <w:sz w:val="12"/>
                <w:szCs w:val="12"/>
                <w:color w:val="auto"/>
              </w:rPr>
            </w:pPr>
          </w:p>
        </w:tc>
        <w:tc>
          <w:tcPr>
            <w:tcW w:w="48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18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78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767,316</w:t>
            </w:r>
          </w:p>
        </w:tc>
        <w:tc>
          <w:tcPr>
            <w:tcW w:w="1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751,627</w:t>
            </w:r>
          </w:p>
        </w:tc>
        <w:tc>
          <w:tcPr>
            <w:tcW w:w="100" w:type="dxa"/>
            <w:vAlign w:val="bottom"/>
            <w:tcBorders>
              <w:bottom w:val="single" w:sz="8" w:color="CCECFF"/>
            </w:tcBorders>
            <w:shd w:val="clear" w:color="auto" w:fill="CCECFF"/>
          </w:tcPr>
          <w:p>
            <w:pPr>
              <w:spacing w:after="0"/>
              <w:rPr>
                <w:sz w:val="12"/>
                <w:szCs w:val="12"/>
                <w:color w:val="auto"/>
              </w:rPr>
            </w:pPr>
          </w:p>
        </w:tc>
      </w:tr>
      <w:tr>
        <w:trPr>
          <w:trHeight w:val="13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 - 5.0%</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3620" w:type="dxa"/>
            <w:vAlign w:val="bottom"/>
            <w:gridSpan w:val="2"/>
            <w:shd w:val="clear" w:color="auto" w:fill="CCECFF"/>
          </w:tcPr>
          <w:p>
            <w:pPr>
              <w:spacing w:after="0"/>
              <w:rPr>
                <w:sz w:val="13"/>
                <w:szCs w:val="13"/>
                <w:color w:val="auto"/>
              </w:rPr>
            </w:pPr>
          </w:p>
        </w:tc>
        <w:tc>
          <w:tcPr>
            <w:tcW w:w="500" w:type="dxa"/>
            <w:vAlign w:val="bottom"/>
            <w:gridSpan w:val="2"/>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318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400" w:type="dxa"/>
            <w:vAlign w:val="bottom"/>
            <w:gridSpan w:val="3"/>
            <w:shd w:val="clear" w:color="auto" w:fill="CCECFF"/>
          </w:tcPr>
          <w:p>
            <w:pPr>
              <w:spacing w:after="0"/>
              <w:rPr>
                <w:sz w:val="13"/>
                <w:szCs w:val="13"/>
                <w:color w:val="auto"/>
              </w:rPr>
            </w:pPr>
          </w:p>
        </w:tc>
        <w:tc>
          <w:tcPr>
            <w:tcW w:w="720" w:type="dxa"/>
            <w:vAlign w:val="bottom"/>
            <w:gridSpan w:val="2"/>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49"/>
        </w:trPr>
        <w:tc>
          <w:tcPr>
            <w:tcW w:w="3620" w:type="dxa"/>
            <w:vAlign w:val="bottom"/>
            <w:gridSpan w:val="2"/>
          </w:tcPr>
          <w:p>
            <w:pPr>
              <w:spacing w:after="0"/>
              <w:rPr>
                <w:sz w:val="12"/>
                <w:szCs w:val="12"/>
                <w:color w:val="auto"/>
              </w:rPr>
            </w:pPr>
          </w:p>
        </w:tc>
        <w:tc>
          <w:tcPr>
            <w:tcW w:w="5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3"/>
          </w:tcPr>
          <w:p>
            <w:pPr>
              <w:spacing w:after="0"/>
              <w:rPr>
                <w:sz w:val="12"/>
                <w:szCs w:val="12"/>
                <w:color w:val="auto"/>
              </w:rPr>
            </w:pPr>
          </w:p>
        </w:tc>
        <w:tc>
          <w:tcPr>
            <w:tcW w:w="7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6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500" w:type="dxa"/>
            <w:vAlign w:val="bottom"/>
            <w:tcBorders>
              <w:bottom w:val="single" w:sz="8" w:color="CCECFF"/>
            </w:tcBorders>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9/29/2024</w:t>
            </w:r>
          </w:p>
        </w:tc>
        <w:tc>
          <w:tcPr>
            <w:tcW w:w="180" w:type="dxa"/>
            <w:vAlign w:val="bottom"/>
            <w:tcBorders>
              <w:bottom w:val="single" w:sz="8" w:color="CCECFF"/>
            </w:tcBorders>
            <w:shd w:val="clear" w:color="auto" w:fill="CCECFF"/>
          </w:tcPr>
          <w:p>
            <w:pPr>
              <w:spacing w:after="0"/>
              <w:rPr>
                <w:sz w:val="12"/>
                <w:szCs w:val="12"/>
                <w:color w:val="auto"/>
              </w:rPr>
            </w:pPr>
          </w:p>
        </w:tc>
        <w:tc>
          <w:tcPr>
            <w:tcW w:w="31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40" w:type="dxa"/>
            <w:vAlign w:val="bottom"/>
            <w:tcBorders>
              <w:bottom w:val="single" w:sz="8" w:color="CCECFF"/>
            </w:tcBorders>
            <w:shd w:val="clear" w:color="auto" w:fill="CCECFF"/>
          </w:tcPr>
          <w:p>
            <w:pPr>
              <w:spacing w:after="0"/>
              <w:rPr>
                <w:sz w:val="12"/>
                <w:szCs w:val="12"/>
                <w:color w:val="auto"/>
              </w:rPr>
            </w:pPr>
          </w:p>
        </w:tc>
        <w:tc>
          <w:tcPr>
            <w:tcW w:w="1400" w:type="dxa"/>
            <w:vAlign w:val="bottom"/>
            <w:tcBorders>
              <w:bottom w:val="single" w:sz="8" w:color="CCECFF"/>
            </w:tcBorders>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12.17 % 3M L+850</w:t>
            </w:r>
          </w:p>
        </w:tc>
        <w:tc>
          <w:tcPr>
            <w:tcW w:w="72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2,963</w:t>
            </w:r>
          </w:p>
        </w:tc>
        <w:tc>
          <w:tcPr>
            <w:tcW w:w="1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2,955</w:t>
            </w:r>
          </w:p>
        </w:tc>
        <w:tc>
          <w:tcPr>
            <w:tcW w:w="100" w:type="dxa"/>
            <w:vAlign w:val="bottom"/>
            <w:tcBorders>
              <w:bottom w:val="single" w:sz="8" w:color="CCECFF"/>
            </w:tcBorders>
            <w:shd w:val="clear" w:color="auto" w:fill="CCECFF"/>
          </w:tcPr>
          <w:p>
            <w:pPr>
              <w:spacing w:after="0"/>
              <w:rPr>
                <w:sz w:val="12"/>
                <w:szCs w:val="12"/>
                <w:color w:val="auto"/>
              </w:rPr>
            </w:pPr>
          </w:p>
        </w:tc>
      </w:tr>
      <w:tr>
        <w:trPr>
          <w:trHeight w:val="14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2,963</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2,955</w:t>
            </w:r>
          </w:p>
        </w:tc>
        <w:tc>
          <w:tcPr>
            <w:tcW w:w="100" w:type="dxa"/>
            <w:vAlign w:val="bottom"/>
          </w:tcPr>
          <w:p>
            <w:pPr>
              <w:spacing w:after="0"/>
              <w:rPr>
                <w:sz w:val="12"/>
                <w:szCs w:val="12"/>
                <w:color w:val="auto"/>
              </w:rPr>
            </w:pPr>
          </w:p>
        </w:tc>
      </w:tr>
      <w:tr>
        <w:trPr>
          <w:trHeight w:val="142"/>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Equity Securities - 0.4%</w:t>
            </w:r>
          </w:p>
        </w:tc>
        <w:tc>
          <w:tcPr>
            <w:tcW w:w="2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1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New MPE Holdings, LLC</w:t>
            </w:r>
          </w:p>
        </w:tc>
        <w:tc>
          <w:tcPr>
            <w:tcW w:w="20" w:type="dxa"/>
            <w:vAlign w:val="bottom"/>
          </w:tcPr>
          <w:p>
            <w:pPr>
              <w:spacing w:after="0"/>
              <w:rPr>
                <w:sz w:val="12"/>
                <w:szCs w:val="12"/>
                <w:color w:val="auto"/>
              </w:rPr>
            </w:pPr>
          </w:p>
        </w:tc>
        <w:tc>
          <w:tcPr>
            <w:tcW w:w="480" w:type="dxa"/>
            <w:vAlign w:val="bottom"/>
          </w:tcPr>
          <w:p>
            <w:pPr>
              <w:ind w:left="36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40" w:type="dxa"/>
            <w:vAlign w:val="bottom"/>
          </w:tcPr>
          <w:p>
            <w:pPr>
              <w:spacing w:after="0"/>
              <w:rPr>
                <w:sz w:val="12"/>
                <w:szCs w:val="12"/>
                <w:color w:val="auto"/>
              </w:rPr>
            </w:pPr>
          </w:p>
        </w:tc>
        <w:tc>
          <w:tcPr>
            <w:tcW w:w="88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100" w:type="dxa"/>
            <w:vAlign w:val="bottom"/>
          </w:tcPr>
          <w:p>
            <w:pPr>
              <w:spacing w:after="0"/>
              <w:rPr>
                <w:sz w:val="12"/>
                <w:szCs w:val="12"/>
                <w:color w:val="auto"/>
              </w:rPr>
            </w:pPr>
          </w:p>
        </w:tc>
      </w:tr>
      <w:tr>
        <w:trPr>
          <w:trHeight w:val="142"/>
        </w:trPr>
        <w:tc>
          <w:tcPr>
            <w:tcW w:w="36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20" w:type="dxa"/>
            <w:vAlign w:val="bottom"/>
            <w:tcBorders>
              <w:bottom w:val="single" w:sz="8" w:color="CCECFF"/>
            </w:tcBorders>
            <w:shd w:val="clear" w:color="auto" w:fill="CCECFF"/>
          </w:tcPr>
          <w:p>
            <w:pPr>
              <w:spacing w:after="0"/>
              <w:rPr>
                <w:sz w:val="12"/>
                <w:szCs w:val="12"/>
                <w:color w:val="auto"/>
              </w:rPr>
            </w:pPr>
          </w:p>
        </w:tc>
        <w:tc>
          <w:tcPr>
            <w:tcW w:w="48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18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78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100" w:type="dxa"/>
            <w:vAlign w:val="bottom"/>
            <w:tcBorders>
              <w:bottom w:val="single" w:sz="8" w:color="CCECFF"/>
            </w:tcBorders>
            <w:shd w:val="clear" w:color="auto" w:fill="CCECFF"/>
          </w:tcPr>
          <w:p>
            <w:pPr>
              <w:spacing w:after="0"/>
              <w:rPr>
                <w:sz w:val="12"/>
                <w:szCs w:val="12"/>
                <w:color w:val="auto"/>
              </w:rPr>
            </w:pPr>
          </w:p>
        </w:tc>
      </w:tr>
      <w:tr>
        <w:trPr>
          <w:trHeight w:val="14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- 1,335.9%</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770,280</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754,722</w:t>
            </w:r>
          </w:p>
        </w:tc>
        <w:tc>
          <w:tcPr>
            <w:tcW w:w="100" w:type="dxa"/>
            <w:vAlign w:val="bottom"/>
          </w:tcPr>
          <w:p>
            <w:pPr>
              <w:spacing w:after="0"/>
              <w:rPr>
                <w:sz w:val="12"/>
                <w:szCs w:val="12"/>
                <w:color w:val="auto"/>
              </w:rPr>
            </w:pPr>
          </w:p>
        </w:tc>
      </w:tr>
      <w:tr>
        <w:trPr>
          <w:trHeight w:val="142"/>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- 59.7%</w:t>
            </w:r>
          </w:p>
        </w:tc>
        <w:tc>
          <w:tcPr>
            <w:tcW w:w="2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1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33,725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33,705</w:t>
            </w:r>
          </w:p>
        </w:tc>
        <w:tc>
          <w:tcPr>
            <w:tcW w:w="100" w:type="dxa"/>
            <w:vAlign w:val="bottom"/>
          </w:tcPr>
          <w:p>
            <w:pPr>
              <w:spacing w:after="0"/>
              <w:rPr>
                <w:sz w:val="12"/>
                <w:szCs w:val="12"/>
                <w:color w:val="auto"/>
              </w:rPr>
            </w:pPr>
          </w:p>
        </w:tc>
      </w:tr>
      <w:tr>
        <w:trPr>
          <w:trHeight w:val="142"/>
        </w:trPr>
        <w:tc>
          <w:tcPr>
            <w:tcW w:w="36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20" w:type="dxa"/>
            <w:vAlign w:val="bottom"/>
            <w:tcBorders>
              <w:bottom w:val="single" w:sz="8" w:color="CCECFF"/>
            </w:tcBorders>
            <w:shd w:val="clear" w:color="auto" w:fill="CCECFF"/>
          </w:tcPr>
          <w:p>
            <w:pPr>
              <w:spacing w:after="0"/>
              <w:rPr>
                <w:sz w:val="12"/>
                <w:szCs w:val="12"/>
                <w:color w:val="auto"/>
              </w:rPr>
            </w:pPr>
          </w:p>
        </w:tc>
        <w:tc>
          <w:tcPr>
            <w:tcW w:w="48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318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78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5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33,725</w:t>
            </w:r>
          </w:p>
        </w:tc>
        <w:tc>
          <w:tcPr>
            <w:tcW w:w="1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33,705</w:t>
            </w:r>
          </w:p>
        </w:tc>
        <w:tc>
          <w:tcPr>
            <w:tcW w:w="100" w:type="dxa"/>
            <w:vAlign w:val="bottom"/>
            <w:tcBorders>
              <w:bottom w:val="single" w:sz="8" w:color="CCECFF"/>
            </w:tcBorders>
            <w:shd w:val="clear" w:color="auto" w:fill="CCECFF"/>
          </w:tcPr>
          <w:p>
            <w:pPr>
              <w:spacing w:after="0"/>
              <w:rPr>
                <w:sz w:val="12"/>
                <w:szCs w:val="12"/>
                <w:color w:val="auto"/>
              </w:rPr>
            </w:pPr>
          </w:p>
        </w:tc>
      </w:tr>
      <w:tr>
        <w:trPr>
          <w:trHeight w:val="14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—1,329.0%</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804,005</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788,427</w:t>
            </w:r>
          </w:p>
        </w:tc>
        <w:tc>
          <w:tcPr>
            <w:tcW w:w="100" w:type="dxa"/>
            <w:vAlign w:val="bottom"/>
          </w:tcPr>
          <w:p>
            <w:pPr>
              <w:spacing w:after="0"/>
              <w:rPr>
                <w:sz w:val="12"/>
                <w:szCs w:val="12"/>
                <w:color w:val="auto"/>
              </w:rPr>
            </w:pPr>
          </w:p>
        </w:tc>
      </w:tr>
      <w:tr>
        <w:trPr>
          <w:trHeight w:val="20"/>
        </w:trPr>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129"/>
        </w:trPr>
        <w:tc>
          <w:tcPr>
            <w:tcW w:w="36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 — (1,229.0)%</w:t>
            </w:r>
          </w:p>
        </w:tc>
        <w:tc>
          <w:tcPr>
            <w:tcW w:w="20" w:type="dxa"/>
            <w:vAlign w:val="bottom"/>
            <w:tcBorders>
              <w:bottom w:val="single" w:sz="8" w:color="CCECFF"/>
            </w:tcBorders>
            <w:shd w:val="clear" w:color="auto" w:fill="CCECFF"/>
          </w:tcPr>
          <w:p>
            <w:pPr>
              <w:spacing w:after="0"/>
              <w:rPr>
                <w:sz w:val="11"/>
                <w:szCs w:val="11"/>
                <w:color w:val="auto"/>
              </w:rPr>
            </w:pPr>
          </w:p>
        </w:tc>
        <w:tc>
          <w:tcPr>
            <w:tcW w:w="4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3180" w:type="dxa"/>
            <w:vAlign w:val="bottom"/>
            <w:tcBorders>
              <w:bottom w:val="single" w:sz="8" w:color="CCECFF"/>
            </w:tcBorders>
            <w:shd w:val="clear" w:color="auto" w:fill="CCECFF"/>
          </w:tcPr>
          <w:p>
            <w:pPr>
              <w:spacing w:after="0"/>
              <w:rPr>
                <w:sz w:val="11"/>
                <w:szCs w:val="11"/>
                <w:color w:val="auto"/>
              </w:rPr>
            </w:pPr>
          </w:p>
        </w:tc>
        <w:tc>
          <w:tcPr>
            <w:tcW w:w="4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5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top w:val="single" w:sz="8" w:color="auto"/>
              <w:bottom w:val="single" w:sz="8" w:color="CCECFF"/>
            </w:tcBorders>
            <w:shd w:val="clear" w:color="auto" w:fill="CCECFF"/>
          </w:tcPr>
          <w:p>
            <w:pPr>
              <w:spacing w:after="0"/>
              <w:rPr>
                <w:sz w:val="11"/>
                <w:szCs w:val="11"/>
                <w:color w:val="auto"/>
              </w:rPr>
            </w:pPr>
          </w:p>
        </w:tc>
        <w:tc>
          <w:tcPr>
            <w:tcW w:w="440" w:type="dxa"/>
            <w:vAlign w:val="bottom"/>
            <w:tcBorders>
              <w:top w:val="single" w:sz="8" w:color="auto"/>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top w:val="single" w:sz="8" w:color="auto"/>
              <w:bottom w:val="single" w:sz="8" w:color="auto"/>
            </w:tcBorders>
            <w:shd w:val="clear" w:color="auto" w:fill="CCECFF"/>
          </w:tcPr>
          <w:p>
            <w:pPr>
              <w:spacing w:after="0"/>
              <w:rPr>
                <w:sz w:val="11"/>
                <w:szCs w:val="11"/>
                <w:color w:val="auto"/>
              </w:rPr>
            </w:pP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(731,931</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4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56,496</w:t>
            </w:r>
          </w:p>
        </w:tc>
        <w:tc>
          <w:tcPr>
            <w:tcW w:w="100" w:type="dxa"/>
            <w:vAlign w:val="bottom"/>
          </w:tcPr>
          <w:p>
            <w:pPr>
              <w:spacing w:after="0"/>
              <w:rPr>
                <w:sz w:val="12"/>
                <w:szCs w:val="12"/>
                <w:color w:val="auto"/>
              </w:rPr>
            </w:pPr>
          </w:p>
        </w:tc>
      </w:tr>
      <w:tr>
        <w:trPr>
          <w:trHeight w:val="20"/>
        </w:trPr>
        <w:tc>
          <w:tcPr>
            <w:tcW w:w="2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6562725</wp:posOffset>
            </wp:positionH>
            <wp:positionV relativeFrom="paragraph">
              <wp:posOffset>-1542415</wp:posOffset>
            </wp:positionV>
            <wp:extent cx="68580" cy="1028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1028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-1156970</wp:posOffset>
            </wp:positionV>
            <wp:extent cx="68580" cy="1111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1111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-753745</wp:posOffset>
            </wp:positionV>
            <wp:extent cx="68580" cy="1111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1111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-351155</wp:posOffset>
            </wp:positionV>
            <wp:extent cx="68580"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714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93" w:lineRule="exact"/>
        <w:rPr>
          <w:sz w:val="20"/>
          <w:szCs w:val="20"/>
          <w:color w:val="auto"/>
        </w:rPr>
      </w:pPr>
    </w:p>
    <w:p>
      <w:pPr>
        <w:jc w:val="both"/>
        <w:ind w:left="380" w:right="120" w:hanging="372"/>
        <w:spacing w:after="0" w:line="222" w:lineRule="auto"/>
        <w:tabs>
          <w:tab w:leader="none" w:pos="380"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Times New Roman" w:cs="Times New Roman" w:eastAsia="Times New Roman" w:hAnsi="Times New Roman"/>
          <w:sz w:val="14"/>
          <w:szCs w:val="14"/>
          <w:color w:val="auto"/>
          <w:vertAlign w:val="superscript"/>
        </w:rPr>
      </w:pPr>
    </w:p>
    <w:p>
      <w:pPr>
        <w:ind w:left="380" w:hanging="372"/>
        <w:spacing w:after="0" w:line="181" w:lineRule="auto"/>
        <w:tabs>
          <w:tab w:leader="none" w:pos="380"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PSSL’s accounting policy.</w:t>
      </w:r>
    </w:p>
    <w:p>
      <w:pPr>
        <w:ind w:left="380" w:hanging="372"/>
        <w:spacing w:after="0" w:line="181" w:lineRule="auto"/>
        <w:tabs>
          <w:tab w:leader="none" w:pos="380"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Non-U.S. company or principal place of business outside the United States.</w:t>
      </w:r>
    </w:p>
    <w:p>
      <w:pPr>
        <w:ind w:left="380" w:hanging="372"/>
        <w:spacing w:after="0" w:line="181" w:lineRule="auto"/>
        <w:tabs>
          <w:tab w:leader="none" w:pos="380"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Non-income producing security.</w:t>
      </w:r>
    </w:p>
    <w:p>
      <w:pPr>
        <w:ind w:left="380" w:hanging="372"/>
        <w:spacing w:after="0" w:line="191" w:lineRule="auto"/>
        <w:tabs>
          <w:tab w:leader="none" w:pos="380"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consolidated statements of assets and liabilities for PSSL ($ in thousands):</w:t>
            </w:r>
          </w:p>
        </w:tc>
        <w:tc>
          <w:tcPr>
            <w:tcW w:w="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3"/>
        </w:trPr>
        <w:tc>
          <w:tcPr>
            <w:tcW w:w="6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6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Borders>
              <w:bottom w:val="single" w:sz="8" w:color="auto"/>
            </w:tcBorders>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r>
      <w:tr>
        <w:trPr>
          <w:trHeight w:val="169"/>
        </w:trPr>
        <w:tc>
          <w:tcPr>
            <w:tcW w:w="6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CFF"/>
          </w:tcPr>
          <w:p>
            <w:pPr>
              <w:spacing w:after="0"/>
              <w:rPr>
                <w:sz w:val="14"/>
                <w:szCs w:val="14"/>
                <w:color w:val="auto"/>
              </w:rPr>
            </w:pPr>
          </w:p>
        </w:tc>
        <w:tc>
          <w:tcPr>
            <w:tcW w:w="194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 (cost—$772,064 and $770,280, respectively)</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750,692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754,722</w:t>
            </w:r>
          </w:p>
        </w:tc>
        <w:tc>
          <w:tcPr>
            <w:tcW w:w="100" w:type="dxa"/>
            <w:vAlign w:val="bottom"/>
          </w:tcPr>
          <w:p>
            <w:pPr>
              <w:spacing w:after="0"/>
              <w:rPr>
                <w:sz w:val="15"/>
                <w:szCs w:val="15"/>
                <w:color w:val="auto"/>
              </w:rPr>
            </w:pPr>
          </w:p>
        </w:tc>
      </w:tr>
      <w:tr>
        <w:trPr>
          <w:trHeight w:val="175"/>
        </w:trPr>
        <w:tc>
          <w:tcPr>
            <w:tcW w:w="6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(cost—$41,692 and $33,725, respectively)</w:t>
            </w:r>
          </w:p>
        </w:tc>
        <w:tc>
          <w:tcPr>
            <w:tcW w:w="160" w:type="dxa"/>
            <w:vAlign w:val="bottom"/>
            <w:shd w:val="clear" w:color="auto" w:fill="CCECFF"/>
          </w:tcPr>
          <w:p>
            <w:pPr>
              <w:spacing w:after="0"/>
              <w:rPr>
                <w:sz w:val="15"/>
                <w:szCs w:val="15"/>
                <w:color w:val="auto"/>
              </w:rPr>
            </w:pPr>
          </w:p>
        </w:tc>
        <w:tc>
          <w:tcPr>
            <w:tcW w:w="194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41,692</w:t>
            </w:r>
          </w:p>
        </w:tc>
        <w:tc>
          <w:tcPr>
            <w:tcW w:w="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33,705</w:t>
            </w:r>
          </w:p>
        </w:tc>
        <w:tc>
          <w:tcPr>
            <w:tcW w:w="100" w:type="dxa"/>
            <w:vAlign w:val="bottom"/>
            <w:shd w:val="clear" w:color="auto" w:fill="CCECFF"/>
          </w:tcPr>
          <w:p>
            <w:pPr>
              <w:spacing w:after="0"/>
              <w:rPr>
                <w:sz w:val="15"/>
                <w:szCs w:val="15"/>
                <w:color w:val="auto"/>
              </w:rPr>
            </w:pPr>
          </w:p>
        </w:tc>
      </w:tr>
      <w:tr>
        <w:trPr>
          <w:trHeight w:val="175"/>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100" w:type="dxa"/>
            <w:vAlign w:val="bottom"/>
          </w:tcPr>
          <w:p>
            <w:pPr>
              <w:spacing w:after="0"/>
              <w:rPr>
                <w:sz w:val="15"/>
                <w:szCs w:val="15"/>
                <w:color w:val="auto"/>
              </w:rPr>
            </w:pPr>
          </w:p>
        </w:tc>
      </w:tr>
      <w:tr>
        <w:trPr>
          <w:trHeight w:val="175"/>
        </w:trPr>
        <w:tc>
          <w:tcPr>
            <w:tcW w:w="6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Receivable for investment sold</w:t>
            </w:r>
          </w:p>
        </w:tc>
        <w:tc>
          <w:tcPr>
            <w:tcW w:w="160" w:type="dxa"/>
            <w:vAlign w:val="bottom"/>
            <w:shd w:val="clear" w:color="auto" w:fill="CCECFF"/>
          </w:tcPr>
          <w:p>
            <w:pPr>
              <w:spacing w:after="0"/>
              <w:rPr>
                <w:sz w:val="15"/>
                <w:szCs w:val="15"/>
                <w:color w:val="auto"/>
              </w:rPr>
            </w:pPr>
          </w:p>
        </w:tc>
        <w:tc>
          <w:tcPr>
            <w:tcW w:w="194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shd w:val="clear" w:color="auto" w:fill="CCECFF"/>
          </w:tcPr>
          <w:p>
            <w:pPr>
              <w:spacing w:after="0"/>
              <w:rPr>
                <w:sz w:val="15"/>
                <w:szCs w:val="15"/>
                <w:color w:val="auto"/>
              </w:rPr>
            </w:pPr>
          </w:p>
        </w:tc>
      </w:tr>
      <w:tr>
        <w:trPr>
          <w:trHeight w:val="176"/>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100" w:type="dxa"/>
            <w:vAlign w:val="bottom"/>
          </w:tcPr>
          <w:p>
            <w:pPr>
              <w:spacing w:after="0"/>
              <w:rPr>
                <w:sz w:val="15"/>
                <w:szCs w:val="15"/>
                <w:color w:val="auto"/>
              </w:rPr>
            </w:pPr>
          </w:p>
        </w:tc>
      </w:tr>
      <w:tr>
        <w:trPr>
          <w:trHeight w:val="169"/>
        </w:trPr>
        <w:tc>
          <w:tcPr>
            <w:tcW w:w="614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auto"/>
            </w:tcBorders>
            <w:shd w:val="clear" w:color="auto" w:fill="CCECFF"/>
          </w:tcPr>
          <w:p>
            <w:pPr>
              <w:spacing w:after="0"/>
              <w:rPr>
                <w:sz w:val="14"/>
                <w:szCs w:val="14"/>
                <w:color w:val="auto"/>
              </w:rPr>
            </w:pPr>
          </w:p>
        </w:tc>
        <w:tc>
          <w:tcPr>
            <w:tcW w:w="1940" w:type="dxa"/>
            <w:vAlign w:val="bottom"/>
            <w:tcBorders>
              <w:bottom w:val="single" w:sz="8" w:color="auto"/>
            </w:tcBorders>
            <w:shd w:val="clear" w:color="auto" w:fill="CCECFF"/>
          </w:tcPr>
          <w:p>
            <w:pPr>
              <w:spacing w:after="0"/>
              <w:rPr>
                <w:sz w:val="14"/>
                <w:szCs w:val="14"/>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797,386</w:t>
            </w:r>
          </w:p>
        </w:tc>
        <w:tc>
          <w:tcPr>
            <w:tcW w:w="30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796,811</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Credit facility payable</w:t>
            </w:r>
          </w:p>
        </w:tc>
        <w:tc>
          <w:tcPr>
            <w:tcW w:w="160" w:type="dxa"/>
            <w:vAlign w:val="bottom"/>
            <w:shd w:val="clear" w:color="auto" w:fill="CCECFF"/>
          </w:tcPr>
          <w:p>
            <w:pPr>
              <w:spacing w:after="0"/>
              <w:rPr>
                <w:sz w:val="15"/>
                <w:szCs w:val="15"/>
                <w:color w:val="auto"/>
              </w:rPr>
            </w:pPr>
          </w:p>
        </w:tc>
        <w:tc>
          <w:tcPr>
            <w:tcW w:w="194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244,800</w:t>
            </w:r>
          </w:p>
        </w:tc>
        <w:tc>
          <w:tcPr>
            <w:tcW w:w="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259,500</w:t>
            </w:r>
          </w:p>
        </w:tc>
        <w:tc>
          <w:tcPr>
            <w:tcW w:w="100" w:type="dxa"/>
            <w:vAlign w:val="bottom"/>
            <w:shd w:val="clear" w:color="auto" w:fill="CCECFF"/>
          </w:tcPr>
          <w:p>
            <w:pPr>
              <w:spacing w:after="0"/>
              <w:rPr>
                <w:sz w:val="15"/>
                <w:szCs w:val="15"/>
                <w:color w:val="auto"/>
              </w:rPr>
            </w:pPr>
          </w:p>
        </w:tc>
      </w:tr>
      <w:tr>
        <w:trPr>
          <w:trHeight w:val="175"/>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 Asset-backed debt, net (par—$246,000)</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243,517</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243,365</w:t>
            </w:r>
          </w:p>
        </w:tc>
        <w:tc>
          <w:tcPr>
            <w:tcW w:w="100" w:type="dxa"/>
            <w:vAlign w:val="bottom"/>
          </w:tcPr>
          <w:p>
            <w:pPr>
              <w:spacing w:after="0"/>
              <w:rPr>
                <w:sz w:val="15"/>
                <w:szCs w:val="15"/>
                <w:color w:val="auto"/>
              </w:rPr>
            </w:pPr>
          </w:p>
        </w:tc>
      </w:tr>
      <w:tr>
        <w:trPr>
          <w:trHeight w:val="176"/>
        </w:trPr>
        <w:tc>
          <w:tcPr>
            <w:tcW w:w="6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Notes payable to members</w:t>
            </w:r>
          </w:p>
        </w:tc>
        <w:tc>
          <w:tcPr>
            <w:tcW w:w="160" w:type="dxa"/>
            <w:vAlign w:val="bottom"/>
            <w:shd w:val="clear" w:color="auto" w:fill="CCECFF"/>
          </w:tcPr>
          <w:p>
            <w:pPr>
              <w:spacing w:after="0"/>
              <w:rPr>
                <w:sz w:val="15"/>
                <w:szCs w:val="15"/>
                <w:color w:val="auto"/>
              </w:rPr>
            </w:pPr>
          </w:p>
        </w:tc>
        <w:tc>
          <w:tcPr>
            <w:tcW w:w="194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227,850</w:t>
            </w:r>
          </w:p>
        </w:tc>
        <w:tc>
          <w:tcPr>
            <w:tcW w:w="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217,350</w:t>
            </w:r>
          </w:p>
        </w:tc>
        <w:tc>
          <w:tcPr>
            <w:tcW w:w="100" w:type="dxa"/>
            <w:vAlign w:val="bottom"/>
            <w:shd w:val="clear" w:color="auto" w:fill="CCECFF"/>
          </w:tcPr>
          <w:p>
            <w:pPr>
              <w:spacing w:after="0"/>
              <w:rPr>
                <w:sz w:val="15"/>
                <w:szCs w:val="15"/>
                <w:color w:val="auto"/>
              </w:rPr>
            </w:pPr>
          </w:p>
        </w:tc>
      </w:tr>
      <w:tr>
        <w:trPr>
          <w:trHeight w:val="175"/>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14,973</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10,414</w:t>
            </w:r>
          </w:p>
        </w:tc>
        <w:tc>
          <w:tcPr>
            <w:tcW w:w="100" w:type="dxa"/>
            <w:vAlign w:val="bottom"/>
          </w:tcPr>
          <w:p>
            <w:pPr>
              <w:spacing w:after="0"/>
              <w:rPr>
                <w:sz w:val="15"/>
                <w:szCs w:val="15"/>
                <w:color w:val="auto"/>
              </w:rPr>
            </w:pPr>
          </w:p>
        </w:tc>
      </w:tr>
      <w:tr>
        <w:trPr>
          <w:trHeight w:val="175"/>
        </w:trPr>
        <w:tc>
          <w:tcPr>
            <w:tcW w:w="6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notes to members</w:t>
            </w:r>
          </w:p>
        </w:tc>
        <w:tc>
          <w:tcPr>
            <w:tcW w:w="160" w:type="dxa"/>
            <w:vAlign w:val="bottom"/>
            <w:shd w:val="clear" w:color="auto" w:fill="CCECFF"/>
          </w:tcPr>
          <w:p>
            <w:pPr>
              <w:spacing w:after="0"/>
              <w:rPr>
                <w:sz w:val="15"/>
                <w:szCs w:val="15"/>
                <w:color w:val="auto"/>
              </w:rPr>
            </w:pPr>
          </w:p>
        </w:tc>
        <w:tc>
          <w:tcPr>
            <w:tcW w:w="194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5,581</w:t>
            </w:r>
          </w:p>
        </w:tc>
        <w:tc>
          <w:tcPr>
            <w:tcW w:w="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4,719</w:t>
            </w:r>
          </w:p>
        </w:tc>
        <w:tc>
          <w:tcPr>
            <w:tcW w:w="100" w:type="dxa"/>
            <w:vAlign w:val="bottom"/>
            <w:shd w:val="clear" w:color="auto" w:fill="CCECFF"/>
          </w:tcPr>
          <w:p>
            <w:pPr>
              <w:spacing w:after="0"/>
              <w:rPr>
                <w:sz w:val="15"/>
                <w:szCs w:val="15"/>
                <w:color w:val="auto"/>
              </w:rPr>
            </w:pPr>
          </w:p>
        </w:tc>
      </w:tr>
      <w:tr>
        <w:trPr>
          <w:trHeight w:val="176"/>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payable on Credit Facility and asset backed debt</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4,831</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3,817</w:t>
            </w:r>
          </w:p>
        </w:tc>
        <w:tc>
          <w:tcPr>
            <w:tcW w:w="100" w:type="dxa"/>
            <w:vAlign w:val="bottom"/>
          </w:tcPr>
          <w:p>
            <w:pPr>
              <w:spacing w:after="0"/>
              <w:rPr>
                <w:sz w:val="15"/>
                <w:szCs w:val="15"/>
                <w:color w:val="auto"/>
              </w:rPr>
            </w:pPr>
          </w:p>
        </w:tc>
      </w:tr>
      <w:tr>
        <w:trPr>
          <w:trHeight w:val="175"/>
        </w:trPr>
        <w:tc>
          <w:tcPr>
            <w:tcW w:w="61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tcBorders>
              <w:bottom w:val="single" w:sz="8" w:color="auto"/>
            </w:tcBorders>
            <w:shd w:val="clear" w:color="auto" w:fill="CCECFF"/>
          </w:tcPr>
          <w:p>
            <w:pPr>
              <w:spacing w:after="0"/>
              <w:rPr>
                <w:sz w:val="15"/>
                <w:szCs w:val="15"/>
                <w:color w:val="auto"/>
              </w:rPr>
            </w:pPr>
          </w:p>
        </w:tc>
        <w:tc>
          <w:tcPr>
            <w:tcW w:w="1940" w:type="dxa"/>
            <w:vAlign w:val="bottom"/>
            <w:tcBorders>
              <w:bottom w:val="single" w:sz="8" w:color="auto"/>
            </w:tcBorders>
            <w:shd w:val="clear" w:color="auto" w:fill="CCECFF"/>
          </w:tcPr>
          <w:p>
            <w:pPr>
              <w:spacing w:after="0"/>
              <w:rPr>
                <w:sz w:val="15"/>
                <w:szCs w:val="15"/>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30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spacing w:after="0"/>
              <w:rPr>
                <w:sz w:val="15"/>
                <w:szCs w:val="15"/>
                <w:color w:val="auto"/>
              </w:rPr>
            </w:pPr>
          </w:p>
        </w:tc>
        <w:tc>
          <w:tcPr>
            <w:tcW w:w="1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61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742,191</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740,315</w:t>
            </w:r>
          </w:p>
        </w:tc>
        <w:tc>
          <w:tcPr>
            <w:tcW w:w="100" w:type="dxa"/>
            <w:vAlign w:val="bottom"/>
          </w:tcPr>
          <w:p>
            <w:pPr>
              <w:spacing w:after="0"/>
              <w:rPr>
                <w:sz w:val="14"/>
                <w:szCs w:val="14"/>
                <w:color w:val="auto"/>
              </w:rPr>
            </w:pPr>
          </w:p>
        </w:tc>
      </w:tr>
      <w:tr>
        <w:trPr>
          <w:trHeight w:val="169"/>
        </w:trPr>
        <w:tc>
          <w:tcPr>
            <w:tcW w:w="6140" w:type="dxa"/>
            <w:vAlign w:val="bottom"/>
            <w:tcBorders>
              <w:bottom w:val="single" w:sz="8" w:color="CCECFF"/>
            </w:tcBorders>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Commitments and contingencies </w:t>
            </w:r>
            <w:r>
              <w:rPr>
                <w:rFonts w:ascii="Times New Roman" w:cs="Times New Roman" w:eastAsia="Times New Roman" w:hAnsi="Times New Roman"/>
                <w:sz w:val="19"/>
                <w:szCs w:val="19"/>
                <w:color w:val="auto"/>
                <w:vertAlign w:val="superscript"/>
              </w:rPr>
              <w:t>(1)</w:t>
            </w:r>
          </w:p>
        </w:tc>
        <w:tc>
          <w:tcPr>
            <w:tcW w:w="160" w:type="dxa"/>
            <w:vAlign w:val="bottom"/>
            <w:tcBorders>
              <w:bottom w:val="single" w:sz="8" w:color="CCECFF"/>
            </w:tcBorders>
            <w:shd w:val="clear" w:color="auto" w:fill="CCECFF"/>
          </w:tcPr>
          <w:p>
            <w:pPr>
              <w:spacing w:after="0"/>
              <w:rPr>
                <w:sz w:val="14"/>
                <w:szCs w:val="14"/>
                <w:color w:val="auto"/>
              </w:rPr>
            </w:pPr>
          </w:p>
        </w:tc>
        <w:tc>
          <w:tcPr>
            <w:tcW w:w="1940" w:type="dxa"/>
            <w:vAlign w:val="bottom"/>
            <w:tcBorders>
              <w:bottom w:val="single" w:sz="8" w:color="auto"/>
            </w:tcBorders>
            <w:shd w:val="clear" w:color="auto" w:fill="CCECFF"/>
          </w:tcPr>
          <w:p>
            <w:pPr>
              <w:spacing w:after="0"/>
              <w:rPr>
                <w:sz w:val="14"/>
                <w:szCs w:val="14"/>
                <w:color w:val="auto"/>
              </w:rPr>
            </w:pPr>
          </w:p>
        </w:tc>
        <w:tc>
          <w:tcPr>
            <w:tcW w:w="580" w:type="dxa"/>
            <w:vAlign w:val="bottom"/>
            <w:tcBorders>
              <w:bottom w:val="single" w:sz="8" w:color="auto"/>
            </w:tcBorders>
            <w:shd w:val="clear" w:color="auto" w:fill="CCECFF"/>
          </w:tcPr>
          <w:p>
            <w:pPr>
              <w:spacing w:after="0"/>
              <w:rPr>
                <w:sz w:val="14"/>
                <w:szCs w:val="14"/>
                <w:color w:val="auto"/>
              </w:rPr>
            </w:pPr>
          </w:p>
        </w:tc>
        <w:tc>
          <w:tcPr>
            <w:tcW w:w="30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1860" w:type="dxa"/>
            <w:vAlign w:val="bottom"/>
            <w:tcBorders>
              <w:bottom w:val="single" w:sz="8" w:color="auto"/>
            </w:tcBorders>
            <w:shd w:val="clear" w:color="auto" w:fill="CCECFF"/>
          </w:tcPr>
          <w:p>
            <w:pPr>
              <w:spacing w:after="0"/>
              <w:rPr>
                <w:sz w:val="14"/>
                <w:szCs w:val="14"/>
                <w:color w:val="auto"/>
              </w:rPr>
            </w:pP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1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55,195</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56,496</w:t>
            </w:r>
          </w:p>
        </w:tc>
        <w:tc>
          <w:tcPr>
            <w:tcW w:w="100" w:type="dxa"/>
            <w:vAlign w:val="bottom"/>
          </w:tcPr>
          <w:p>
            <w:pPr>
              <w:spacing w:after="0"/>
              <w:rPr>
                <w:sz w:val="14"/>
                <w:szCs w:val="14"/>
                <w:color w:val="auto"/>
              </w:rPr>
            </w:pPr>
          </w:p>
        </w:tc>
      </w:tr>
      <w:tr>
        <w:trPr>
          <w:trHeight w:val="209"/>
        </w:trPr>
        <w:tc>
          <w:tcPr>
            <w:tcW w:w="614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Borders>
              <w:bottom w:val="single" w:sz="8" w:color="auto"/>
            </w:tcBorders>
            <w:shd w:val="clear" w:color="auto" w:fill="CCECFF"/>
          </w:tcPr>
          <w:p>
            <w:pPr>
              <w:spacing w:after="0"/>
              <w:rPr>
                <w:sz w:val="18"/>
                <w:szCs w:val="18"/>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797,386</w:t>
            </w:r>
          </w:p>
        </w:tc>
        <w:tc>
          <w:tcPr>
            <w:tcW w:w="30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796,811</w:t>
            </w:r>
          </w:p>
        </w:tc>
        <w:tc>
          <w:tcPr>
            <w:tcW w:w="10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-1405255</wp:posOffset>
            </wp:positionV>
            <wp:extent cx="68580" cy="1200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1200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-504825</wp:posOffset>
            </wp:positionV>
            <wp:extent cx="68580"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-264795</wp:posOffset>
            </wp:positionV>
            <wp:extent cx="68580"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-25400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54"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As of December 31, 2022 and September 30, 2022, PSSL had unfunded commitments to fund investments of $3.9 million and $2.5 million, respectively.</w:t>
      </w:r>
    </w:p>
    <w:p>
      <w:pPr>
        <w:sectPr>
          <w:pgSz w:w="11900" w:h="16838" w:orient="portrait"/>
          <w:cols w:equalWidth="0" w:num="1">
            <w:col w:w="11240"/>
          </w:cols>
          <w:pgMar w:left="320" w:top="114" w:right="339" w:bottom="754"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754"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consolidated statements of operations for PSSL ($ in thousands):</w:t>
            </w:r>
          </w:p>
        </w:tc>
        <w:tc>
          <w:tcPr>
            <w:tcW w:w="3500" w:type="dxa"/>
            <w:vAlign w:val="bottom"/>
            <w:gridSpan w:val="4"/>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040" w:type="dxa"/>
            <w:vAlign w:val="bottom"/>
          </w:tcPr>
          <w:p>
            <w:pPr>
              <w:spacing w:after="0"/>
              <w:rPr>
                <w:sz w:val="12"/>
                <w:szCs w:val="12"/>
                <w:color w:val="auto"/>
              </w:rPr>
            </w:pPr>
          </w:p>
        </w:tc>
        <w:tc>
          <w:tcPr>
            <w:tcW w:w="350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040" w:type="dxa"/>
            <w:vAlign w:val="bottom"/>
          </w:tcPr>
          <w:p>
            <w:pPr>
              <w:spacing w:after="0"/>
              <w:rPr>
                <w:sz w:val="16"/>
                <w:szCs w:val="16"/>
                <w:color w:val="auto"/>
              </w:rPr>
            </w:pPr>
          </w:p>
        </w:tc>
        <w:tc>
          <w:tcPr>
            <w:tcW w:w="13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134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13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19,617</w:t>
            </w:r>
          </w:p>
        </w:tc>
        <w:tc>
          <w:tcPr>
            <w:tcW w:w="280" w:type="dxa"/>
            <w:vAlign w:val="bottom"/>
          </w:tcPr>
          <w:p>
            <w:pPr>
              <w:spacing w:after="0"/>
              <w:rPr>
                <w:sz w:val="15"/>
                <w:szCs w:val="15"/>
                <w:color w:val="auto"/>
              </w:rPr>
            </w:pPr>
          </w:p>
        </w:tc>
        <w:tc>
          <w:tcPr>
            <w:tcW w:w="124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340" w:type="dxa"/>
            <w:vAlign w:val="bottom"/>
            <w:tcBorders>
              <w:bottom w:val="single" w:sz="8" w:color="auto"/>
            </w:tcBorders>
            <w:shd w:val="clear" w:color="auto" w:fill="CCECFF"/>
          </w:tcPr>
          <w:p>
            <w:pPr>
              <w:spacing w:after="0"/>
              <w:rPr>
                <w:sz w:val="15"/>
                <w:szCs w:val="15"/>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80" w:type="dxa"/>
            <w:vAlign w:val="bottom"/>
            <w:tcBorders>
              <w:bottom w:val="single" w:sz="8" w:color="CCECFF"/>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spacing w:after="0"/>
              <w:rPr>
                <w:sz w:val="15"/>
                <w:szCs w:val="15"/>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19,727</w:t>
            </w:r>
          </w:p>
        </w:tc>
        <w:tc>
          <w:tcPr>
            <w:tcW w:w="2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34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and expense on credit facility and asset-backed debt</w:t>
            </w:r>
          </w:p>
        </w:tc>
        <w:tc>
          <w:tcPr>
            <w:tcW w:w="1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8,641</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 expense on notes to members</w:t>
            </w:r>
          </w:p>
        </w:tc>
        <w:tc>
          <w:tcPr>
            <w:tcW w:w="1340" w:type="dxa"/>
            <w:vAlign w:val="bottom"/>
            <w:shd w:val="clear" w:color="auto" w:fill="CCECFF"/>
          </w:tcPr>
          <w:p>
            <w:pPr>
              <w:spacing w:after="0"/>
              <w:rPr>
                <w:sz w:val="15"/>
                <w:szCs w:val="15"/>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6,810</w:t>
            </w:r>
          </w:p>
        </w:tc>
        <w:tc>
          <w:tcPr>
            <w:tcW w:w="280" w:type="dxa"/>
            <w:vAlign w:val="bottom"/>
            <w:shd w:val="clear" w:color="auto" w:fill="CCECFF"/>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3,554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1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340" w:type="dxa"/>
            <w:vAlign w:val="bottom"/>
            <w:tcBorders>
              <w:bottom w:val="single" w:sz="8" w:color="auto"/>
            </w:tcBorders>
            <w:shd w:val="clear" w:color="auto" w:fill="CCECFF"/>
          </w:tcPr>
          <w:p>
            <w:pPr>
              <w:spacing w:after="0"/>
              <w:rPr>
                <w:sz w:val="15"/>
                <w:szCs w:val="15"/>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80" w:type="dxa"/>
            <w:vAlign w:val="bottom"/>
            <w:tcBorders>
              <w:bottom w:val="single" w:sz="8" w:color="CCECFF"/>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spacing w:after="0"/>
              <w:rPr>
                <w:sz w:val="15"/>
                <w:szCs w:val="15"/>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1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16,259</w:t>
            </w:r>
          </w:p>
        </w:tc>
        <w:tc>
          <w:tcPr>
            <w:tcW w:w="2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340" w:type="dxa"/>
            <w:vAlign w:val="bottom"/>
            <w:tcBorders>
              <w:bottom w:val="single" w:sz="8" w:color="auto"/>
            </w:tcBorders>
            <w:shd w:val="clear" w:color="auto" w:fill="CCECFF"/>
          </w:tcPr>
          <w:p>
            <w:pPr>
              <w:spacing w:after="0"/>
              <w:rPr>
                <w:sz w:val="14"/>
                <w:szCs w:val="14"/>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3,468</w:t>
            </w:r>
          </w:p>
        </w:tc>
        <w:tc>
          <w:tcPr>
            <w:tcW w:w="280" w:type="dxa"/>
            <w:vAlign w:val="bottom"/>
            <w:tcBorders>
              <w:bottom w:val="single" w:sz="8" w:color="CCECFF"/>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spacing w:after="0"/>
              <w:rPr>
                <w:sz w:val="14"/>
                <w:szCs w:val="14"/>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4,505</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unrealized gain (loss) on investments and credit facility foreign currency translation:</w:t>
            </w: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realized gain (loss) on:</w:t>
            </w:r>
          </w:p>
        </w:tc>
        <w:tc>
          <w:tcPr>
            <w:tcW w:w="1340" w:type="dxa"/>
            <w:vAlign w:val="bottom"/>
            <w:shd w:val="clear" w:color="auto" w:fill="CCECFF"/>
          </w:tcPr>
          <w:p>
            <w:pPr>
              <w:spacing w:after="0"/>
              <w:rPr>
                <w:sz w:val="15"/>
                <w:szCs w:val="15"/>
                <w:color w:val="auto"/>
              </w:rPr>
            </w:pPr>
          </w:p>
        </w:tc>
        <w:tc>
          <w:tcPr>
            <w:tcW w:w="6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Investments</w:t>
            </w:r>
          </w:p>
        </w:tc>
        <w:tc>
          <w:tcPr>
            <w:tcW w:w="1340" w:type="dxa"/>
            <w:vAlign w:val="bottom"/>
          </w:tcPr>
          <w:p>
            <w:pPr>
              <w:spacing w:after="0"/>
              <w:rPr>
                <w:sz w:val="15"/>
                <w:szCs w:val="15"/>
                <w:color w:val="auto"/>
              </w:rPr>
            </w:pP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(60 )</w:t>
            </w:r>
          </w:p>
        </w:tc>
        <w:tc>
          <w:tcPr>
            <w:tcW w:w="124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(348 )</w:t>
            </w:r>
          </w:p>
        </w:tc>
        <w:tc>
          <w:tcPr>
            <w:tcW w:w="0" w:type="dxa"/>
            <w:vAlign w:val="bottom"/>
          </w:tcPr>
          <w:p>
            <w:pPr>
              <w:spacing w:after="0"/>
              <w:rPr>
                <w:sz w:val="1"/>
                <w:szCs w:val="1"/>
                <w:color w:val="auto"/>
              </w:rPr>
            </w:pPr>
          </w:p>
        </w:tc>
      </w:tr>
      <w:tr>
        <w:trPr>
          <w:trHeight w:val="175"/>
        </w:trPr>
        <w:tc>
          <w:tcPr>
            <w:tcW w:w="70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Credit facility foreign currency translation</w:t>
            </w:r>
          </w:p>
        </w:tc>
        <w:tc>
          <w:tcPr>
            <w:tcW w:w="1340" w:type="dxa"/>
            <w:vAlign w:val="bottom"/>
            <w:shd w:val="clear" w:color="auto" w:fill="CCECFF"/>
          </w:tcPr>
          <w:p>
            <w:pPr>
              <w:spacing w:after="0"/>
              <w:rPr>
                <w:sz w:val="15"/>
                <w:szCs w:val="15"/>
                <w:color w:val="auto"/>
              </w:rPr>
            </w:pPr>
          </w:p>
        </w:tc>
        <w:tc>
          <w:tcPr>
            <w:tcW w:w="92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(10 )</w:t>
            </w:r>
          </w:p>
        </w:tc>
        <w:tc>
          <w:tcPr>
            <w:tcW w:w="124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w:t>
            </w: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Investments</w:t>
            </w:r>
          </w:p>
        </w:tc>
        <w:tc>
          <w:tcPr>
            <w:tcW w:w="1340" w:type="dxa"/>
            <w:vAlign w:val="bottom"/>
            <w:shd w:val="clear" w:color="auto" w:fill="CCECFF"/>
          </w:tcPr>
          <w:p>
            <w:pPr>
              <w:spacing w:after="0"/>
              <w:rPr>
                <w:sz w:val="15"/>
                <w:szCs w:val="15"/>
                <w:color w:val="auto"/>
              </w:rPr>
            </w:pPr>
          </w:p>
        </w:tc>
        <w:tc>
          <w:tcPr>
            <w:tcW w:w="92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(5,800 )</w:t>
            </w:r>
          </w:p>
        </w:tc>
        <w:tc>
          <w:tcPr>
            <w:tcW w:w="124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(3,204 )</w:t>
            </w:r>
          </w:p>
        </w:tc>
        <w:tc>
          <w:tcPr>
            <w:tcW w:w="0" w:type="dxa"/>
            <w:vAlign w:val="bottom"/>
          </w:tcPr>
          <w:p>
            <w:pPr>
              <w:spacing w:after="0"/>
              <w:rPr>
                <w:sz w:val="1"/>
                <w:szCs w:val="1"/>
                <w:color w:val="auto"/>
              </w:rPr>
            </w:pPr>
          </w:p>
        </w:tc>
      </w:tr>
      <w:tr>
        <w:trPr>
          <w:trHeight w:val="176"/>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Credit facility foreign currency translation</w:t>
            </w:r>
          </w:p>
        </w:tc>
        <w:tc>
          <w:tcPr>
            <w:tcW w:w="1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7040" w:type="dxa"/>
            <w:vAlign w:val="bottom"/>
            <w:shd w:val="clear" w:color="auto" w:fill="CCECFF"/>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 investments and credit facility foreign currency</w:t>
            </w:r>
          </w:p>
        </w:tc>
        <w:tc>
          <w:tcPr>
            <w:tcW w:w="1340" w:type="dxa"/>
            <w:vAlign w:val="bottom"/>
            <w:shd w:val="clear" w:color="auto" w:fill="CCECFF"/>
          </w:tcPr>
          <w:p>
            <w:pPr>
              <w:spacing w:after="0"/>
              <w:rPr>
                <w:sz w:val="11"/>
                <w:szCs w:val="11"/>
                <w:color w:val="auto"/>
              </w:rPr>
            </w:pPr>
          </w:p>
        </w:tc>
        <w:tc>
          <w:tcPr>
            <w:tcW w:w="920" w:type="dxa"/>
            <w:vAlign w:val="bottom"/>
            <w:gridSpan w:val="2"/>
            <w:vMerge w:val="restart"/>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(5,800 )</w:t>
            </w:r>
          </w:p>
        </w:tc>
        <w:tc>
          <w:tcPr>
            <w:tcW w:w="1240" w:type="dxa"/>
            <w:vAlign w:val="bottom"/>
            <w:shd w:val="clear" w:color="auto" w:fill="CCECFF"/>
          </w:tcPr>
          <w:p>
            <w:pPr>
              <w:spacing w:after="0"/>
              <w:rPr>
                <w:sz w:val="11"/>
                <w:szCs w:val="11"/>
                <w:color w:val="auto"/>
              </w:rPr>
            </w:pPr>
          </w:p>
        </w:tc>
        <w:tc>
          <w:tcPr>
            <w:tcW w:w="70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(3,204 )</w:t>
            </w:r>
          </w:p>
        </w:tc>
        <w:tc>
          <w:tcPr>
            <w:tcW w:w="0" w:type="dxa"/>
            <w:vAlign w:val="bottom"/>
          </w:tcPr>
          <w:p>
            <w:pPr>
              <w:spacing w:after="0"/>
              <w:rPr>
                <w:sz w:val="1"/>
                <w:szCs w:val="1"/>
                <w:color w:val="auto"/>
              </w:rPr>
            </w:pPr>
          </w:p>
        </w:tc>
      </w:tr>
      <w:tr>
        <w:trPr>
          <w:trHeight w:val="173"/>
        </w:trPr>
        <w:tc>
          <w:tcPr>
            <w:tcW w:w="70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translations</w:t>
            </w:r>
          </w:p>
        </w:tc>
        <w:tc>
          <w:tcPr>
            <w:tcW w:w="1340" w:type="dxa"/>
            <w:vAlign w:val="bottom"/>
            <w:shd w:val="clear" w:color="auto" w:fill="CCECFF"/>
          </w:tcPr>
          <w:p>
            <w:pPr>
              <w:spacing w:after="0"/>
              <w:rPr>
                <w:sz w:val="15"/>
                <w:szCs w:val="15"/>
                <w:color w:val="auto"/>
              </w:rPr>
            </w:pPr>
          </w:p>
        </w:tc>
        <w:tc>
          <w:tcPr>
            <w:tcW w:w="920" w:type="dxa"/>
            <w:vAlign w:val="bottom"/>
            <w:gridSpan w:val="2"/>
            <w:vMerge w:val="continue"/>
            <w:shd w:val="clear" w:color="auto" w:fill="CCECFF"/>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700" w:type="dxa"/>
            <w:vAlign w:val="bottom"/>
            <w:gridSpan w:val="2"/>
            <w:vMerge w:val="continue"/>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40" w:type="dxa"/>
            <w:vAlign w:val="bottom"/>
            <w:shd w:val="clear" w:color="auto" w:fill="CCEC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realized and unrealized gain (loss) from investments and credit facility foreign currency translations</w:t>
            </w:r>
          </w:p>
        </w:tc>
        <w:tc>
          <w:tcPr>
            <w:tcW w:w="1340" w:type="dxa"/>
            <w:vAlign w:val="bottom"/>
          </w:tcPr>
          <w:p>
            <w:pPr>
              <w:spacing w:after="0"/>
              <w:rPr>
                <w:sz w:val="14"/>
                <w:szCs w:val="14"/>
                <w:color w:val="auto"/>
              </w:rPr>
            </w:pP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(5,870 )</w:t>
            </w:r>
          </w:p>
        </w:tc>
        <w:tc>
          <w:tcPr>
            <w:tcW w:w="12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(3,552 )</w:t>
            </w:r>
          </w:p>
        </w:tc>
        <w:tc>
          <w:tcPr>
            <w:tcW w:w="0" w:type="dxa"/>
            <w:vAlign w:val="bottom"/>
          </w:tcPr>
          <w:p>
            <w:pPr>
              <w:spacing w:after="0"/>
              <w:rPr>
                <w:sz w:val="1"/>
                <w:szCs w:val="1"/>
                <w:color w:val="auto"/>
              </w:rPr>
            </w:pPr>
          </w:p>
        </w:tc>
      </w:tr>
      <w:tr>
        <w:trPr>
          <w:trHeight w:val="209"/>
        </w:trPr>
        <w:tc>
          <w:tcPr>
            <w:tcW w:w="70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members' equity resulting from operations</w:t>
            </w:r>
          </w:p>
        </w:tc>
        <w:tc>
          <w:tcPr>
            <w:tcW w:w="1340" w:type="dxa"/>
            <w:vAlign w:val="bottom"/>
            <w:tcBorders>
              <w:top w:val="single" w:sz="8" w:color="auto"/>
              <w:bottom w:val="single" w:sz="8" w:color="auto"/>
            </w:tcBorders>
            <w:shd w:val="clear" w:color="auto" w:fill="CCECFF"/>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280" w:type="dxa"/>
            <w:vAlign w:val="bottom"/>
            <w:tcBorders>
              <w:bottom w:val="single" w:sz="8" w:color="CCECFF"/>
            </w:tcBorders>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w w:val="84"/>
              </w:rPr>
              <w:t>)</w:t>
            </w:r>
          </w:p>
        </w:tc>
        <w:tc>
          <w:tcPr>
            <w:tcW w:w="1240" w:type="dxa"/>
            <w:vAlign w:val="bottom"/>
            <w:tcBorders>
              <w:top w:val="single" w:sz="8" w:color="auto"/>
              <w:bottom w:val="single" w:sz="8" w:color="auto"/>
            </w:tcBorders>
            <w:shd w:val="clear" w:color="auto" w:fill="CCEC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-2185670</wp:posOffset>
            </wp:positionV>
            <wp:extent cx="68580"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-2185670</wp:posOffset>
            </wp:positionV>
            <wp:extent cx="68580"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-1499870</wp:posOffset>
            </wp:positionV>
            <wp:extent cx="68580"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-1259205</wp:posOffset>
            </wp:positionV>
            <wp:extent cx="68580" cy="1200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1200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-264795</wp:posOffset>
            </wp:positionV>
            <wp:extent cx="68580"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1"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No management or incentive fees are payable by PSSL. If any fees were to be charged, they would be separately disclosed in the Statement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FAIR VALUE OF FINANCIAL INSTRUMENTS</w:t>
      </w:r>
    </w:p>
    <w:p>
      <w:pPr>
        <w:spacing w:after="0" w:line="138"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136" w:lineRule="exact"/>
        <w:rPr>
          <w:sz w:val="20"/>
          <w:szCs w:val="20"/>
          <w:color w:val="auto"/>
        </w:rPr>
      </w:pPr>
    </w:p>
    <w:p>
      <w:pPr>
        <w:ind w:left="300"/>
        <w:spacing w:after="0"/>
        <w:tabs>
          <w:tab w:leader="none" w:pos="152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150" w:lineRule="exact"/>
        <w:rPr>
          <w:sz w:val="20"/>
          <w:szCs w:val="20"/>
          <w:color w:val="auto"/>
        </w:rPr>
      </w:pPr>
    </w:p>
    <w:p>
      <w:pPr>
        <w:jc w:val="both"/>
        <w:ind w:left="1540" w:right="300" w:hanging="1241"/>
        <w:spacing w:after="0" w:line="242" w:lineRule="auto"/>
        <w:tabs>
          <w:tab w:leader="none" w:pos="152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283" w:lineRule="exact"/>
        <w:rPr>
          <w:sz w:val="20"/>
          <w:szCs w:val="20"/>
          <w:color w:val="auto"/>
        </w:rPr>
      </w:pPr>
    </w:p>
    <w:p>
      <w:pPr>
        <w:jc w:val="both"/>
        <w:ind w:left="1540" w:right="300" w:hanging="1241"/>
        <w:spacing w:after="0" w:line="250" w:lineRule="auto"/>
        <w:tabs>
          <w:tab w:leader="none" w:pos="152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pacing w:after="0" w:line="271"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09"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0"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09"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as a practical expedient within the fair value hierarchy.</w:t>
      </w:r>
    </w:p>
    <w:p>
      <w:pPr>
        <w:spacing w:after="0" w:line="110"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discounted for lack of marketability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Level 3 valuation techniques, unobservable inputs and ranges were categorized as follows for ASC 820 purposes ($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6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40" w:type="dxa"/>
            <w:vAlign w:val="bottom"/>
          </w:tcPr>
          <w:p>
            <w:pPr>
              <w:spacing w:after="0"/>
              <w:rPr>
                <w:sz w:val="13"/>
                <w:szCs w:val="13"/>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8"/>
              </w:rPr>
              <w:t xml:space="preserve">(Weighted Average) </w:t>
            </w:r>
            <w:r>
              <w:rPr>
                <w:rFonts w:ascii="Times New Roman" w:cs="Times New Roman" w:eastAsia="Times New Roman" w:hAnsi="Times New Roman"/>
                <w:sz w:val="19"/>
                <w:szCs w:val="19"/>
                <w:b w:val="1"/>
                <w:bCs w:val="1"/>
                <w:color w:val="auto"/>
                <w:w w:val="98"/>
                <w:vertAlign w:val="superscript"/>
              </w:rPr>
              <w:t>(1)</w:t>
            </w:r>
          </w:p>
        </w:tc>
        <w:tc>
          <w:tcPr>
            <w:tcW w:w="0" w:type="dxa"/>
            <w:vAlign w:val="bottom"/>
          </w:tcPr>
          <w:p>
            <w:pPr>
              <w:spacing w:after="0"/>
              <w:rPr>
                <w:sz w:val="1"/>
                <w:szCs w:val="1"/>
                <w:color w:val="auto"/>
              </w:rPr>
            </w:pPr>
          </w:p>
        </w:tc>
      </w:tr>
      <w:tr>
        <w:trPr>
          <w:trHeight w:val="169"/>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62,678</w:t>
            </w:r>
          </w:p>
        </w:tc>
        <w:tc>
          <w:tcPr>
            <w:tcW w:w="260" w:type="dxa"/>
            <w:vAlign w:val="bottom"/>
            <w:shd w:val="clear" w:color="auto" w:fill="CCECFF"/>
          </w:tcPr>
          <w:p>
            <w:pPr>
              <w:spacing w:after="0"/>
              <w:rPr>
                <w:sz w:val="14"/>
                <w:szCs w:val="14"/>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40" w:type="dxa"/>
            <w:vAlign w:val="bottom"/>
            <w:shd w:val="clear" w:color="auto" w:fill="CCECFF"/>
          </w:tcPr>
          <w:p>
            <w:pPr>
              <w:spacing w:after="0"/>
              <w:rPr>
                <w:sz w:val="14"/>
                <w:szCs w:val="14"/>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shd w:val="clear" w:color="auto" w:fill="CCECFF"/>
          </w:tcPr>
          <w:p>
            <w:pPr>
              <w:spacing w:after="0"/>
              <w:rPr>
                <w:sz w:val="14"/>
                <w:szCs w:val="14"/>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929,120</w:t>
            </w:r>
          </w:p>
        </w:tc>
        <w:tc>
          <w:tcPr>
            <w:tcW w:w="2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4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9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8.5% - 22.8% (11.4%)</w:t>
            </w:r>
          </w:p>
        </w:tc>
        <w:tc>
          <w:tcPr>
            <w:tcW w:w="0" w:type="dxa"/>
            <w:vAlign w:val="bottom"/>
          </w:tcPr>
          <w:p>
            <w:pPr>
              <w:spacing w:after="0"/>
              <w:rPr>
                <w:sz w:val="1"/>
                <w:szCs w:val="1"/>
                <w:color w:val="auto"/>
              </w:rPr>
            </w:pPr>
          </w:p>
        </w:tc>
      </w:tr>
      <w:tr>
        <w:trPr>
          <w:trHeight w:val="17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6,410</w:t>
            </w: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40" w:type="dxa"/>
            <w:vAlign w:val="bottom"/>
            <w:shd w:val="clear" w:color="auto" w:fill="CCECFF"/>
          </w:tcPr>
          <w:p>
            <w:pPr>
              <w:spacing w:after="0"/>
              <w:rPr>
                <w:sz w:val="15"/>
                <w:szCs w:val="15"/>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Projected EBITDA multiple</w:t>
            </w:r>
          </w:p>
        </w:tc>
        <w:tc>
          <w:tcPr>
            <w:tcW w:w="160" w:type="dxa"/>
            <w:vAlign w:val="bottom"/>
            <w:shd w:val="clear" w:color="auto" w:fill="CCECFF"/>
          </w:tcPr>
          <w:p>
            <w:pPr>
              <w:spacing w:after="0"/>
              <w:rPr>
                <w:sz w:val="15"/>
                <w:szCs w:val="15"/>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8.0x</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4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92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0.144</w:t>
            </w:r>
          </w:p>
        </w:tc>
        <w:tc>
          <w:tcPr>
            <w:tcW w:w="0" w:type="dxa"/>
            <w:vAlign w:val="bottom"/>
          </w:tcPr>
          <w:p>
            <w:pPr>
              <w:spacing w:after="0"/>
              <w:rPr>
                <w:sz w:val="1"/>
                <w:szCs w:val="1"/>
                <w:color w:val="auto"/>
              </w:rPr>
            </w:pPr>
          </w:p>
        </w:tc>
      </w:tr>
      <w:tr>
        <w:trPr>
          <w:trHeight w:val="175"/>
        </w:trPr>
        <w:tc>
          <w:tcPr>
            <w:tcW w:w="33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40" w:type="dxa"/>
            <w:vAlign w:val="bottom"/>
            <w:shd w:val="clear" w:color="auto" w:fill="CCECFF"/>
          </w:tcPr>
          <w:p>
            <w:pPr>
              <w:spacing w:after="0"/>
              <w:rPr>
                <w:sz w:val="15"/>
                <w:szCs w:val="15"/>
                <w:color w:val="auto"/>
              </w:rPr>
            </w:pPr>
          </w:p>
        </w:tc>
        <w:tc>
          <w:tcPr>
            <w:tcW w:w="20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shd w:val="clear" w:color="auto" w:fill="CCECFF"/>
          </w:tcPr>
          <w:p>
            <w:pPr>
              <w:spacing w:after="0"/>
              <w:rPr>
                <w:sz w:val="15"/>
                <w:szCs w:val="15"/>
                <w:color w:val="auto"/>
              </w:rPr>
            </w:pPr>
          </w:p>
        </w:tc>
        <w:tc>
          <w:tcPr>
            <w:tcW w:w="17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6.3x</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94,621</w:t>
            </w:r>
          </w:p>
        </w:tc>
        <w:tc>
          <w:tcPr>
            <w:tcW w:w="2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4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3.1x - 21.3x (12.5x)</w:t>
            </w:r>
          </w:p>
        </w:tc>
        <w:tc>
          <w:tcPr>
            <w:tcW w:w="0" w:type="dxa"/>
            <w:vAlign w:val="bottom"/>
          </w:tcPr>
          <w:p>
            <w:pPr>
              <w:spacing w:after="0"/>
              <w:rPr>
                <w:sz w:val="1"/>
                <w:szCs w:val="1"/>
                <w:color w:val="auto"/>
              </w:rPr>
            </w:pPr>
          </w:p>
        </w:tc>
      </w:tr>
      <w:tr>
        <w:trPr>
          <w:trHeight w:val="175"/>
        </w:trPr>
        <w:tc>
          <w:tcPr>
            <w:tcW w:w="3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spacing w:after="0"/>
              <w:rPr>
                <w:sz w:val="15"/>
                <w:szCs w:val="15"/>
                <w:color w:val="auto"/>
              </w:rPr>
            </w:pPr>
          </w:p>
        </w:tc>
        <w:tc>
          <w:tcPr>
            <w:tcW w:w="1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260" w:type="dxa"/>
            <w:vAlign w:val="bottom"/>
            <w:tcBorders>
              <w:bottom w:val="single" w:sz="8" w:color="CCECFF"/>
            </w:tcBorders>
            <w:shd w:val="clear" w:color="auto" w:fill="CCECFF"/>
          </w:tcPr>
          <w:p>
            <w:pPr>
              <w:spacing w:after="0"/>
              <w:rPr>
                <w:sz w:val="15"/>
                <w:szCs w:val="15"/>
                <w:color w:val="auto"/>
              </w:rPr>
            </w:pPr>
          </w:p>
        </w:tc>
        <w:tc>
          <w:tcPr>
            <w:tcW w:w="17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40" w:type="dxa"/>
            <w:vAlign w:val="bottom"/>
            <w:tcBorders>
              <w:bottom w:val="single" w:sz="8" w:color="CCECFF"/>
            </w:tcBorders>
            <w:shd w:val="clear" w:color="auto" w:fill="CCECFF"/>
          </w:tcPr>
          <w:p>
            <w:pPr>
              <w:spacing w:after="0"/>
              <w:rPr>
                <w:sz w:val="15"/>
                <w:szCs w:val="15"/>
                <w:color w:val="auto"/>
              </w:rPr>
            </w:pPr>
          </w:p>
        </w:tc>
        <w:tc>
          <w:tcPr>
            <w:tcW w:w="2000" w:type="dxa"/>
            <w:vAlign w:val="bottom"/>
            <w:tcBorders>
              <w:bottom w:val="single" w:sz="8" w:color="CCECFF"/>
            </w:tcBorders>
            <w:shd w:val="clear" w:color="auto" w:fill="CCECFF"/>
          </w:tcPr>
          <w:p>
            <w:pPr>
              <w:jc w:val="center"/>
              <w:spacing w:after="0" w:line="175" w:lineRule="exact"/>
              <w:rPr>
                <w:sz w:val="20"/>
                <w:szCs w:val="20"/>
                <w:color w:val="auto"/>
              </w:rPr>
            </w:pPr>
            <w:r>
              <w:rPr>
                <w:rFonts w:ascii="Times New Roman" w:cs="Times New Roman" w:eastAsia="Times New Roman" w:hAnsi="Times New Roman"/>
                <w:sz w:val="14"/>
                <w:szCs w:val="14"/>
                <w:color w:val="auto"/>
                <w:w w:val="96"/>
              </w:rPr>
              <w:t>DLOM</w:t>
            </w:r>
            <w:r>
              <w:rPr>
                <w:rFonts w:ascii="Times New Roman" w:cs="Times New Roman" w:eastAsia="Times New Roman" w:hAnsi="Times New Roman"/>
                <w:sz w:val="19"/>
                <w:szCs w:val="19"/>
                <w:color w:val="auto"/>
                <w:w w:val="96"/>
                <w:vertAlign w:val="superscript"/>
              </w:rPr>
              <w:t>(2)</w:t>
            </w:r>
          </w:p>
        </w:tc>
        <w:tc>
          <w:tcPr>
            <w:tcW w:w="160" w:type="dxa"/>
            <w:vAlign w:val="bottom"/>
            <w:tcBorders>
              <w:bottom w:val="single" w:sz="8" w:color="CCECFF"/>
            </w:tcBorders>
            <w:shd w:val="clear" w:color="auto" w:fill="CCECFF"/>
          </w:tcPr>
          <w:p>
            <w:pPr>
              <w:spacing w:after="0"/>
              <w:rPr>
                <w:sz w:val="15"/>
                <w:szCs w:val="15"/>
                <w:color w:val="auto"/>
              </w:rPr>
            </w:pPr>
          </w:p>
        </w:tc>
        <w:tc>
          <w:tcPr>
            <w:tcW w:w="17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14.9x</w:t>
            </w:r>
          </w:p>
        </w:tc>
        <w:tc>
          <w:tcPr>
            <w:tcW w:w="0" w:type="dxa"/>
            <w:vAlign w:val="bottom"/>
          </w:tcPr>
          <w:p>
            <w:pPr>
              <w:spacing w:after="0"/>
              <w:rPr>
                <w:sz w:val="1"/>
                <w:szCs w:val="1"/>
                <w:color w:val="auto"/>
              </w:rPr>
            </w:pPr>
          </w:p>
        </w:tc>
      </w:tr>
      <w:tr>
        <w:trPr>
          <w:trHeight w:val="169"/>
        </w:trPr>
        <w:tc>
          <w:tcPr>
            <w:tcW w:w="3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Level 3 investments</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1,093,813</w:t>
            </w: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320" w:type="dxa"/>
            <w:vAlign w:val="bottom"/>
            <w:tcBorders>
              <w:bottom w:val="single" w:sz="8" w:color="CCECFF"/>
            </w:tcBorders>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Debt Category</w:t>
            </w:r>
          </w:p>
        </w:tc>
        <w:tc>
          <w:tcPr>
            <w:tcW w:w="14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1520" w:type="dxa"/>
            <w:vAlign w:val="bottom"/>
            <w:tcBorders>
              <w:bottom w:val="single" w:sz="8" w:color="auto"/>
            </w:tcBorders>
            <w:shd w:val="clear" w:color="auto" w:fill="CCECFF"/>
          </w:tcPr>
          <w:p>
            <w:pPr>
              <w:spacing w:after="0"/>
              <w:rPr>
                <w:sz w:val="17"/>
                <w:szCs w:val="17"/>
                <w:color w:val="auto"/>
              </w:rPr>
            </w:pPr>
          </w:p>
        </w:tc>
        <w:tc>
          <w:tcPr>
            <w:tcW w:w="260" w:type="dxa"/>
            <w:vAlign w:val="bottom"/>
            <w:tcBorders>
              <w:bottom w:val="single" w:sz="8" w:color="CCECFF"/>
            </w:tcBorders>
            <w:shd w:val="clear" w:color="auto" w:fill="CCECFF"/>
          </w:tcPr>
          <w:p>
            <w:pPr>
              <w:spacing w:after="0"/>
              <w:rPr>
                <w:sz w:val="17"/>
                <w:szCs w:val="17"/>
                <w:color w:val="auto"/>
              </w:rPr>
            </w:pPr>
          </w:p>
        </w:tc>
        <w:tc>
          <w:tcPr>
            <w:tcW w:w="178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CCECFF"/>
            </w:tcBorders>
            <w:shd w:val="clear" w:color="auto" w:fill="CCECFF"/>
          </w:tcPr>
          <w:p>
            <w:pPr>
              <w:spacing w:after="0"/>
              <w:rPr>
                <w:sz w:val="17"/>
                <w:szCs w:val="17"/>
                <w:color w:val="auto"/>
              </w:rPr>
            </w:pPr>
          </w:p>
        </w:tc>
        <w:tc>
          <w:tcPr>
            <w:tcW w:w="200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176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32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Long-Term Credit Facility</w:t>
            </w:r>
          </w:p>
        </w:tc>
        <w:tc>
          <w:tcPr>
            <w:tcW w:w="140" w:type="dxa"/>
            <w:vAlign w:val="bottom"/>
            <w:tcBorders>
              <w:top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197,688</w:t>
            </w:r>
          </w:p>
        </w:tc>
        <w:tc>
          <w:tcPr>
            <w:tcW w:w="260" w:type="dxa"/>
            <w:vAlign w:val="bottom"/>
            <w:tcBorders>
              <w:top w:val="single" w:sz="8" w:color="CCECFF"/>
            </w:tcBorders>
          </w:tcPr>
          <w:p>
            <w:pPr>
              <w:spacing w:after="0"/>
              <w:rPr>
                <w:sz w:val="13"/>
                <w:szCs w:val="13"/>
                <w:color w:val="auto"/>
              </w:rPr>
            </w:pPr>
          </w:p>
        </w:tc>
        <w:tc>
          <w:tcPr>
            <w:tcW w:w="1780" w:type="dxa"/>
            <w:vAlign w:val="bottom"/>
            <w:tcBorders>
              <w:top w:val="single" w:sz="8" w:color="CCECFF"/>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40" w:type="dxa"/>
            <w:vAlign w:val="bottom"/>
            <w:tcBorders>
              <w:top w:val="single" w:sz="8" w:color="CCECFF"/>
            </w:tcBorders>
          </w:tcPr>
          <w:p>
            <w:pPr>
              <w:spacing w:after="0"/>
              <w:rPr>
                <w:sz w:val="13"/>
                <w:szCs w:val="13"/>
                <w:color w:val="auto"/>
              </w:rPr>
            </w:pPr>
          </w:p>
        </w:tc>
        <w:tc>
          <w:tcPr>
            <w:tcW w:w="2000" w:type="dxa"/>
            <w:vAlign w:val="bottom"/>
            <w:tcBorders>
              <w:top w:val="single" w:sz="8" w:color="CCECFF"/>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Yield</w:t>
            </w:r>
          </w:p>
        </w:tc>
        <w:tc>
          <w:tcPr>
            <w:tcW w:w="1920" w:type="dxa"/>
            <w:vAlign w:val="bottom"/>
            <w:tcBorders>
              <w:top w:val="single" w:sz="8" w:color="CCECFF"/>
            </w:tcBorders>
            <w:gridSpan w:val="2"/>
          </w:tcPr>
          <w:p>
            <w:pPr>
              <w:jc w:val="center"/>
              <w:ind w:left="68"/>
              <w:spacing w:after="0" w:line="155"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-419735</wp:posOffset>
            </wp:positionV>
            <wp:extent cx="77470" cy="146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-162560</wp:posOffset>
            </wp:positionV>
            <wp:extent cx="1234440" cy="163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34440" cy="16319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____________________________________________</w:t>
      </w:r>
    </w:p>
    <w:p>
      <w:pPr>
        <w:ind w:left="380" w:hanging="372"/>
        <w:spacing w:after="0"/>
        <w:tabs>
          <w:tab w:leader="none" w:pos="38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line="33" w:lineRule="exact"/>
        <w:rPr>
          <w:rFonts w:ascii="Times New Roman" w:cs="Times New Roman" w:eastAsia="Times New Roman" w:hAnsi="Times New Roman"/>
          <w:sz w:val="14"/>
          <w:szCs w:val="14"/>
          <w:color w:val="auto"/>
          <w:vertAlign w:val="superscript"/>
        </w:rPr>
      </w:pPr>
    </w:p>
    <w:p>
      <w:pPr>
        <w:ind w:left="380" w:hanging="372"/>
        <w:spacing w:after="0" w:line="191" w:lineRule="auto"/>
        <w:tabs>
          <w:tab w:leader="none" w:pos="38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DLOM is defined as discount for lack of marketability.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Fair value at September</w:t>
            </w:r>
          </w:p>
        </w:tc>
        <w:tc>
          <w:tcPr>
            <w:tcW w:w="26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3"/>
                <w:szCs w:val="13"/>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0" w:type="dxa"/>
            <w:vAlign w:val="bottom"/>
          </w:tcPr>
          <w:p>
            <w:pPr>
              <w:spacing w:after="0"/>
              <w:rPr>
                <w:sz w:val="1"/>
                <w:szCs w:val="1"/>
                <w:color w:val="auto"/>
              </w:rPr>
            </w:pPr>
          </w:p>
        </w:tc>
      </w:tr>
      <w:tr>
        <w:trPr>
          <w:trHeight w:val="189"/>
        </w:trPr>
        <w:tc>
          <w:tcPr>
            <w:tcW w:w="332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260" w:type="dxa"/>
            <w:vAlign w:val="bottom"/>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9"/>
              </w:rPr>
              <w:t xml:space="preserve">(Weighted Average) </w:t>
            </w:r>
            <w:r>
              <w:rPr>
                <w:rFonts w:ascii="Times New Roman" w:cs="Times New Roman" w:eastAsia="Times New Roman" w:hAnsi="Times New Roman"/>
                <w:sz w:val="19"/>
                <w:szCs w:val="19"/>
                <w:b w:val="1"/>
                <w:bCs w:val="1"/>
                <w:color w:val="auto"/>
                <w:w w:val="99"/>
                <w:vertAlign w:val="superscript"/>
              </w:rPr>
              <w:t>(1)</w:t>
            </w:r>
          </w:p>
        </w:tc>
        <w:tc>
          <w:tcPr>
            <w:tcW w:w="0" w:type="dxa"/>
            <w:vAlign w:val="bottom"/>
          </w:tcPr>
          <w:p>
            <w:pPr>
              <w:spacing w:after="0"/>
              <w:rPr>
                <w:sz w:val="1"/>
                <w:szCs w:val="1"/>
                <w:color w:val="auto"/>
              </w:rPr>
            </w:pPr>
          </w:p>
        </w:tc>
      </w:tr>
      <w:tr>
        <w:trPr>
          <w:trHeight w:val="133"/>
        </w:trPr>
        <w:tc>
          <w:tcPr>
            <w:tcW w:w="3320" w:type="dxa"/>
            <w:vAlign w:val="bottom"/>
            <w:gridSpan w:val="2"/>
            <w:shd w:val="clear" w:color="auto" w:fill="CCECFF"/>
          </w:tcPr>
          <w:p>
            <w:pPr>
              <w:ind w:left="20"/>
              <w:spacing w:after="0" w:line="133" w:lineRule="exact"/>
              <w:rPr>
                <w:sz w:val="20"/>
                <w:szCs w:val="20"/>
                <w:color w:val="auto"/>
              </w:rPr>
            </w:pPr>
            <w:r>
              <w:rPr>
                <w:rFonts w:ascii="Times New Roman" w:cs="Times New Roman" w:eastAsia="Times New Roman" w:hAnsi="Times New Roman"/>
                <w:sz w:val="14"/>
                <w:szCs w:val="14"/>
                <w:color w:val="auto"/>
              </w:rPr>
              <w:t>First lien</w:t>
            </w:r>
          </w:p>
        </w:tc>
        <w:tc>
          <w:tcPr>
            <w:tcW w:w="24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70,363</w:t>
            </w:r>
          </w:p>
        </w:tc>
        <w:tc>
          <w:tcPr>
            <w:tcW w:w="260" w:type="dxa"/>
            <w:vAlign w:val="bottom"/>
            <w:shd w:val="clear" w:color="auto" w:fill="CCECFF"/>
          </w:tcPr>
          <w:p>
            <w:pPr>
              <w:spacing w:after="0"/>
              <w:rPr>
                <w:sz w:val="11"/>
                <w:szCs w:val="11"/>
                <w:color w:val="auto"/>
              </w:rPr>
            </w:pPr>
          </w:p>
        </w:tc>
        <w:tc>
          <w:tcPr>
            <w:tcW w:w="17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1"/>
                <w:szCs w:val="11"/>
                <w:color w:val="auto"/>
              </w:rPr>
            </w:pPr>
          </w:p>
        </w:tc>
        <w:tc>
          <w:tcPr>
            <w:tcW w:w="1900" w:type="dxa"/>
            <w:vAlign w:val="bottom"/>
            <w:shd w:val="clear" w:color="auto" w:fill="CCECFF"/>
          </w:tcPr>
          <w:p>
            <w:pPr>
              <w:jc w:val="center"/>
              <w:spacing w:after="0" w:line="133" w:lineRule="exact"/>
              <w:rPr>
                <w:sz w:val="20"/>
                <w:szCs w:val="20"/>
                <w:color w:val="auto"/>
              </w:rPr>
            </w:pPr>
            <w:r>
              <w:rPr>
                <w:rFonts w:ascii="Times New Roman" w:cs="Times New Roman" w:eastAsia="Times New Roman" w:hAnsi="Times New Roman"/>
                <w:sz w:val="14"/>
                <w:szCs w:val="14"/>
                <w:color w:val="auto"/>
              </w:rPr>
              <w:t>Broker/Dealer bids</w:t>
            </w:r>
          </w:p>
        </w:tc>
        <w:tc>
          <w:tcPr>
            <w:tcW w:w="160" w:type="dxa"/>
            <w:vAlign w:val="bottom"/>
            <w:shd w:val="clear" w:color="auto" w:fill="CCECFF"/>
          </w:tcPr>
          <w:p>
            <w:pPr>
              <w:spacing w:after="0"/>
              <w:rPr>
                <w:sz w:val="11"/>
                <w:szCs w:val="11"/>
                <w:color w:val="auto"/>
              </w:rPr>
            </w:pPr>
          </w:p>
        </w:tc>
        <w:tc>
          <w:tcPr>
            <w:tcW w:w="1780" w:type="dxa"/>
            <w:vAlign w:val="bottom"/>
            <w:vMerge w:val="restart"/>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5"/>
        </w:trPr>
        <w:tc>
          <w:tcPr>
            <w:tcW w:w="2700" w:type="dxa"/>
            <w:vAlign w:val="bottom"/>
            <w:shd w:val="clear" w:color="auto" w:fill="CCECFF"/>
          </w:tcPr>
          <w:p>
            <w:pPr>
              <w:spacing w:after="0"/>
              <w:rPr>
                <w:sz w:val="16"/>
                <w:szCs w:val="16"/>
                <w:color w:val="auto"/>
              </w:rPr>
            </w:pPr>
          </w:p>
        </w:tc>
        <w:tc>
          <w:tcPr>
            <w:tcW w:w="620" w:type="dxa"/>
            <w:vAlign w:val="bottom"/>
            <w:shd w:val="clear" w:color="auto" w:fill="CCECFF"/>
          </w:tcPr>
          <w:p>
            <w:pPr>
              <w:spacing w:after="0"/>
              <w:rPr>
                <w:sz w:val="16"/>
                <w:szCs w:val="16"/>
                <w:color w:val="auto"/>
              </w:rPr>
            </w:pPr>
          </w:p>
        </w:tc>
        <w:tc>
          <w:tcPr>
            <w:tcW w:w="240" w:type="dxa"/>
            <w:vAlign w:val="bottom"/>
            <w:gridSpan w:val="2"/>
            <w:vMerge w:val="continue"/>
            <w:shd w:val="clear" w:color="auto" w:fill="CCECFF"/>
          </w:tcPr>
          <w:p>
            <w:pPr>
              <w:spacing w:after="0"/>
              <w:rPr>
                <w:sz w:val="16"/>
                <w:szCs w:val="16"/>
                <w:color w:val="auto"/>
              </w:rPr>
            </w:pPr>
          </w:p>
        </w:tc>
        <w:tc>
          <w:tcPr>
            <w:tcW w:w="1640" w:type="dxa"/>
            <w:vAlign w:val="bottom"/>
            <w:vMerge w:val="continue"/>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780" w:type="dxa"/>
            <w:vAlign w:val="bottom"/>
            <w:vMerge w:val="continue"/>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or quotes</w:t>
            </w:r>
          </w:p>
        </w:tc>
        <w:tc>
          <w:tcPr>
            <w:tcW w:w="160" w:type="dxa"/>
            <w:vAlign w:val="bottom"/>
            <w:shd w:val="clear" w:color="auto" w:fill="CCECFF"/>
          </w:tcPr>
          <w:p>
            <w:pPr>
              <w:spacing w:after="0"/>
              <w:rPr>
                <w:sz w:val="16"/>
                <w:szCs w:val="16"/>
                <w:color w:val="auto"/>
              </w:rPr>
            </w:pPr>
          </w:p>
        </w:tc>
        <w:tc>
          <w:tcPr>
            <w:tcW w:w="1780" w:type="dxa"/>
            <w:vAlign w:val="bottom"/>
            <w:vMerge w:val="continue"/>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930,806</w:t>
            </w:r>
          </w:p>
        </w:tc>
        <w:tc>
          <w:tcPr>
            <w:tcW w:w="2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9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8.2% - 21% (10.9%)</w:t>
            </w:r>
          </w:p>
        </w:tc>
        <w:tc>
          <w:tcPr>
            <w:tcW w:w="0" w:type="dxa"/>
            <w:vAlign w:val="bottom"/>
          </w:tcPr>
          <w:p>
            <w:pPr>
              <w:spacing w:after="0"/>
              <w:rPr>
                <w:sz w:val="1"/>
                <w:szCs w:val="1"/>
                <w:color w:val="auto"/>
              </w:rPr>
            </w:pPr>
          </w:p>
        </w:tc>
      </w:tr>
      <w:tr>
        <w:trPr>
          <w:trHeight w:val="175"/>
        </w:trPr>
        <w:tc>
          <w:tcPr>
            <w:tcW w:w="33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8,473</w:t>
            </w: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shd w:val="clear" w:color="auto" w:fill="CCECFF"/>
          </w:tcPr>
          <w:p>
            <w:pPr>
              <w:spacing w:after="0"/>
              <w:rPr>
                <w:sz w:val="15"/>
                <w:szCs w:val="15"/>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940" w:type="dxa"/>
            <w:vAlign w:val="bottom"/>
            <w:gridSpan w:val="2"/>
            <w:shd w:val="clear" w:color="auto" w:fill="CCECFF"/>
          </w:tcPr>
          <w:p>
            <w:pPr>
              <w:jc w:val="center"/>
              <w:ind w:left="88"/>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75"/>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9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0.147</w:t>
            </w:r>
          </w:p>
        </w:tc>
        <w:tc>
          <w:tcPr>
            <w:tcW w:w="0" w:type="dxa"/>
            <w:vAlign w:val="bottom"/>
          </w:tcPr>
          <w:p>
            <w:pPr>
              <w:spacing w:after="0"/>
              <w:rPr>
                <w:sz w:val="1"/>
                <w:szCs w:val="1"/>
                <w:color w:val="auto"/>
              </w:rPr>
            </w:pPr>
          </w:p>
        </w:tc>
      </w:tr>
      <w:tr>
        <w:trPr>
          <w:trHeight w:val="176"/>
        </w:trPr>
        <w:tc>
          <w:tcPr>
            <w:tcW w:w="33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shd w:val="clear" w:color="auto" w:fill="CCECFF"/>
          </w:tcPr>
          <w:p>
            <w:pPr>
              <w:spacing w:after="0"/>
              <w:rPr>
                <w:sz w:val="15"/>
                <w:szCs w:val="15"/>
                <w:color w:val="auto"/>
              </w:rPr>
            </w:pPr>
          </w:p>
        </w:tc>
        <w:tc>
          <w:tcPr>
            <w:tcW w:w="1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shd w:val="clear" w:color="auto" w:fill="CCECFF"/>
          </w:tcPr>
          <w:p>
            <w:pPr>
              <w:spacing w:after="0"/>
              <w:rPr>
                <w:sz w:val="15"/>
                <w:szCs w:val="15"/>
                <w:color w:val="auto"/>
              </w:rPr>
            </w:pPr>
          </w:p>
        </w:tc>
        <w:tc>
          <w:tcPr>
            <w:tcW w:w="17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6.0x</w:t>
            </w:r>
          </w:p>
        </w:tc>
        <w:tc>
          <w:tcPr>
            <w:tcW w:w="0" w:type="dxa"/>
            <w:vAlign w:val="bottom"/>
          </w:tcPr>
          <w:p>
            <w:pPr>
              <w:spacing w:after="0"/>
              <w:rPr>
                <w:sz w:val="1"/>
                <w:szCs w:val="1"/>
                <w:color w:val="auto"/>
              </w:rPr>
            </w:pPr>
          </w:p>
        </w:tc>
      </w:tr>
      <w:tr>
        <w:trPr>
          <w:trHeight w:val="175"/>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89,906</w:t>
            </w:r>
          </w:p>
        </w:tc>
        <w:tc>
          <w:tcPr>
            <w:tcW w:w="2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3.3x - 21.4x (12.5x)</w:t>
            </w:r>
          </w:p>
        </w:tc>
        <w:tc>
          <w:tcPr>
            <w:tcW w:w="0" w:type="dxa"/>
            <w:vAlign w:val="bottom"/>
          </w:tcPr>
          <w:p>
            <w:pPr>
              <w:spacing w:after="0"/>
              <w:rPr>
                <w:sz w:val="1"/>
                <w:szCs w:val="1"/>
                <w:color w:val="auto"/>
              </w:rPr>
            </w:pPr>
          </w:p>
        </w:tc>
      </w:tr>
      <w:tr>
        <w:trPr>
          <w:trHeight w:val="175"/>
        </w:trPr>
        <w:tc>
          <w:tcPr>
            <w:tcW w:w="33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Borders>
              <w:bottom w:val="single" w:sz="8" w:color="CCECFF"/>
            </w:tcBorders>
            <w:shd w:val="clear" w:color="auto" w:fill="CCECFF"/>
          </w:tcPr>
          <w:p>
            <w:pPr>
              <w:spacing w:after="0"/>
              <w:rPr>
                <w:sz w:val="15"/>
                <w:szCs w:val="15"/>
                <w:color w:val="auto"/>
              </w:rPr>
            </w:pPr>
          </w:p>
        </w:tc>
        <w:tc>
          <w:tcPr>
            <w:tcW w:w="80" w:type="dxa"/>
            <w:vAlign w:val="bottom"/>
            <w:tcBorders>
              <w:bottom w:val="single" w:sz="8" w:color="auto"/>
            </w:tcBorders>
            <w:shd w:val="clear" w:color="auto" w:fill="CCECFF"/>
          </w:tcPr>
          <w:p>
            <w:pPr>
              <w:spacing w:after="0"/>
              <w:rPr>
                <w:sz w:val="15"/>
                <w:szCs w:val="15"/>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5,232</w:t>
            </w:r>
          </w:p>
        </w:tc>
        <w:tc>
          <w:tcPr>
            <w:tcW w:w="260" w:type="dxa"/>
            <w:vAlign w:val="bottom"/>
            <w:tcBorders>
              <w:bottom w:val="single" w:sz="8" w:color="CCECFF"/>
            </w:tcBorders>
            <w:shd w:val="clear" w:color="auto" w:fill="CCECFF"/>
          </w:tcPr>
          <w:p>
            <w:pPr>
              <w:spacing w:after="0"/>
              <w:rPr>
                <w:sz w:val="15"/>
                <w:szCs w:val="15"/>
                <w:color w:val="auto"/>
              </w:rPr>
            </w:pPr>
          </w:p>
        </w:tc>
        <w:tc>
          <w:tcPr>
            <w:tcW w:w="178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Borders>
              <w:bottom w:val="single" w:sz="8" w:color="CCECFF"/>
            </w:tcBorders>
            <w:shd w:val="clear" w:color="auto" w:fill="CCECFF"/>
          </w:tcPr>
          <w:p>
            <w:pPr>
              <w:spacing w:after="0"/>
              <w:rPr>
                <w:sz w:val="15"/>
                <w:szCs w:val="15"/>
                <w:color w:val="auto"/>
              </w:rPr>
            </w:pPr>
          </w:p>
        </w:tc>
        <w:tc>
          <w:tcPr>
            <w:tcW w:w="1900" w:type="dxa"/>
            <w:vAlign w:val="bottom"/>
            <w:tcBorders>
              <w:bottom w:val="single" w:sz="8" w:color="CCECFF"/>
            </w:tcBorders>
            <w:shd w:val="clear" w:color="auto" w:fill="CCECFF"/>
          </w:tcPr>
          <w:p>
            <w:pPr>
              <w:jc w:val="center"/>
              <w:spacing w:after="0" w:line="175" w:lineRule="exact"/>
              <w:rPr>
                <w:sz w:val="20"/>
                <w:szCs w:val="20"/>
                <w:color w:val="auto"/>
              </w:rPr>
            </w:pPr>
            <w:r>
              <w:rPr>
                <w:rFonts w:ascii="Times New Roman" w:cs="Times New Roman" w:eastAsia="Times New Roman" w:hAnsi="Times New Roman"/>
                <w:sz w:val="14"/>
                <w:szCs w:val="14"/>
                <w:color w:val="auto"/>
                <w:w w:val="96"/>
              </w:rPr>
              <w:t>DLOM</w:t>
            </w:r>
            <w:r>
              <w:rPr>
                <w:rFonts w:ascii="Times New Roman" w:cs="Times New Roman" w:eastAsia="Times New Roman" w:hAnsi="Times New Roman"/>
                <w:sz w:val="19"/>
                <w:szCs w:val="19"/>
                <w:color w:val="auto"/>
                <w:w w:val="96"/>
                <w:vertAlign w:val="superscript"/>
              </w:rPr>
              <w:t>(2)</w:t>
            </w:r>
          </w:p>
        </w:tc>
        <w:tc>
          <w:tcPr>
            <w:tcW w:w="1940" w:type="dxa"/>
            <w:vAlign w:val="bottom"/>
            <w:tcBorders>
              <w:bottom w:val="single" w:sz="8" w:color="CCECFF"/>
            </w:tcBorders>
            <w:gridSpan w:val="2"/>
            <w:shd w:val="clear" w:color="auto" w:fill="CCECFF"/>
          </w:tcPr>
          <w:p>
            <w:pPr>
              <w:jc w:val="center"/>
              <w:ind w:left="88"/>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69"/>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Level 3 investments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1,104,927</w:t>
            </w: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320" w:type="dxa"/>
            <w:vAlign w:val="bottom"/>
            <w:tcBorders>
              <w:bottom w:val="single" w:sz="8" w:color="CCECFF"/>
            </w:tcBorders>
            <w:gridSpan w:val="2"/>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Debt Category</w:t>
            </w:r>
          </w:p>
        </w:tc>
        <w:tc>
          <w:tcPr>
            <w:tcW w:w="160" w:type="dxa"/>
            <w:vAlign w:val="bottom"/>
            <w:tcBorders>
              <w:bottom w:val="single" w:sz="8" w:color="CCECFF"/>
            </w:tcBorders>
            <w:shd w:val="clear" w:color="auto" w:fill="CCECFF"/>
          </w:tcPr>
          <w:p>
            <w:pPr>
              <w:spacing w:after="0"/>
              <w:rPr>
                <w:sz w:val="17"/>
                <w:szCs w:val="17"/>
                <w:color w:val="auto"/>
              </w:rPr>
            </w:pPr>
          </w:p>
        </w:tc>
        <w:tc>
          <w:tcPr>
            <w:tcW w:w="80" w:type="dxa"/>
            <w:vAlign w:val="bottom"/>
            <w:tcBorders>
              <w:bottom w:val="single" w:sz="8" w:color="auto"/>
            </w:tcBorders>
            <w:shd w:val="clear" w:color="auto" w:fill="CCECFF"/>
          </w:tcPr>
          <w:p>
            <w:pPr>
              <w:spacing w:after="0"/>
              <w:rPr>
                <w:sz w:val="17"/>
                <w:szCs w:val="17"/>
                <w:color w:val="auto"/>
              </w:rPr>
            </w:pPr>
          </w:p>
        </w:tc>
        <w:tc>
          <w:tcPr>
            <w:tcW w:w="1640" w:type="dxa"/>
            <w:vAlign w:val="bottom"/>
            <w:tcBorders>
              <w:bottom w:val="single" w:sz="8" w:color="auto"/>
            </w:tcBorders>
            <w:shd w:val="clear" w:color="auto" w:fill="CCECFF"/>
          </w:tcPr>
          <w:p>
            <w:pPr>
              <w:spacing w:after="0"/>
              <w:rPr>
                <w:sz w:val="17"/>
                <w:szCs w:val="17"/>
                <w:color w:val="auto"/>
              </w:rPr>
            </w:pPr>
          </w:p>
        </w:tc>
        <w:tc>
          <w:tcPr>
            <w:tcW w:w="260" w:type="dxa"/>
            <w:vAlign w:val="bottom"/>
            <w:tcBorders>
              <w:bottom w:val="single" w:sz="8" w:color="CCECFF"/>
            </w:tcBorders>
            <w:shd w:val="clear" w:color="auto" w:fill="CCECFF"/>
          </w:tcPr>
          <w:p>
            <w:pPr>
              <w:spacing w:after="0"/>
              <w:rPr>
                <w:sz w:val="17"/>
                <w:szCs w:val="17"/>
                <w:color w:val="auto"/>
              </w:rPr>
            </w:pPr>
          </w:p>
        </w:tc>
        <w:tc>
          <w:tcPr>
            <w:tcW w:w="178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190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17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32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color w:val="auto"/>
              </w:rPr>
              <w:t>Long-Term Credit Facility</w:t>
            </w:r>
          </w:p>
        </w:tc>
        <w:tc>
          <w:tcPr>
            <w:tcW w:w="160" w:type="dxa"/>
            <w:vAlign w:val="bottom"/>
            <w:tcBorders>
              <w:top w:val="single" w:sz="8" w:color="CCEC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167,563</w:t>
            </w:r>
          </w:p>
        </w:tc>
        <w:tc>
          <w:tcPr>
            <w:tcW w:w="260" w:type="dxa"/>
            <w:vAlign w:val="bottom"/>
            <w:tcBorders>
              <w:top w:val="single" w:sz="8" w:color="CCECFF"/>
            </w:tcBorders>
          </w:tcPr>
          <w:p>
            <w:pPr>
              <w:spacing w:after="0"/>
              <w:rPr>
                <w:sz w:val="13"/>
                <w:szCs w:val="13"/>
                <w:color w:val="auto"/>
              </w:rPr>
            </w:pPr>
          </w:p>
        </w:tc>
        <w:tc>
          <w:tcPr>
            <w:tcW w:w="1780" w:type="dxa"/>
            <w:vAlign w:val="bottom"/>
            <w:tcBorders>
              <w:top w:val="single" w:sz="8" w:color="CCECFF"/>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Borders>
              <w:top w:val="single" w:sz="8" w:color="CCECFF"/>
            </w:tcBorders>
          </w:tcPr>
          <w:p>
            <w:pPr>
              <w:spacing w:after="0"/>
              <w:rPr>
                <w:sz w:val="13"/>
                <w:szCs w:val="13"/>
                <w:color w:val="auto"/>
              </w:rPr>
            </w:pPr>
          </w:p>
        </w:tc>
        <w:tc>
          <w:tcPr>
            <w:tcW w:w="1900" w:type="dxa"/>
            <w:vAlign w:val="bottom"/>
            <w:tcBorders>
              <w:top w:val="single" w:sz="8" w:color="CCECFF"/>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Yield</w:t>
            </w:r>
          </w:p>
        </w:tc>
        <w:tc>
          <w:tcPr>
            <w:tcW w:w="1940" w:type="dxa"/>
            <w:vAlign w:val="bottom"/>
            <w:tcBorders>
              <w:top w:val="single" w:sz="8" w:color="CCECFF"/>
            </w:tcBorders>
            <w:gridSpan w:val="2"/>
          </w:tcPr>
          <w:p>
            <w:pPr>
              <w:jc w:val="center"/>
              <w:ind w:left="88"/>
              <w:spacing w:after="0" w:line="155"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70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-462280</wp:posOffset>
            </wp:positionV>
            <wp:extent cx="6858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-205105</wp:posOffset>
            </wp:positionV>
            <wp:extent cx="1251585" cy="162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51585" cy="162560"/>
                    </a:xfrm>
                    <a:prstGeom prst="rect">
                      <a:avLst/>
                    </a:prstGeom>
                    <a:noFill/>
                  </pic:spPr>
                </pic:pic>
              </a:graphicData>
            </a:graphic>
          </wp:anchor>
        </w:drawing>
      </w:r>
    </w:p>
    <w:p>
      <w:pPr>
        <w:ind w:left="380" w:hanging="372"/>
        <w:spacing w:after="0"/>
        <w:tabs>
          <w:tab w:leader="none" w:pos="380"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weighted averages disclosed in the table above were weighted by their relative fair value.</w:t>
      </w:r>
    </w:p>
    <w:p>
      <w:pPr>
        <w:spacing w:after="0" w:line="33" w:lineRule="exact"/>
        <w:rPr>
          <w:rFonts w:ascii="Times New Roman" w:cs="Times New Roman" w:eastAsia="Times New Roman" w:hAnsi="Times New Roman"/>
          <w:sz w:val="14"/>
          <w:szCs w:val="14"/>
          <w:color w:val="auto"/>
          <w:vertAlign w:val="superscript"/>
        </w:rPr>
      </w:pPr>
    </w:p>
    <w:p>
      <w:pPr>
        <w:ind w:left="380" w:hanging="372"/>
        <w:spacing w:after="0" w:line="191" w:lineRule="auto"/>
        <w:tabs>
          <w:tab w:leader="none" w:pos="380"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DLOM is defined as discount for lack of marketability.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Our investments, cash and cash equivalents, Credit Facility or Prior Credit Facility, as applicable, 2023 Notes, 2026 Notes and 2031 Asset-Backed Debt were categorized as follows in the fair value hierarchy for ASC 820 purposes ($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Fair Value at December 31, 2022</w:t>
            </w: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1"/>
                <w:szCs w:val="11"/>
                <w:color w:val="auto"/>
              </w:rPr>
            </w:pPr>
          </w:p>
        </w:tc>
        <w:tc>
          <w:tcPr>
            <w:tcW w:w="10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14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2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998,209</w:t>
            </w:r>
          </w:p>
        </w:tc>
        <w:tc>
          <w:tcPr>
            <w:tcW w:w="24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998,209</w:t>
            </w:r>
          </w:p>
        </w:tc>
        <w:tc>
          <w:tcPr>
            <w:tcW w:w="22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0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152,781</w:t>
            </w:r>
          </w:p>
        </w:tc>
        <w:tc>
          <w:tcPr>
            <w:tcW w:w="24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95,458</w:t>
            </w:r>
          </w:p>
        </w:tc>
        <w:tc>
          <w:tcPr>
            <w:tcW w:w="2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57,323</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investments</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1,151,137</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1,093,814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52,935</w:t>
            </w:r>
          </w:p>
        </w:tc>
        <w:tc>
          <w:tcPr>
            <w:tcW w:w="24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52,935</w:t>
            </w:r>
          </w:p>
        </w:tc>
        <w:tc>
          <w:tcPr>
            <w:tcW w:w="24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1,204,072</w:t>
            </w:r>
          </w:p>
        </w:tc>
        <w:tc>
          <w:tcPr>
            <w:tcW w:w="24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52,935</w:t>
            </w:r>
          </w:p>
        </w:tc>
        <w:tc>
          <w:tcPr>
            <w:tcW w:w="24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1,093,814</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40" w:type="dxa"/>
            <w:vAlign w:val="bottom"/>
            <w:gridSpan w:val="2"/>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Credit Facility payable</w:t>
            </w:r>
          </w:p>
        </w:tc>
        <w:tc>
          <w:tcPr>
            <w:tcW w:w="200" w:type="dxa"/>
            <w:vAlign w:val="bottom"/>
            <w:tcBorders>
              <w:top w:val="single" w:sz="8" w:color="auto"/>
            </w:tcBorders>
            <w:shd w:val="clear" w:color="auto" w:fill="CCECFF"/>
          </w:tcPr>
          <w:p>
            <w:pPr>
              <w:jc w:val="right"/>
              <w:ind w:right="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197,688</w:t>
            </w:r>
          </w:p>
        </w:tc>
        <w:tc>
          <w:tcPr>
            <w:tcW w:w="240" w:type="dxa"/>
            <w:vAlign w:val="bottom"/>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197,688</w:t>
            </w:r>
          </w:p>
        </w:tc>
        <w:tc>
          <w:tcPr>
            <w:tcW w:w="220" w:type="dxa"/>
            <w:vAlign w:val="bottom"/>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2023 Notes payable</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73,833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73,833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gridSpan w:val="2"/>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2026 Notes payable </w:t>
            </w:r>
            <w:r>
              <w:rPr>
                <w:rFonts w:ascii="Times New Roman" w:cs="Times New Roman" w:eastAsia="Times New Roman" w:hAnsi="Times New Roman"/>
                <w:sz w:val="19"/>
                <w:szCs w:val="19"/>
                <w:color w:val="auto"/>
                <w:vertAlign w:val="superscript"/>
              </w:rPr>
              <w:t>(2)</w:t>
            </w:r>
          </w:p>
        </w:tc>
        <w:tc>
          <w:tcPr>
            <w:tcW w:w="20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182,471</w:t>
            </w: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182,471</w:t>
            </w:r>
          </w:p>
        </w:tc>
        <w:tc>
          <w:tcPr>
            <w:tcW w:w="2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2031 Asset-Backed Debt</w:t>
            </w:r>
            <w:r>
              <w:rPr>
                <w:rFonts w:ascii="Times New Roman" w:cs="Times New Roman" w:eastAsia="Times New Roman" w:hAnsi="Times New Roman"/>
                <w:sz w:val="19"/>
                <w:szCs w:val="19"/>
                <w:color w:val="auto"/>
                <w:vertAlign w:val="superscript"/>
              </w:rPr>
              <w:t>(2)</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226,286</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226,286</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40" w:type="dxa"/>
            <w:vAlign w:val="bottom"/>
            <w:tcBorders>
              <w:bottom w:val="single" w:sz="8" w:color="CCECFF"/>
            </w:tcBorders>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debt</w:t>
            </w:r>
          </w:p>
        </w:tc>
        <w:tc>
          <w:tcPr>
            <w:tcW w:w="200" w:type="dxa"/>
            <w:vAlign w:val="bottom"/>
            <w:tcBorders>
              <w:bottom w:val="single" w:sz="8" w:color="auto"/>
            </w:tcBorders>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680,278</w:t>
            </w:r>
          </w:p>
        </w:tc>
        <w:tc>
          <w:tcPr>
            <w:tcW w:w="2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73,833</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182,471</w:t>
            </w:r>
          </w:p>
        </w:tc>
        <w:tc>
          <w:tcPr>
            <w:tcW w:w="2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423,974</w:t>
            </w:r>
          </w:p>
        </w:tc>
        <w:tc>
          <w:tcPr>
            <w:tcW w:w="22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-976630</wp:posOffset>
            </wp:positionV>
            <wp:extent cx="7683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-976630</wp:posOffset>
            </wp:positionV>
            <wp:extent cx="7683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-976630</wp:posOffset>
            </wp:positionV>
            <wp:extent cx="68580"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-976630</wp:posOffset>
            </wp:positionV>
            <wp:extent cx="68580"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-736600</wp:posOffset>
            </wp:positionV>
            <wp:extent cx="76835"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-736600</wp:posOffset>
            </wp:positionV>
            <wp:extent cx="76835" cy="145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-736600</wp:posOffset>
            </wp:positionV>
            <wp:extent cx="68580"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-736600</wp:posOffset>
            </wp:positionV>
            <wp:extent cx="68580" cy="145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-25400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-25400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8" w:lineRule="exact"/>
        <w:rPr>
          <w:sz w:val="20"/>
          <w:szCs w:val="20"/>
          <w:color w:val="auto"/>
        </w:rPr>
      </w:pPr>
    </w:p>
    <w:p>
      <w:pPr>
        <w:ind w:left="380" w:right="360" w:hanging="372"/>
        <w:spacing w:after="0" w:line="212" w:lineRule="auto"/>
        <w:tabs>
          <w:tab w:leader="none" w:pos="38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 accordance with ASC Subtopic 820-10, Fair Value Measurements and Disclosures, or ASC 820-10, our equity investment in PSSL and PTSF are measured using the net asset value per share (or its equivalent) as a practical expedient for fair value, and thus have not been classified in the fair value hierarchy.</w:t>
      </w:r>
    </w:p>
    <w:p>
      <w:pPr>
        <w:spacing w:after="0" w:line="12" w:lineRule="exact"/>
        <w:rPr>
          <w:rFonts w:ascii="Times New Roman" w:cs="Times New Roman" w:eastAsia="Times New Roman" w:hAnsi="Times New Roman"/>
          <w:sz w:val="16"/>
          <w:szCs w:val="16"/>
          <w:color w:val="auto"/>
          <w:vertAlign w:val="superscript"/>
        </w:rPr>
      </w:pPr>
    </w:p>
    <w:p>
      <w:pPr>
        <w:ind w:left="380" w:right="100" w:hanging="372"/>
        <w:spacing w:after="0" w:line="212" w:lineRule="auto"/>
        <w:tabs>
          <w:tab w:leader="none" w:pos="38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elected not to apply the fair value option allowed by ASC 825-10 to the 2026 Notes and the 2031 Asset-Backed Debt and thus the balance reported in the Consolidated Statement of Assets and Liabilities represents the carrying value, which approximates the fair value.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Fair Value at September 30, 2022</w:t>
            </w: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1"/>
                <w:szCs w:val="11"/>
                <w:color w:val="auto"/>
              </w:rPr>
            </w:pPr>
          </w:p>
        </w:tc>
        <w:tc>
          <w:tcPr>
            <w:tcW w:w="10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14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2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1,009,642</w:t>
            </w:r>
          </w:p>
        </w:tc>
        <w:tc>
          <w:tcPr>
            <w:tcW w:w="24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1,009,642</w:t>
            </w:r>
          </w:p>
        </w:tc>
        <w:tc>
          <w:tcPr>
            <w:tcW w:w="22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0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154,465</w:t>
            </w:r>
          </w:p>
        </w:tc>
        <w:tc>
          <w:tcPr>
            <w:tcW w:w="24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95,138</w:t>
            </w:r>
          </w:p>
        </w:tc>
        <w:tc>
          <w:tcPr>
            <w:tcW w:w="2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59,327</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investments</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1,164,254</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1,104,927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47,880</w:t>
            </w:r>
          </w:p>
        </w:tc>
        <w:tc>
          <w:tcPr>
            <w:tcW w:w="24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47,880</w:t>
            </w:r>
          </w:p>
        </w:tc>
        <w:tc>
          <w:tcPr>
            <w:tcW w:w="24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1,212,134</w:t>
            </w:r>
          </w:p>
        </w:tc>
        <w:tc>
          <w:tcPr>
            <w:tcW w:w="24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47,880</w:t>
            </w:r>
          </w:p>
        </w:tc>
        <w:tc>
          <w:tcPr>
            <w:tcW w:w="24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1,104,927</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40" w:type="dxa"/>
            <w:vAlign w:val="bottom"/>
            <w:gridSpan w:val="2"/>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Credit Facility payable</w:t>
            </w:r>
          </w:p>
        </w:tc>
        <w:tc>
          <w:tcPr>
            <w:tcW w:w="200" w:type="dxa"/>
            <w:vAlign w:val="bottom"/>
            <w:tcBorders>
              <w:top w:val="single" w:sz="8" w:color="auto"/>
            </w:tcBorders>
            <w:shd w:val="clear" w:color="auto" w:fill="CCECFF"/>
          </w:tcPr>
          <w:p>
            <w:pPr>
              <w:jc w:val="right"/>
              <w:ind w:right="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167,563</w:t>
            </w:r>
          </w:p>
        </w:tc>
        <w:tc>
          <w:tcPr>
            <w:tcW w:w="240" w:type="dxa"/>
            <w:vAlign w:val="bottom"/>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167,563</w:t>
            </w:r>
          </w:p>
        </w:tc>
        <w:tc>
          <w:tcPr>
            <w:tcW w:w="220" w:type="dxa"/>
            <w:vAlign w:val="bottom"/>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2023 Notes payable</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96,812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96,812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gridSpan w:val="2"/>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2026 Notes payable </w:t>
            </w:r>
            <w:r>
              <w:rPr>
                <w:rFonts w:ascii="Times New Roman" w:cs="Times New Roman" w:eastAsia="Times New Roman" w:hAnsi="Times New Roman"/>
                <w:sz w:val="19"/>
                <w:szCs w:val="19"/>
                <w:color w:val="auto"/>
                <w:vertAlign w:val="superscript"/>
              </w:rPr>
              <w:t>(2)</w:t>
            </w:r>
          </w:p>
        </w:tc>
        <w:tc>
          <w:tcPr>
            <w:tcW w:w="20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182,276</w:t>
            </w: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182,276</w:t>
            </w: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2031 Asset-Backed Debt</w:t>
            </w:r>
            <w:r>
              <w:rPr>
                <w:rFonts w:ascii="Times New Roman" w:cs="Times New Roman" w:eastAsia="Times New Roman" w:hAnsi="Times New Roman"/>
                <w:sz w:val="19"/>
                <w:szCs w:val="19"/>
                <w:color w:val="auto"/>
                <w:vertAlign w:val="superscript"/>
              </w:rPr>
              <w:t>(2)</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226,128</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226,128</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40" w:type="dxa"/>
            <w:vAlign w:val="bottom"/>
            <w:tcBorders>
              <w:bottom w:val="single" w:sz="8" w:color="CCECFF"/>
            </w:tcBorders>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debt</w:t>
            </w:r>
          </w:p>
        </w:tc>
        <w:tc>
          <w:tcPr>
            <w:tcW w:w="200" w:type="dxa"/>
            <w:vAlign w:val="bottom"/>
            <w:tcBorders>
              <w:bottom w:val="single" w:sz="8" w:color="auto"/>
            </w:tcBorders>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672,779</w:t>
            </w:r>
          </w:p>
        </w:tc>
        <w:tc>
          <w:tcPr>
            <w:tcW w:w="2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96,812</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182,276</w:t>
            </w:r>
          </w:p>
        </w:tc>
        <w:tc>
          <w:tcPr>
            <w:tcW w:w="22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393,691</w:t>
            </w:r>
          </w:p>
        </w:tc>
        <w:tc>
          <w:tcPr>
            <w:tcW w:w="22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-976630</wp:posOffset>
            </wp:positionV>
            <wp:extent cx="76835"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-976630</wp:posOffset>
            </wp:positionV>
            <wp:extent cx="7683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-976630</wp:posOffset>
            </wp:positionV>
            <wp:extent cx="68580"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-976630</wp:posOffset>
            </wp:positionV>
            <wp:extent cx="68580"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-736600</wp:posOffset>
            </wp:positionV>
            <wp:extent cx="76835" cy="145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-736600</wp:posOffset>
            </wp:positionV>
            <wp:extent cx="76835"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-736600</wp:posOffset>
            </wp:positionV>
            <wp:extent cx="68580" cy="145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-736600</wp:posOffset>
            </wp:positionV>
            <wp:extent cx="68580" cy="145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-24765</wp:posOffset>
            </wp:positionV>
            <wp:extent cx="768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768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-24765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8" w:lineRule="exact"/>
        <w:rPr>
          <w:sz w:val="20"/>
          <w:szCs w:val="20"/>
          <w:color w:val="auto"/>
        </w:rPr>
      </w:pPr>
    </w:p>
    <w:p>
      <w:pPr>
        <w:ind w:left="380" w:right="420" w:hanging="372"/>
        <w:spacing w:after="0" w:line="212" w:lineRule="auto"/>
        <w:tabs>
          <w:tab w:leader="none" w:pos="38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 accordance with ASC Subtopic 820-10, Fair Value Measurements and Disclosures, or ASC 820-10, our equity investment in PSSL and PTSF is measured using the net asset value per share (or its equivalent) as a practical expedient for fair value, and thus has not been classified in the fair value hierarchy.</w:t>
      </w:r>
    </w:p>
    <w:p>
      <w:pPr>
        <w:spacing w:after="0" w:line="26" w:lineRule="exact"/>
        <w:rPr>
          <w:rFonts w:ascii="Times New Roman" w:cs="Times New Roman" w:eastAsia="Times New Roman" w:hAnsi="Times New Roman"/>
          <w:sz w:val="16"/>
          <w:szCs w:val="16"/>
          <w:color w:val="auto"/>
          <w:vertAlign w:val="superscript"/>
        </w:rPr>
      </w:pPr>
    </w:p>
    <w:p>
      <w:pPr>
        <w:ind w:left="380" w:right="100" w:hanging="372"/>
        <w:spacing w:after="0" w:line="212" w:lineRule="auto"/>
        <w:tabs>
          <w:tab w:leader="none" w:pos="38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We elected not to apply the fair value option allowed by ASC 825-10 to the 2026 Notes and the 2031 Asset-Backed Debt and thus the balance reported in the Consolidated Statement of Assets and Liabilities represents the carrying value, which approximates the fair value.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tables below show a reconciliation of the beginning and ending balances for fair valued investments measured using significant unobservable inputs (Level 3)</w:t>
      </w:r>
    </w:p>
    <w:p>
      <w:pPr>
        <w:spacing w:after="0" w:line="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in thousands):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41402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140200" cy="889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111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realized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111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4"/>
          <w:szCs w:val="14"/>
          <w:color w:val="auto"/>
        </w:rPr>
        <w:t>Net change in unrealized depreciation</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117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4"/>
          <w:szCs w:val="14"/>
          <w:color w:val="auto"/>
        </w:rPr>
        <w:t>Sales, repayments and non-cash exchanges</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Transfers in and/or out of Level 3</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436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35" w:lineRule="exact"/>
        <w:rPr>
          <w:sz w:val="20"/>
          <w:szCs w:val="20"/>
          <w:color w:val="auto"/>
        </w:rPr>
      </w:pPr>
    </w:p>
    <w:p>
      <w:pPr>
        <w:ind w:left="120" w:right="1180" w:hanging="107"/>
        <w:spacing w:after="0" w:line="241" w:lineRule="auto"/>
        <w:rPr>
          <w:sz w:val="20"/>
          <w:szCs w:val="20"/>
          <w:color w:val="auto"/>
        </w:rPr>
      </w:pPr>
      <w:r>
        <w:rPr>
          <w:rFonts w:ascii="Times New Roman" w:cs="Times New Roman" w:eastAsia="Times New Roman" w:hAnsi="Times New Roman"/>
          <w:sz w:val="14"/>
          <w:szCs w:val="14"/>
          <w:color w:val="auto"/>
        </w:rPr>
        <w:t>Net change in unrealized depreciation reported within the net change in unrealized depreciation on investments in our Consolidated Statements of Operations attributable to our Level 3 assets still held at the reporting date.</w:t>
      </w:r>
    </w:p>
    <w:p>
      <w:pPr>
        <w:spacing w:after="0" w:line="190"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Three months ended December 31,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Second lien,</w:t>
            </w:r>
          </w:p>
        </w:tc>
        <w:tc>
          <w:tcPr>
            <w:tcW w:w="2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subordinated</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3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First Lien</w:t>
            </w:r>
          </w:p>
        </w:tc>
        <w:tc>
          <w:tcPr>
            <w:tcW w:w="12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debt and equity</w:t>
            </w:r>
          </w:p>
        </w:tc>
        <w:tc>
          <w:tcPr>
            <w:tcW w:w="280" w:type="dxa"/>
            <w:vAlign w:val="bottom"/>
          </w:tcPr>
          <w:p>
            <w:pPr>
              <w:spacing w:after="0"/>
              <w:rPr>
                <w:sz w:val="12"/>
                <w:szCs w:val="12"/>
                <w:color w:val="auto"/>
              </w:rPr>
            </w:pPr>
          </w:p>
        </w:tc>
        <w:tc>
          <w:tcPr>
            <w:tcW w:w="11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20" w:type="dxa"/>
            <w:vAlign w:val="bottom"/>
            <w:tcBorders>
              <w:top w:val="single" w:sz="8" w:color="auto"/>
            </w:tcBorders>
          </w:tcPr>
          <w:p>
            <w:pPr>
              <w:jc w:val="right"/>
              <w:ind w:right="6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1,009,642</w:t>
            </w:r>
          </w:p>
        </w:tc>
        <w:tc>
          <w:tcPr>
            <w:tcW w:w="260" w:type="dxa"/>
            <w:vAlign w:val="bottom"/>
          </w:tcPr>
          <w:p>
            <w:pPr>
              <w:spacing w:after="0"/>
              <w:rPr>
                <w:sz w:val="13"/>
                <w:szCs w:val="13"/>
                <w:color w:val="auto"/>
              </w:rPr>
            </w:pPr>
          </w:p>
        </w:tc>
        <w:tc>
          <w:tcPr>
            <w:tcW w:w="1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95,285</w:t>
            </w:r>
          </w:p>
        </w:tc>
        <w:tc>
          <w:tcPr>
            <w:tcW w:w="240" w:type="dxa"/>
            <w:vAlign w:val="bottom"/>
          </w:tcPr>
          <w:p>
            <w:pPr>
              <w:spacing w:after="0"/>
              <w:rPr>
                <w:sz w:val="13"/>
                <w:szCs w:val="13"/>
                <w:color w:val="auto"/>
              </w:rPr>
            </w:pPr>
          </w:p>
        </w:tc>
        <w:tc>
          <w:tcPr>
            <w:tcW w:w="280" w:type="dxa"/>
            <w:vAlign w:val="bottom"/>
            <w:tcBorders>
              <w:top w:val="single" w:sz="8" w:color="auto"/>
            </w:tcBorders>
          </w:tcPr>
          <w:p>
            <w:pPr>
              <w:jc w:val="right"/>
              <w:ind w:right="12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1,104,927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(7,399 )</w:t>
            </w: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(3,446 )</w:t>
            </w:r>
          </w:p>
        </w:tc>
        <w:tc>
          <w:tcPr>
            <w:tcW w:w="2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(10,845 )</w:t>
            </w: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58,636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62,667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(62,720 )</w:t>
            </w: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(278 )</w:t>
            </w:r>
          </w:p>
        </w:tc>
        <w:tc>
          <w:tcPr>
            <w:tcW w:w="2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(62,998 )</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998,209</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95,605</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1,093,814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(4,830 )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(3,368 )</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(8,198 )</w:t>
            </w: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960" w:space="720"/>
            <w:col w:w="4560"/>
          </w:cols>
          <w:pgMar w:left="320" w:top="114" w:right="3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6"/>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Three months ended December 31, 2021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Second lien,</w:t>
            </w: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subordinated</w:t>
            </w: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2"/>
                <w:szCs w:val="12"/>
                <w:color w:val="auto"/>
              </w:rPr>
            </w:pPr>
          </w:p>
        </w:tc>
        <w:tc>
          <w:tcPr>
            <w:tcW w:w="13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First Lien</w:t>
            </w:r>
          </w:p>
        </w:tc>
        <w:tc>
          <w:tcPr>
            <w:tcW w:w="12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debt and equity</w:t>
            </w:r>
          </w:p>
        </w:tc>
        <w:tc>
          <w:tcPr>
            <w:tcW w:w="400" w:type="dxa"/>
            <w:vAlign w:val="bottom"/>
          </w:tcPr>
          <w:p>
            <w:pPr>
              <w:spacing w:after="0"/>
              <w:rPr>
                <w:sz w:val="12"/>
                <w:szCs w:val="12"/>
                <w:color w:val="auto"/>
              </w:rPr>
            </w:pPr>
          </w:p>
        </w:tc>
        <w:tc>
          <w:tcPr>
            <w:tcW w:w="10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87"/>
        </w:trPr>
        <w:tc>
          <w:tcPr>
            <w:tcW w:w="66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6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934,418</w:t>
            </w:r>
          </w:p>
        </w:tc>
        <w:tc>
          <w:tcPr>
            <w:tcW w:w="2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86,771</w:t>
            </w:r>
          </w:p>
        </w:tc>
        <w:tc>
          <w:tcPr>
            <w:tcW w:w="240" w:type="dxa"/>
            <w:vAlign w:val="bottom"/>
            <w:shd w:val="clear" w:color="auto" w:fill="CCECFF"/>
          </w:tcPr>
          <w:p>
            <w:pPr>
              <w:spacing w:after="0"/>
              <w:rPr>
                <w:sz w:val="14"/>
                <w:szCs w:val="14"/>
                <w:color w:val="auto"/>
              </w:rPr>
            </w:pPr>
          </w:p>
        </w:tc>
        <w:tc>
          <w:tcPr>
            <w:tcW w:w="400" w:type="dxa"/>
            <w:vAlign w:val="bottom"/>
            <w:tcBorders>
              <w:top w:val="single" w:sz="8" w:color="auto"/>
            </w:tcBorders>
            <w:shd w:val="clear" w:color="auto" w:fill="CCEC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1,021,189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Net realized losses</w:t>
            </w:r>
          </w:p>
        </w:tc>
        <w:tc>
          <w:tcPr>
            <w:tcW w:w="220" w:type="dxa"/>
            <w:vAlign w:val="bottom"/>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(87 )</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2,865</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8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Net change in unrealized depreciation</w:t>
            </w:r>
          </w:p>
        </w:tc>
        <w:tc>
          <w:tcPr>
            <w:tcW w:w="220" w:type="dxa"/>
            <w:vAlign w:val="bottom"/>
            <w:shd w:val="clear" w:color="auto" w:fill="CCECFF"/>
          </w:tcPr>
          <w:p>
            <w:pPr>
              <w:spacing w:after="0"/>
              <w:rPr>
                <w:sz w:val="15"/>
                <w:szCs w:val="15"/>
                <w:color w:val="auto"/>
              </w:rPr>
            </w:pPr>
          </w:p>
        </w:tc>
        <w:tc>
          <w:tcPr>
            <w:tcW w:w="13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(211 )</w:t>
            </w:r>
          </w:p>
        </w:tc>
        <w:tc>
          <w:tcPr>
            <w:tcW w:w="120" w:type="dxa"/>
            <w:vAlign w:val="bottom"/>
            <w:shd w:val="clear" w:color="auto" w:fill="CCECFF"/>
          </w:tcPr>
          <w:p>
            <w:pPr>
              <w:spacing w:after="0"/>
              <w:rPr>
                <w:sz w:val="15"/>
                <w:szCs w:val="15"/>
                <w:color w:val="auto"/>
              </w:rPr>
            </w:pPr>
          </w:p>
        </w:tc>
        <w:tc>
          <w:tcPr>
            <w:tcW w:w="14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(940 )</w:t>
            </w:r>
          </w:p>
        </w:tc>
        <w:tc>
          <w:tcPr>
            <w:tcW w:w="40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(1,151 )</w:t>
            </w:r>
          </w:p>
        </w:tc>
        <w:tc>
          <w:tcPr>
            <w:tcW w:w="0" w:type="dxa"/>
            <w:vAlign w:val="bottom"/>
          </w:tcPr>
          <w:p>
            <w:pPr>
              <w:spacing w:after="0"/>
              <w:rPr>
                <w:sz w:val="1"/>
                <w:szCs w:val="1"/>
                <w:color w:val="auto"/>
              </w:rPr>
            </w:pPr>
          </w:p>
        </w:tc>
      </w:tr>
      <w:tr>
        <w:trPr>
          <w:trHeight w:val="176"/>
        </w:trPr>
        <w:tc>
          <w:tcPr>
            <w:tcW w:w="6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318,967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12,684</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8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Sales, repayments and non-cash exchanges</w:t>
            </w:r>
          </w:p>
        </w:tc>
        <w:tc>
          <w:tcPr>
            <w:tcW w:w="220" w:type="dxa"/>
            <w:vAlign w:val="bottom"/>
            <w:shd w:val="clear" w:color="auto" w:fill="CCECFF"/>
          </w:tcPr>
          <w:p>
            <w:pPr>
              <w:spacing w:after="0"/>
              <w:rPr>
                <w:sz w:val="15"/>
                <w:szCs w:val="15"/>
                <w:color w:val="auto"/>
              </w:rPr>
            </w:pPr>
          </w:p>
        </w:tc>
        <w:tc>
          <w:tcPr>
            <w:tcW w:w="136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(228,249 )</w:t>
            </w:r>
          </w:p>
        </w:tc>
        <w:tc>
          <w:tcPr>
            <w:tcW w:w="120" w:type="dxa"/>
            <w:vAlign w:val="bottom"/>
            <w:shd w:val="clear" w:color="auto" w:fill="CCECFF"/>
          </w:tcPr>
          <w:p>
            <w:pPr>
              <w:spacing w:after="0"/>
              <w:rPr>
                <w:sz w:val="15"/>
                <w:szCs w:val="15"/>
                <w:color w:val="auto"/>
              </w:rPr>
            </w:pPr>
          </w:p>
        </w:tc>
        <w:tc>
          <w:tcPr>
            <w:tcW w:w="14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(5,965 )</w:t>
            </w:r>
          </w:p>
        </w:tc>
        <w:tc>
          <w:tcPr>
            <w:tcW w:w="40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(234,214 )</w:t>
            </w:r>
          </w:p>
        </w:tc>
        <w:tc>
          <w:tcPr>
            <w:tcW w:w="0" w:type="dxa"/>
            <w:vAlign w:val="bottom"/>
          </w:tcPr>
          <w:p>
            <w:pPr>
              <w:spacing w:after="0"/>
              <w:rPr>
                <w:sz w:val="1"/>
                <w:szCs w:val="1"/>
                <w:color w:val="auto"/>
              </w:rPr>
            </w:pPr>
          </w:p>
        </w:tc>
      </w:tr>
      <w:tr>
        <w:trPr>
          <w:trHeight w:val="176"/>
        </w:trPr>
        <w:tc>
          <w:tcPr>
            <w:tcW w:w="6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Transfers in and/or out of Level 3</w:t>
            </w:r>
          </w:p>
        </w:tc>
        <w:tc>
          <w:tcPr>
            <w:tcW w:w="22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668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1,024,838</w:t>
            </w:r>
          </w:p>
        </w:tc>
        <w:tc>
          <w:tcPr>
            <w:tcW w:w="26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95,415</w:t>
            </w:r>
          </w:p>
        </w:tc>
        <w:tc>
          <w:tcPr>
            <w:tcW w:w="240" w:type="dxa"/>
            <w:vAlign w:val="bottom"/>
            <w:tcBorders>
              <w:bottom w:val="single" w:sz="8" w:color="CCECFF"/>
            </w:tcBorders>
            <w:shd w:val="clear" w:color="auto" w:fill="CCECFF"/>
          </w:tcPr>
          <w:p>
            <w:pPr>
              <w:spacing w:after="0"/>
              <w:rPr>
                <w:sz w:val="18"/>
                <w:szCs w:val="18"/>
                <w:color w:val="auto"/>
              </w:rPr>
            </w:pPr>
          </w:p>
        </w:tc>
        <w:tc>
          <w:tcPr>
            <w:tcW w:w="400" w:type="dxa"/>
            <w:vAlign w:val="bottom"/>
            <w:tcBorders>
              <w:top w:val="single" w:sz="8" w:color="auto"/>
              <w:bottom w:val="single" w:sz="8" w:color="auto"/>
            </w:tcBorders>
            <w:shd w:val="clear" w:color="auto" w:fill="CCEC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1,120,253</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668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color w:val="auto"/>
              </w:rPr>
              <w:t>Net change in unrealized depreciation reported within the net change in unrealized</w:t>
            </w: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on investments in our Consolidated Statements of Operations</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2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(832 )</w:t>
            </w:r>
          </w:p>
        </w:tc>
        <w:tc>
          <w:tcPr>
            <w:tcW w:w="4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(153 )</w:t>
            </w:r>
          </w:p>
        </w:tc>
        <w:tc>
          <w:tcPr>
            <w:tcW w:w="0" w:type="dxa"/>
            <w:vAlign w:val="bottom"/>
          </w:tcPr>
          <w:p>
            <w:pPr>
              <w:spacing w:after="0"/>
              <w:rPr>
                <w:sz w:val="1"/>
                <w:szCs w:val="1"/>
                <w:color w:val="auto"/>
              </w:rPr>
            </w:pPr>
          </w:p>
        </w:tc>
      </w:tr>
      <w:tr>
        <w:trPr>
          <w:trHeight w:val="144"/>
        </w:trPr>
        <w:tc>
          <w:tcPr>
            <w:tcW w:w="6680" w:type="dxa"/>
            <w:vAlign w:val="bottom"/>
            <w:gridSpan w:val="2"/>
          </w:tcPr>
          <w:p>
            <w:pPr>
              <w:ind w:left="120"/>
              <w:spacing w:after="0" w:line="125" w:lineRule="exact"/>
              <w:rPr>
                <w:sz w:val="20"/>
                <w:szCs w:val="20"/>
                <w:color w:val="auto"/>
              </w:rPr>
            </w:pPr>
            <w:r>
              <w:rPr>
                <w:rFonts w:ascii="Times New Roman" w:cs="Times New Roman" w:eastAsia="Times New Roman" w:hAnsi="Times New Roman"/>
                <w:sz w:val="14"/>
                <w:szCs w:val="14"/>
                <w:color w:val="auto"/>
              </w:rPr>
              <w:t>attributable to our Level 3 assets still held at the reporting date.</w:t>
            </w:r>
          </w:p>
        </w:tc>
        <w:tc>
          <w:tcPr>
            <w:tcW w:w="22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-325120</wp:posOffset>
            </wp:positionV>
            <wp:extent cx="2057400" cy="3257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057400" cy="325755"/>
                    </a:xfrm>
                    <a:prstGeom prst="rect">
                      <a:avLst/>
                    </a:prstGeom>
                    <a:noFill/>
                  </pic:spPr>
                </pic:pic>
              </a:graphicData>
            </a:graphic>
          </wp:anchor>
        </w:drawing>
      </w:r>
    </w:p>
    <w:p>
      <w:pPr>
        <w:spacing w:after="0" w:line="106"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4"/>
          <w:szCs w:val="14"/>
          <w:color w:val="auto"/>
        </w:rPr>
        <w:t>The table below shows a reconciliation of the beginning and ending balances for liabilities recognized at fair value and measured using significant unobservable inputs (Level 3)($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Credit Facility</w:t>
            </w:r>
          </w:p>
        </w:tc>
        <w:tc>
          <w:tcPr>
            <w:tcW w:w="340" w:type="dxa"/>
            <w:vAlign w:val="bottom"/>
          </w:tcPr>
          <w:p>
            <w:pPr>
              <w:spacing w:after="0"/>
              <w:rPr>
                <w:sz w:val="16"/>
                <w:szCs w:val="16"/>
                <w:color w:val="auto"/>
              </w:rPr>
            </w:pPr>
          </w:p>
        </w:tc>
        <w:tc>
          <w:tcPr>
            <w:tcW w:w="30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69"/>
        </w:trPr>
        <w:tc>
          <w:tcPr>
            <w:tcW w:w="7820" w:type="dxa"/>
            <w:vAlign w:val="bottom"/>
            <w:gridSpan w:val="2"/>
            <w:vMerge w:val="continue"/>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Beginning Balance (cost – $ 168,830 and $219,400, respectively)</w:t>
            </w:r>
          </w:p>
        </w:tc>
        <w:tc>
          <w:tcPr>
            <w:tcW w:w="18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167,563</w:t>
            </w:r>
          </w:p>
        </w:tc>
        <w:tc>
          <w:tcPr>
            <w:tcW w:w="26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218,852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Net change in unrealized (depreciation) appreciation included in earnings</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Borrowings</w:t>
            </w:r>
          </w:p>
        </w:tc>
        <w:tc>
          <w:tcPr>
            <w:tcW w:w="34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137,253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Repayments</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(100,000 )</w:t>
            </w:r>
          </w:p>
        </w:tc>
        <w:tc>
          <w:tcPr>
            <w:tcW w:w="0" w:type="dxa"/>
            <w:vAlign w:val="bottom"/>
          </w:tcPr>
          <w:p>
            <w:pPr>
              <w:spacing w:after="0"/>
              <w:rPr>
                <w:sz w:val="1"/>
                <w:szCs w:val="1"/>
                <w:color w:val="auto"/>
              </w:rPr>
            </w:pPr>
          </w:p>
        </w:tc>
      </w:tr>
      <w:tr>
        <w:trPr>
          <w:trHeight w:val="175"/>
        </w:trPr>
        <w:tc>
          <w:tcPr>
            <w:tcW w:w="7820" w:type="dxa"/>
            <w:vAlign w:val="bottom"/>
            <w:tcBorders>
              <w:bottom w:val="single" w:sz="8" w:color="CCECFF"/>
            </w:tcBorders>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Transfers in and/or out of Level 3</w:t>
            </w:r>
          </w:p>
        </w:tc>
        <w:tc>
          <w:tcPr>
            <w:tcW w:w="340" w:type="dxa"/>
            <w:vAlign w:val="bottom"/>
            <w:tcBorders>
              <w:bottom w:val="single" w:sz="8" w:color="auto"/>
            </w:tcBorders>
            <w:shd w:val="clear" w:color="auto" w:fill="CCECFF"/>
          </w:tcPr>
          <w:p>
            <w:pPr>
              <w:spacing w:after="0"/>
              <w:rPr>
                <w:sz w:val="15"/>
                <w:szCs w:val="15"/>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CFF"/>
            </w:tcBorders>
            <w:shd w:val="clear" w:color="auto" w:fill="CCECFF"/>
          </w:tcPr>
          <w:p>
            <w:pPr>
              <w:spacing w:after="0"/>
              <w:rPr>
                <w:sz w:val="15"/>
                <w:szCs w:val="15"/>
                <w:color w:val="auto"/>
              </w:rPr>
            </w:pPr>
          </w:p>
        </w:tc>
        <w:tc>
          <w:tcPr>
            <w:tcW w:w="360" w:type="dxa"/>
            <w:vAlign w:val="bottom"/>
            <w:tcBorders>
              <w:bottom w:val="single" w:sz="8" w:color="auto"/>
            </w:tcBorders>
            <w:shd w:val="clear" w:color="auto" w:fill="CCECFF"/>
          </w:tcPr>
          <w:p>
            <w:pPr>
              <w:spacing w:after="0"/>
              <w:rPr>
                <w:sz w:val="15"/>
                <w:szCs w:val="15"/>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Ending Balance (cost – $199,654 and $256,6540, respectively)</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197,688</w:t>
            </w:r>
          </w:p>
        </w:tc>
        <w:tc>
          <w:tcPr>
            <w:tcW w:w="6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-145415</wp:posOffset>
            </wp:positionV>
            <wp:extent cx="68580" cy="146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06" w:lineRule="exact"/>
        <w:rPr>
          <w:sz w:val="20"/>
          <w:szCs w:val="20"/>
          <w:color w:val="auto"/>
        </w:rPr>
      </w:pPr>
    </w:p>
    <w:p>
      <w:pPr>
        <w:ind w:right="220" w:firstLine="449"/>
        <w:spacing w:after="0" w:line="243" w:lineRule="auto"/>
        <w:rPr>
          <w:sz w:val="20"/>
          <w:szCs w:val="20"/>
          <w:color w:val="auto"/>
        </w:rPr>
      </w:pPr>
      <w:r>
        <w:rPr>
          <w:rFonts w:ascii="Times New Roman" w:cs="Times New Roman" w:eastAsia="Times New Roman" w:hAnsi="Times New Roman"/>
          <w:sz w:val="14"/>
          <w:szCs w:val="14"/>
          <w:color w:val="auto"/>
        </w:rPr>
        <w:t>As of December 31, 2022, we had outstanding non-U.S. dollar borrowings on our Credit Facility. Net change in fair value from currency translation on outstanding borrowings is listed below ($ in thousands):</w:t>
      </w:r>
    </w:p>
    <w:tbl>
      <w:tblPr>
        <w:tblLayout w:type="fixed"/>
        <w:tblInd w:w="0" w:type="dxa"/>
        <w:tblCellMar>
          <w:top w:w="0" w:type="dxa"/>
          <w:left w:w="0" w:type="dxa"/>
          <w:bottom w:w="0" w:type="dxa"/>
          <w:right w:w="0" w:type="dxa"/>
        </w:tblCellMar>
      </w:tblPr>
      <w:tr>
        <w:trPr>
          <w:trHeight w:val="131"/>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220" w:type="dxa"/>
            <w:vAlign w:val="bottom"/>
          </w:tcPr>
          <w:p>
            <w:pPr>
              <w:spacing w:after="0"/>
              <w:rPr>
                <w:sz w:val="11"/>
                <w:szCs w:val="11"/>
                <w:color w:val="auto"/>
              </w:rPr>
            </w:pPr>
          </w:p>
        </w:tc>
        <w:tc>
          <w:tcPr>
            <w:tcW w:w="12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26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Reset Date</w:t>
            </w:r>
          </w:p>
        </w:tc>
        <w:tc>
          <w:tcPr>
            <w:tcW w:w="120" w:type="dxa"/>
            <w:vAlign w:val="bottom"/>
          </w:tcPr>
          <w:p>
            <w:pPr>
              <w:spacing w:after="0"/>
              <w:rPr>
                <w:sz w:val="11"/>
                <w:szCs w:val="11"/>
                <w:color w:val="auto"/>
              </w:rPr>
            </w:pPr>
          </w:p>
        </w:tc>
        <w:tc>
          <w:tcPr>
            <w:tcW w:w="1360" w:type="dxa"/>
            <w:vAlign w:val="bottom"/>
            <w:gridSpan w:val="2"/>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Change in Fair</w:t>
            </w:r>
          </w:p>
        </w:tc>
        <w:tc>
          <w:tcPr>
            <w:tcW w:w="0" w:type="dxa"/>
            <w:vAlign w:val="bottom"/>
          </w:tcPr>
          <w:p>
            <w:pPr>
              <w:spacing w:after="0"/>
              <w:rPr>
                <w:sz w:val="1"/>
                <w:szCs w:val="1"/>
                <w:color w:val="auto"/>
              </w:rPr>
            </w:pPr>
          </w:p>
        </w:tc>
      </w:tr>
      <w:tr>
        <w:trPr>
          <w:trHeight w:val="187"/>
        </w:trPr>
        <w:tc>
          <w:tcPr>
            <w:tcW w:w="3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Borrowed</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9"/>
        </w:trPr>
        <w:tc>
          <w:tcPr>
            <w:tcW w:w="37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Australian Dollar</w:t>
            </w:r>
          </w:p>
        </w:tc>
        <w:tc>
          <w:tcPr>
            <w:tcW w:w="12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7,254</w:t>
            </w:r>
          </w:p>
        </w:tc>
        <w:tc>
          <w:tcPr>
            <w:tcW w:w="220" w:type="dxa"/>
            <w:vAlign w:val="bottom"/>
            <w:shd w:val="clear" w:color="auto" w:fill="CCECFF"/>
          </w:tcPr>
          <w:p>
            <w:pPr>
              <w:spacing w:after="0"/>
              <w:rPr>
                <w:sz w:val="14"/>
                <w:szCs w:val="14"/>
                <w:color w:val="auto"/>
              </w:rPr>
            </w:pPr>
          </w:p>
        </w:tc>
        <w:tc>
          <w:tcPr>
            <w:tcW w:w="12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6,731</w:t>
            </w:r>
          </w:p>
        </w:tc>
        <w:tc>
          <w:tcPr>
            <w:tcW w:w="260" w:type="dxa"/>
            <w:vAlign w:val="bottom"/>
            <w:shd w:val="clear" w:color="auto" w:fill="CCECFF"/>
          </w:tcPr>
          <w:p>
            <w:pPr>
              <w:spacing w:after="0"/>
              <w:rPr>
                <w:sz w:val="14"/>
                <w:szCs w:val="14"/>
                <w:color w:val="auto"/>
              </w:rPr>
            </w:pPr>
          </w:p>
        </w:tc>
        <w:tc>
          <w:tcPr>
            <w:tcW w:w="1320" w:type="dxa"/>
            <w:vAlign w:val="bottom"/>
            <w:tcBorders>
              <w:top w:val="single" w:sz="8" w:color="auto"/>
            </w:tcBorders>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rPr>
              <w:t>2/1/2023</w:t>
            </w:r>
          </w:p>
        </w:tc>
        <w:tc>
          <w:tcPr>
            <w:tcW w:w="120" w:type="dxa"/>
            <w:vAlign w:val="bottom"/>
            <w:shd w:val="clear" w:color="auto" w:fill="CCECFF"/>
          </w:tcPr>
          <w:p>
            <w:pPr>
              <w:spacing w:after="0"/>
              <w:rPr>
                <w:sz w:val="14"/>
                <w:szCs w:val="14"/>
                <w:color w:val="auto"/>
              </w:rPr>
            </w:pPr>
          </w:p>
        </w:tc>
        <w:tc>
          <w:tcPr>
            <w:tcW w:w="12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220" w:firstLine="449"/>
        <w:spacing w:after="0" w:line="243" w:lineRule="auto"/>
        <w:rPr>
          <w:sz w:val="20"/>
          <w:szCs w:val="20"/>
          <w:color w:val="auto"/>
        </w:rPr>
      </w:pPr>
      <w:r>
        <w:rPr>
          <w:rFonts w:ascii="Times New Roman" w:cs="Times New Roman" w:eastAsia="Times New Roman" w:hAnsi="Times New Roman"/>
          <w:sz w:val="14"/>
          <w:szCs w:val="14"/>
          <w:color w:val="auto"/>
        </w:rPr>
        <w:t>As of September 30, 2022 we had outstanding non-U.S. dollar borrowings on our Credit Facility. Net change in fair value from currency translation on outstanding borrowings is listed below ($ in thousands):</w:t>
      </w:r>
    </w:p>
    <w:tbl>
      <w:tblPr>
        <w:tblLayout w:type="fixed"/>
        <w:tblInd w:w="0" w:type="dxa"/>
        <w:tblCellMar>
          <w:top w:w="0" w:type="dxa"/>
          <w:left w:w="0" w:type="dxa"/>
          <w:bottom w:w="0" w:type="dxa"/>
          <w:right w:w="0" w:type="dxa"/>
        </w:tblCellMar>
      </w:tblPr>
      <w:tr>
        <w:trPr>
          <w:trHeight w:val="131"/>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28"/>
              <w:spacing w:after="0" w:line="13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220" w:type="dxa"/>
            <w:vAlign w:val="bottom"/>
          </w:tcPr>
          <w:p>
            <w:pPr>
              <w:spacing w:after="0"/>
              <w:rPr>
                <w:sz w:val="11"/>
                <w:szCs w:val="11"/>
                <w:color w:val="auto"/>
              </w:rPr>
            </w:pPr>
          </w:p>
        </w:tc>
        <w:tc>
          <w:tcPr>
            <w:tcW w:w="12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26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Reset Date</w:t>
            </w:r>
          </w:p>
        </w:tc>
        <w:tc>
          <w:tcPr>
            <w:tcW w:w="120" w:type="dxa"/>
            <w:vAlign w:val="bottom"/>
          </w:tcPr>
          <w:p>
            <w:pPr>
              <w:spacing w:after="0"/>
              <w:rPr>
                <w:sz w:val="11"/>
                <w:szCs w:val="11"/>
                <w:color w:val="auto"/>
              </w:rPr>
            </w:pPr>
          </w:p>
        </w:tc>
        <w:tc>
          <w:tcPr>
            <w:tcW w:w="1360" w:type="dxa"/>
            <w:vAlign w:val="bottom"/>
            <w:gridSpan w:val="2"/>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Change in Fair</w:t>
            </w:r>
          </w:p>
        </w:tc>
        <w:tc>
          <w:tcPr>
            <w:tcW w:w="0" w:type="dxa"/>
            <w:vAlign w:val="bottom"/>
          </w:tcPr>
          <w:p>
            <w:pPr>
              <w:spacing w:after="0"/>
              <w:rPr>
                <w:sz w:val="1"/>
                <w:szCs w:val="1"/>
                <w:color w:val="auto"/>
              </w:rPr>
            </w:pPr>
          </w:p>
        </w:tc>
      </w:tr>
      <w:tr>
        <w:trPr>
          <w:trHeight w:val="187"/>
        </w:trPr>
        <w:tc>
          <w:tcPr>
            <w:tcW w:w="3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Borrowed</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9"/>
        </w:trPr>
        <w:tc>
          <w:tcPr>
            <w:tcW w:w="37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Australian Dollar</w:t>
            </w:r>
          </w:p>
        </w:tc>
        <w:tc>
          <w:tcPr>
            <w:tcW w:w="12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7,254</w:t>
            </w:r>
          </w:p>
        </w:tc>
        <w:tc>
          <w:tcPr>
            <w:tcW w:w="220" w:type="dxa"/>
            <w:vAlign w:val="bottom"/>
            <w:shd w:val="clear" w:color="auto" w:fill="CCECFF"/>
          </w:tcPr>
          <w:p>
            <w:pPr>
              <w:spacing w:after="0"/>
              <w:rPr>
                <w:sz w:val="14"/>
                <w:szCs w:val="14"/>
                <w:color w:val="auto"/>
              </w:rPr>
            </w:pPr>
          </w:p>
        </w:tc>
        <w:tc>
          <w:tcPr>
            <w:tcW w:w="12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6,430</w:t>
            </w:r>
          </w:p>
        </w:tc>
        <w:tc>
          <w:tcPr>
            <w:tcW w:w="260" w:type="dxa"/>
            <w:vAlign w:val="bottom"/>
            <w:shd w:val="clear" w:color="auto" w:fill="CCECFF"/>
          </w:tcPr>
          <w:p>
            <w:pPr>
              <w:spacing w:after="0"/>
              <w:rPr>
                <w:sz w:val="14"/>
                <w:szCs w:val="14"/>
                <w:color w:val="auto"/>
              </w:rPr>
            </w:pPr>
          </w:p>
        </w:tc>
        <w:tc>
          <w:tcPr>
            <w:tcW w:w="1320" w:type="dxa"/>
            <w:vAlign w:val="bottom"/>
            <w:tcBorders>
              <w:top w:val="single" w:sz="8" w:color="auto"/>
            </w:tcBorders>
            <w:shd w:val="clear" w:color="auto" w:fill="CCECFF"/>
          </w:tcPr>
          <w:p>
            <w:pPr>
              <w:jc w:val="right"/>
              <w:ind w:right="368"/>
              <w:spacing w:after="0"/>
              <w:rPr>
                <w:sz w:val="20"/>
                <w:szCs w:val="20"/>
                <w:color w:val="auto"/>
              </w:rPr>
            </w:pPr>
            <w:r>
              <w:rPr>
                <w:rFonts w:ascii="Times New Roman" w:cs="Times New Roman" w:eastAsia="Times New Roman" w:hAnsi="Times New Roman"/>
                <w:sz w:val="14"/>
                <w:szCs w:val="14"/>
                <w:color w:val="auto"/>
              </w:rPr>
              <w:t>10/1/22</w:t>
            </w:r>
          </w:p>
        </w:tc>
        <w:tc>
          <w:tcPr>
            <w:tcW w:w="120" w:type="dxa"/>
            <w:vAlign w:val="bottom"/>
            <w:shd w:val="clear" w:color="auto" w:fill="CCECFF"/>
          </w:tcPr>
          <w:p>
            <w:pPr>
              <w:spacing w:after="0"/>
              <w:rPr>
                <w:sz w:val="14"/>
                <w:szCs w:val="14"/>
                <w:color w:val="auto"/>
              </w:rPr>
            </w:pPr>
          </w:p>
        </w:tc>
        <w:tc>
          <w:tcPr>
            <w:tcW w:w="12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during both the three months ended December 31, 2022 and 2021.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2026 Notes and the 2031 Asset-Backed Debt.</w:t>
      </w:r>
    </w:p>
    <w:p>
      <w:pPr>
        <w:spacing w:after="0" w:line="197"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For the three months ended December 31, 2022 and 2021, the Credit Facility and the 2023 Notes had a net change in unrealized depreciation of $2.1 million and $3.6 million, respectively. As of December 31, 2022 and September 30, 2022, the net unrealized depreciation on the Credit Facility and the 2023 Notes totaled $4.4 million and $1.5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ind w:right="2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TRANSACTIONS WITH AFFILIATED COMPANIES</w:t>
      </w:r>
    </w:p>
    <w:p>
      <w:pPr>
        <w:spacing w:after="0" w:line="138" w:lineRule="exact"/>
        <w:rPr>
          <w:sz w:val="20"/>
          <w:szCs w:val="20"/>
          <w:color w:val="auto"/>
        </w:rPr>
      </w:pPr>
    </w:p>
    <w:p>
      <w:pPr>
        <w:jc w:val="both"/>
        <w:ind w:right="20" w:firstLine="449"/>
        <w:spacing w:after="0" w:line="241" w:lineRule="auto"/>
        <w:rPr>
          <w:sz w:val="20"/>
          <w:szCs w:val="20"/>
          <w:color w:val="auto"/>
        </w:rPr>
      </w:pPr>
      <w:r>
        <w:rPr>
          <w:rFonts w:ascii="Times New Roman" w:cs="Times New Roman" w:eastAsia="Times New Roman" w:hAnsi="Times New Roman"/>
          <w:sz w:val="14"/>
          <w:szCs w:val="14"/>
          <w:color w:val="auto"/>
        </w:rPr>
        <w:t>An affiliated portfolio company is a company in which we have ownership of 5% or more of its voting securities. A portfolio company is generally presumed to be a non-controlled affiliate when we own at least 5% but less than 25% of its voting securities and a controlled affiliate generally when we own more than 25% of its voting securities. Transactions related to our funded investments with both controlled and non-controlled affiliates for the three months ended December 31, 2022 were as follows ($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Sale of/</w:t>
            </w: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Change in</w:t>
            </w:r>
          </w:p>
        </w:tc>
        <w:tc>
          <w:tcPr>
            <w:tcW w:w="12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Realized</w:t>
            </w:r>
          </w:p>
        </w:tc>
        <w:tc>
          <w:tcPr>
            <w:tcW w:w="0" w:type="dxa"/>
            <w:vAlign w:val="bottom"/>
          </w:tcPr>
          <w:p>
            <w:pPr>
              <w:spacing w:after="0"/>
              <w:rPr>
                <w:sz w:val="1"/>
                <w:szCs w:val="1"/>
                <w:color w:val="auto"/>
              </w:rPr>
            </w:pPr>
          </w:p>
        </w:tc>
      </w:tr>
      <w:tr>
        <w:trPr>
          <w:trHeight w:val="148"/>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Investment</w:t>
            </w: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w:t>
            </w:r>
          </w:p>
        </w:tc>
        <w:tc>
          <w:tcPr>
            <w:tcW w:w="1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260" w:type="dxa"/>
            <w:vAlign w:val="bottom"/>
            <w:vMerge w:val="continue"/>
          </w:tcPr>
          <w:p>
            <w:pPr>
              <w:spacing w:after="0"/>
              <w:rPr>
                <w:sz w:val="16"/>
                <w:szCs w:val="16"/>
                <w:color w:val="auto"/>
              </w:rPr>
            </w:pPr>
          </w:p>
        </w:tc>
        <w:tc>
          <w:tcPr>
            <w:tcW w:w="11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Affiliates</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18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0" w:type="dxa"/>
            <w:vAlign w:val="bottom"/>
          </w:tcPr>
          <w:p>
            <w:pPr>
              <w:spacing w:after="0"/>
              <w:rPr>
                <w:sz w:val="1"/>
                <w:szCs w:val="1"/>
                <w:color w:val="auto"/>
              </w:rPr>
            </w:pPr>
          </w:p>
        </w:tc>
      </w:tr>
      <w:tr>
        <w:trPr>
          <w:trHeight w:val="169"/>
        </w:trPr>
        <w:tc>
          <w:tcPr>
            <w:tcW w:w="22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Controlled Affiliates</w:t>
            </w:r>
          </w:p>
        </w:tc>
        <w:tc>
          <w:tcPr>
            <w:tcW w:w="120" w:type="dxa"/>
            <w:vAlign w:val="bottom"/>
            <w:shd w:val="clear" w:color="auto" w:fill="CCECFF"/>
          </w:tcPr>
          <w:p>
            <w:pPr>
              <w:spacing w:after="0"/>
              <w:rPr>
                <w:sz w:val="14"/>
                <w:szCs w:val="14"/>
                <w:color w:val="auto"/>
              </w:rPr>
            </w:pPr>
          </w:p>
        </w:tc>
        <w:tc>
          <w:tcPr>
            <w:tcW w:w="1040" w:type="dxa"/>
            <w:vAlign w:val="bottom"/>
            <w:tcBorders>
              <w:top w:val="single" w:sz="8" w:color="auto"/>
            </w:tcBorders>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60" w:type="dxa"/>
            <w:vAlign w:val="bottom"/>
            <w:tcBorders>
              <w:top w:val="single" w:sz="8" w:color="auto"/>
            </w:tcBorders>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8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60" w:type="dxa"/>
            <w:vAlign w:val="bottom"/>
            <w:tcBorders>
              <w:top w:val="single" w:sz="8" w:color="auto"/>
            </w:tcBorders>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6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2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00" w:type="dxa"/>
            <w:vAlign w:val="bottom"/>
            <w:tcBorders>
              <w:top w:val="single" w:sz="8" w:color="auto"/>
            </w:tcBorders>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060" w:type="dxa"/>
            <w:vAlign w:val="bottom"/>
            <w:tcBorders>
              <w:top w:val="single" w:sz="8" w:color="auto"/>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Marketplace Events, LLC</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$31,390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20" w:type="dxa"/>
            <w:vAlign w:val="bottom"/>
          </w:tcPr>
          <w:p>
            <w:pPr>
              <w:spacing w:after="0"/>
              <w:rPr>
                <w:sz w:val="15"/>
                <w:szCs w:val="15"/>
                <w:color w:val="auto"/>
              </w:rPr>
            </w:pPr>
          </w:p>
        </w:tc>
        <w:tc>
          <w:tcPr>
            <w:tcW w:w="1080" w:type="dxa"/>
            <w:vAlign w:val="bottom"/>
          </w:tcPr>
          <w:p>
            <w:pPr>
              <w:jc w:val="center"/>
              <w:ind w:left="7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$32,732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center"/>
              <w:ind w:left="748"/>
              <w:spacing w:after="0"/>
              <w:rPr>
                <w:sz w:val="20"/>
                <w:szCs w:val="20"/>
                <w:color w:val="auto"/>
              </w:rPr>
            </w:pPr>
            <w:r>
              <w:rPr>
                <w:rFonts w:ascii="Times New Roman" w:cs="Times New Roman" w:eastAsia="Times New Roman" w:hAnsi="Times New Roman"/>
                <w:sz w:val="14"/>
                <w:szCs w:val="14"/>
                <w:color w:val="auto"/>
                <w:w w:val="95"/>
              </w:rPr>
              <w:t>$—</w:t>
            </w:r>
          </w:p>
        </w:tc>
        <w:tc>
          <w:tcPr>
            <w:tcW w:w="0" w:type="dxa"/>
            <w:vAlign w:val="bottom"/>
          </w:tcPr>
          <w:p>
            <w:pPr>
              <w:spacing w:after="0"/>
              <w:rPr>
                <w:sz w:val="1"/>
                <w:szCs w:val="1"/>
                <w:color w:val="auto"/>
              </w:rPr>
            </w:pPr>
          </w:p>
        </w:tc>
      </w:tr>
      <w:tr>
        <w:trPr>
          <w:trHeight w:val="175"/>
        </w:trPr>
        <w:tc>
          <w:tcPr>
            <w:tcW w:w="2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PennantPark Senior Secured</w:t>
            </w:r>
          </w:p>
        </w:tc>
        <w:tc>
          <w:tcPr>
            <w:tcW w:w="12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0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Loan Fund I LLC *</w:t>
            </w:r>
          </w:p>
        </w:tc>
        <w:tc>
          <w:tcPr>
            <w:tcW w:w="120" w:type="dxa"/>
            <w:vAlign w:val="bottom"/>
            <w:tcBorders>
              <w:bottom w:val="single" w:sz="8" w:color="CCECFF"/>
            </w:tcBorders>
            <w:shd w:val="clear" w:color="auto" w:fill="CCECFF"/>
          </w:tcPr>
          <w:p>
            <w:pPr>
              <w:spacing w:after="0"/>
              <w:rPr>
                <w:sz w:val="15"/>
                <w:szCs w:val="15"/>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239,615</w:t>
            </w:r>
          </w:p>
        </w:tc>
        <w:tc>
          <w:tcPr>
            <w:tcW w:w="120" w:type="dxa"/>
            <w:vAlign w:val="bottom"/>
            <w:tcBorders>
              <w:bottom w:val="single" w:sz="8" w:color="CCECFF"/>
            </w:tcBorders>
            <w:shd w:val="clear" w:color="auto" w:fill="CCECFF"/>
          </w:tcPr>
          <w:p>
            <w:pPr>
              <w:spacing w:after="0"/>
              <w:rPr>
                <w:sz w:val="15"/>
                <w:szCs w:val="15"/>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13,125</w:t>
            </w:r>
          </w:p>
        </w:tc>
        <w:tc>
          <w:tcPr>
            <w:tcW w:w="120" w:type="dxa"/>
            <w:vAlign w:val="bottom"/>
            <w:tcBorders>
              <w:bottom w:val="single" w:sz="8" w:color="CCECFF"/>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center"/>
              <w:ind w:left="74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CFF"/>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(5,076)</w:t>
            </w:r>
          </w:p>
        </w:tc>
        <w:tc>
          <w:tcPr>
            <w:tcW w:w="120" w:type="dxa"/>
            <w:vAlign w:val="bottom"/>
            <w:tcBorders>
              <w:bottom w:val="single" w:sz="8" w:color="CCECFF"/>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247,664</w:t>
            </w:r>
          </w:p>
        </w:tc>
        <w:tc>
          <w:tcPr>
            <w:tcW w:w="100" w:type="dxa"/>
            <w:vAlign w:val="bottom"/>
            <w:tcBorders>
              <w:bottom w:val="single" w:sz="8" w:color="CCECFF"/>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5,959</w:t>
            </w:r>
          </w:p>
        </w:tc>
        <w:tc>
          <w:tcPr>
            <w:tcW w:w="100" w:type="dxa"/>
            <w:vAlign w:val="bottom"/>
            <w:tcBorders>
              <w:bottom w:val="single" w:sz="8" w:color="CCECFF"/>
            </w:tcBorders>
            <w:shd w:val="clear" w:color="auto" w:fill="CCECFF"/>
          </w:tcPr>
          <w:p>
            <w:pPr>
              <w:spacing w:after="0"/>
              <w:rPr>
                <w:sz w:val="15"/>
                <w:szCs w:val="15"/>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2,975</w:t>
            </w:r>
          </w:p>
        </w:tc>
        <w:tc>
          <w:tcPr>
            <w:tcW w:w="120" w:type="dxa"/>
            <w:vAlign w:val="bottom"/>
            <w:tcBorders>
              <w:bottom w:val="single" w:sz="8" w:color="CCECFF"/>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center"/>
              <w:ind w:left="7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Controlled Affiliates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$271,005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$13,455</w:t>
            </w:r>
          </w:p>
        </w:tc>
        <w:tc>
          <w:tcPr>
            <w:tcW w:w="120" w:type="dxa"/>
            <w:vAlign w:val="bottom"/>
          </w:tcPr>
          <w:p>
            <w:pPr>
              <w:spacing w:after="0"/>
              <w:rPr>
                <w:sz w:val="14"/>
                <w:szCs w:val="14"/>
                <w:color w:val="auto"/>
              </w:rPr>
            </w:pPr>
          </w:p>
        </w:tc>
        <w:tc>
          <w:tcPr>
            <w:tcW w:w="1080" w:type="dxa"/>
            <w:vAlign w:val="bottom"/>
          </w:tcPr>
          <w:p>
            <w:pPr>
              <w:jc w:val="center"/>
              <w:ind w:left="7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$280,396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$6,909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$2,975</w:t>
            </w:r>
          </w:p>
        </w:tc>
        <w:tc>
          <w:tcPr>
            <w:tcW w:w="120" w:type="dxa"/>
            <w:vAlign w:val="bottom"/>
          </w:tcPr>
          <w:p>
            <w:pPr>
              <w:spacing w:after="0"/>
              <w:rPr>
                <w:sz w:val="14"/>
                <w:szCs w:val="14"/>
                <w:color w:val="auto"/>
              </w:rPr>
            </w:pPr>
          </w:p>
        </w:tc>
        <w:tc>
          <w:tcPr>
            <w:tcW w:w="1060" w:type="dxa"/>
            <w:vAlign w:val="bottom"/>
          </w:tcPr>
          <w:p>
            <w:pPr>
              <w:jc w:val="center"/>
              <w:ind w:left="748"/>
              <w:spacing w:after="0"/>
              <w:rPr>
                <w:sz w:val="20"/>
                <w:szCs w:val="20"/>
                <w:color w:val="auto"/>
              </w:rPr>
            </w:pPr>
            <w:r>
              <w:rPr>
                <w:rFonts w:ascii="Times New Roman" w:cs="Times New Roman" w:eastAsia="Times New Roman" w:hAnsi="Times New Roman"/>
                <w:sz w:val="14"/>
                <w:szCs w:val="14"/>
                <w:color w:val="auto"/>
                <w:w w:val="95"/>
              </w:rPr>
              <w:t>$—</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-144780</wp:posOffset>
            </wp:positionV>
            <wp:extent cx="77470" cy="145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-144780</wp:posOffset>
            </wp:positionV>
            <wp:extent cx="76835" cy="145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-144780</wp:posOffset>
            </wp:positionV>
            <wp:extent cx="68580" cy="145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-144780</wp:posOffset>
            </wp:positionV>
            <wp:extent cx="68580" cy="145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-144780</wp:posOffset>
            </wp:positionV>
            <wp:extent cx="68580" cy="145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-144780</wp:posOffset>
            </wp:positionV>
            <wp:extent cx="68580" cy="145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-144780</wp:posOffset>
            </wp:positionV>
            <wp:extent cx="68580" cy="145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2" w:lineRule="exact"/>
        <w:rPr>
          <w:sz w:val="20"/>
          <w:szCs w:val="20"/>
          <w:color w:val="auto"/>
        </w:rPr>
      </w:pPr>
    </w:p>
    <w:p>
      <w:pPr>
        <w:ind w:right="140" w:firstLine="8"/>
        <w:spacing w:after="0" w:line="245" w:lineRule="auto"/>
        <w:tabs>
          <w:tab w:leader="none" w:pos="81" w:val="left"/>
        </w:tabs>
        <w:numPr>
          <w:ilvl w:val="0"/>
          <w:numId w:val="1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color w:val="auto"/>
        </w:rPr>
        <w:t>We and Kemper are the members of PSSL, a joint venture formed as a Delaware limited liability company that is not consolidated by us for financial reporting purposes. The members of PSSL make investments in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CHANGE IN NET ASSETS FROM OPERATIONS PER COMMON SHARE</w:t>
      </w:r>
    </w:p>
    <w:p>
      <w:pPr>
        <w:spacing w:after="0" w:line="138" w:lineRule="exact"/>
        <w:rPr>
          <w:sz w:val="20"/>
          <w:szCs w:val="20"/>
          <w:color w:val="auto"/>
        </w:rPr>
      </w:pPr>
    </w:p>
    <w:p>
      <w:pPr>
        <w:ind w:left="600" w:right="2440" w:hanging="143"/>
        <w:spacing w:after="0" w:line="261" w:lineRule="auto"/>
        <w:rPr>
          <w:sz w:val="20"/>
          <w:szCs w:val="20"/>
          <w:color w:val="auto"/>
        </w:rPr>
      </w:pPr>
      <w:r>
        <w:rPr>
          <w:rFonts w:ascii="Times New Roman" w:cs="Times New Roman" w:eastAsia="Times New Roman" w:hAnsi="Times New Roman"/>
          <w:sz w:val="14"/>
          <w:szCs w:val="14"/>
          <w:color w:val="auto"/>
        </w:rPr>
        <w:t>The following information sets forth the computation of basic and diluted per share net increase (decrease) in net assets resulting from operations ($ in thousands,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60" w:type="dxa"/>
            <w:vAlign w:val="bottom"/>
          </w:tcPr>
          <w:p>
            <w:pPr>
              <w:spacing w:after="0"/>
              <w:rPr>
                <w:sz w:val="16"/>
                <w:szCs w:val="16"/>
                <w:color w:val="auto"/>
              </w:rPr>
            </w:pPr>
          </w:p>
        </w:tc>
        <w:tc>
          <w:tcPr>
            <w:tcW w:w="334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0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Numerator for net increase in net assets resulting from operations</w:t>
            </w:r>
          </w:p>
        </w:tc>
        <w:tc>
          <w:tcPr>
            <w:tcW w:w="1140" w:type="dxa"/>
            <w:vAlign w:val="bottom"/>
            <w:shd w:val="clear" w:color="auto" w:fill="CCECFF"/>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300" w:type="dxa"/>
            <w:vAlign w:val="bottom"/>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4"/>
              </w:rPr>
              <w:t>)</w:t>
            </w:r>
          </w:p>
        </w:tc>
        <w:tc>
          <w:tcPr>
            <w:tcW w:w="1160" w:type="dxa"/>
            <w:vAlign w:val="bottom"/>
            <w:shd w:val="clear" w:color="auto" w:fill="CCEC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14,433</w:t>
            </w:r>
          </w:p>
        </w:tc>
        <w:tc>
          <w:tcPr>
            <w:tcW w:w="100" w:type="dxa"/>
            <w:vAlign w:val="bottom"/>
            <w:shd w:val="clear" w:color="auto" w:fill="CCECFF"/>
          </w:tcPr>
          <w:p>
            <w:pPr>
              <w:spacing w:after="0"/>
              <w:rPr>
                <w:sz w:val="14"/>
                <w:szCs w:val="14"/>
                <w:color w:val="auto"/>
              </w:rPr>
            </w:pPr>
          </w:p>
        </w:tc>
      </w:tr>
      <w:tr>
        <w:trPr>
          <w:trHeight w:val="176"/>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 for basic and diluted weighted average shares</w:t>
            </w:r>
          </w:p>
        </w:tc>
        <w:tc>
          <w:tcPr>
            <w:tcW w:w="1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45,368,844</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38,961,201</w:t>
            </w:r>
          </w:p>
        </w:tc>
        <w:tc>
          <w:tcPr>
            <w:tcW w:w="100" w:type="dxa"/>
            <w:vAlign w:val="bottom"/>
          </w:tcPr>
          <w:p>
            <w:pPr>
              <w:spacing w:after="0"/>
              <w:rPr>
                <w:sz w:val="15"/>
                <w:szCs w:val="15"/>
                <w:color w:val="auto"/>
              </w:rPr>
            </w:pPr>
          </w:p>
        </w:tc>
      </w:tr>
      <w:tr>
        <w:trPr>
          <w:trHeight w:val="175"/>
        </w:trPr>
        <w:tc>
          <w:tcPr>
            <w:tcW w:w="70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Basic and diluted net increase in net assets per share resulting from operations</w:t>
            </w:r>
          </w:p>
        </w:tc>
        <w:tc>
          <w:tcPr>
            <w:tcW w:w="1140" w:type="dxa"/>
            <w:vAlign w:val="bottom"/>
            <w:shd w:val="clear" w:color="auto" w:fill="CCECFF"/>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(0.04 )</w:t>
            </w:r>
          </w:p>
        </w:tc>
        <w:tc>
          <w:tcPr>
            <w:tcW w:w="1160" w:type="dxa"/>
            <w:vAlign w:val="bottom"/>
            <w:shd w:val="clear" w:color="auto" w:fill="CCEC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shd w:val="clear" w:color="auto" w:fill="CCECFF"/>
          </w:tcPr>
          <w:p>
            <w:pPr>
              <w:spacing w:after="0"/>
              <w:rPr>
                <w:sz w:val="15"/>
                <w:szCs w:val="15"/>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CASH AND CASH EQUIVALENTS</w:t>
      </w:r>
    </w:p>
    <w:p>
      <w:pPr>
        <w:spacing w:after="0" w:line="138" w:lineRule="exact"/>
        <w:rPr>
          <w:sz w:val="20"/>
          <w:szCs w:val="20"/>
          <w:color w:val="auto"/>
        </w:rPr>
      </w:pPr>
    </w:p>
    <w:p>
      <w:pPr>
        <w:jc w:val="both"/>
        <w:ind w:right="20" w:firstLine="449"/>
        <w:spacing w:after="0" w:line="228" w:lineRule="auto"/>
        <w:rPr>
          <w:sz w:val="20"/>
          <w:szCs w:val="20"/>
          <w:color w:val="auto"/>
        </w:rPr>
      </w:pPr>
      <w:r>
        <w:rPr>
          <w:rFonts w:ascii="Times New Roman" w:cs="Times New Roman" w:eastAsia="Times New Roman" w:hAnsi="Times New Roman"/>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2022 and September 30, 2022, cash and cash equivalents consisted of money market funds in the amounts of $52.9 million and $47.9 million at fair value, respectively.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9. FINANCIAL HIGHLIGHTS</w:t>
            </w:r>
          </w:p>
        </w:tc>
        <w:tc>
          <w:tcPr>
            <w:tcW w:w="1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7"/>
        </w:trPr>
        <w:tc>
          <w:tcPr>
            <w:tcW w:w="51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financial highlights ($ in thousands, except per share data):</w:t>
            </w: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6"/>
        </w:trPr>
        <w:tc>
          <w:tcPr>
            <w:tcW w:w="5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58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5120" w:type="dxa"/>
            <w:vAlign w:val="bottom"/>
          </w:tcPr>
          <w:p>
            <w:pPr>
              <w:spacing w:after="0"/>
              <w:rPr>
                <w:sz w:val="16"/>
                <w:szCs w:val="16"/>
                <w:color w:val="auto"/>
              </w:rPr>
            </w:pPr>
          </w:p>
        </w:tc>
        <w:tc>
          <w:tcPr>
            <w:tcW w:w="29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5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1680" w:type="dxa"/>
            <w:vAlign w:val="bottom"/>
            <w:shd w:val="clear" w:color="auto" w:fill="CCECFF"/>
          </w:tcPr>
          <w:p>
            <w:pPr>
              <w:spacing w:after="0"/>
              <w:rPr>
                <w:sz w:val="14"/>
                <w:szCs w:val="14"/>
                <w:color w:val="auto"/>
              </w:rPr>
            </w:pPr>
          </w:p>
        </w:tc>
        <w:tc>
          <w:tcPr>
            <w:tcW w:w="1240" w:type="dxa"/>
            <w:vAlign w:val="bottom"/>
            <w:tcBorders>
              <w:top w:val="single" w:sz="8" w:color="auto"/>
            </w:tcBorders>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40" w:type="dxa"/>
            <w:vAlign w:val="bottom"/>
            <w:tcBorders>
              <w:top w:val="single" w:sz="8" w:color="auto"/>
            </w:tcBorders>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 value, beginning of period</w:t>
            </w:r>
          </w:p>
        </w:tc>
        <w:tc>
          <w:tcPr>
            <w:tcW w:w="2920" w:type="dxa"/>
            <w:vAlign w:val="bottom"/>
            <w:gridSpan w:val="2"/>
          </w:tcPr>
          <w:p>
            <w:pPr>
              <w:jc w:val="right"/>
              <w:ind w:right="10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340" w:type="dxa"/>
            <w:vAlign w:val="bottom"/>
          </w:tcPr>
          <w:p>
            <w:pPr>
              <w:spacing w:after="0"/>
              <w:rPr>
                <w:sz w:val="15"/>
                <w:szCs w:val="15"/>
                <w:color w:val="auto"/>
              </w:rPr>
            </w:pPr>
          </w:p>
        </w:tc>
        <w:tc>
          <w:tcPr>
            <w:tcW w:w="124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12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Net investment income </w:t>
            </w:r>
            <w:r>
              <w:rPr>
                <w:rFonts w:ascii="Times New Roman" w:cs="Times New Roman" w:eastAsia="Times New Roman" w:hAnsi="Times New Roman"/>
                <w:sz w:val="19"/>
                <w:szCs w:val="19"/>
                <w:color w:val="auto"/>
                <w:vertAlign w:val="superscript"/>
              </w:rPr>
              <w:t>(1)</w:t>
            </w:r>
          </w:p>
        </w:tc>
        <w:tc>
          <w:tcPr>
            <w:tcW w:w="1680" w:type="dxa"/>
            <w:vAlign w:val="bottom"/>
            <w:shd w:val="clear" w:color="auto" w:fill="CCECFF"/>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340" w:type="dxa"/>
            <w:vAlign w:val="bottom"/>
            <w:shd w:val="clear" w:color="auto" w:fill="CCECFF"/>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1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Net change in realized and unrealized (loss) gain </w:t>
            </w:r>
            <w:r>
              <w:rPr>
                <w:rFonts w:ascii="Times New Roman" w:cs="Times New Roman" w:eastAsia="Times New Roman" w:hAnsi="Times New Roman"/>
                <w:sz w:val="19"/>
                <w:szCs w:val="19"/>
                <w:color w:val="auto"/>
                <w:vertAlign w:val="superscript"/>
              </w:rPr>
              <w:t>(1)</w:t>
            </w:r>
          </w:p>
        </w:tc>
        <w:tc>
          <w:tcPr>
            <w:tcW w:w="1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(0.34 )</w:t>
            </w:r>
          </w:p>
        </w:tc>
        <w:tc>
          <w:tcPr>
            <w:tcW w:w="1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5120" w:type="dxa"/>
            <w:vAlign w:val="bottom"/>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Net decrease in net assets resulting from operations </w:t>
            </w:r>
            <w:r>
              <w:rPr>
                <w:rFonts w:ascii="Times New Roman" w:cs="Times New Roman" w:eastAsia="Times New Roman" w:hAnsi="Times New Roman"/>
                <w:sz w:val="19"/>
                <w:szCs w:val="19"/>
                <w:color w:val="auto"/>
                <w:vertAlign w:val="superscript"/>
              </w:rPr>
              <w:t>(1)</w:t>
            </w:r>
          </w:p>
        </w:tc>
        <w:tc>
          <w:tcPr>
            <w:tcW w:w="1680" w:type="dxa"/>
            <w:vAlign w:val="bottom"/>
            <w:shd w:val="clear" w:color="auto" w:fill="CCECFF"/>
          </w:tcPr>
          <w:p>
            <w:pPr>
              <w:spacing w:after="0"/>
              <w:rPr>
                <w:sz w:val="14"/>
                <w:szCs w:val="14"/>
                <w:color w:val="auto"/>
              </w:rPr>
            </w:pPr>
          </w:p>
        </w:tc>
        <w:tc>
          <w:tcPr>
            <w:tcW w:w="1240" w:type="dxa"/>
            <w:vAlign w:val="bottom"/>
            <w:tcBorders>
              <w:top w:val="single" w:sz="8" w:color="auto"/>
            </w:tcBorders>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51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Distributions to stockholders </w:t>
            </w:r>
            <w:r>
              <w:rPr>
                <w:rFonts w:ascii="Times New Roman" w:cs="Times New Roman" w:eastAsia="Times New Roman" w:hAnsi="Times New Roman"/>
                <w:sz w:val="19"/>
                <w:szCs w:val="19"/>
                <w:color w:val="auto"/>
                <w:vertAlign w:val="superscript"/>
              </w:rPr>
              <w:t>(1), (2)</w:t>
            </w:r>
          </w:p>
        </w:tc>
        <w:tc>
          <w:tcPr>
            <w:tcW w:w="1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(0.29 )</w:t>
            </w:r>
          </w:p>
        </w:tc>
        <w:tc>
          <w:tcPr>
            <w:tcW w:w="12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(0.29 )</w:t>
            </w:r>
          </w:p>
        </w:tc>
        <w:tc>
          <w:tcPr>
            <w:tcW w:w="20" w:type="dxa"/>
            <w:vAlign w:val="bottom"/>
          </w:tcPr>
          <w:p>
            <w:pPr>
              <w:spacing w:after="0"/>
              <w:rPr>
                <w:sz w:val="15"/>
                <w:szCs w:val="15"/>
                <w:color w:val="auto"/>
              </w:rPr>
            </w:pPr>
          </w:p>
        </w:tc>
      </w:tr>
      <w:tr>
        <w:trPr>
          <w:trHeight w:val="175"/>
        </w:trPr>
        <w:tc>
          <w:tcPr>
            <w:tcW w:w="5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680" w:type="dxa"/>
            <w:vAlign w:val="bottom"/>
            <w:tcBorders>
              <w:bottom w:val="single" w:sz="8" w:color="CCECFF"/>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40" w:type="dxa"/>
            <w:vAlign w:val="bottom"/>
            <w:tcBorders>
              <w:bottom w:val="single" w:sz="8" w:color="CCECFF"/>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 value, end of period</w:t>
            </w:r>
          </w:p>
        </w:tc>
        <w:tc>
          <w:tcPr>
            <w:tcW w:w="1680" w:type="dxa"/>
            <w:vAlign w:val="bottom"/>
          </w:tcPr>
          <w:p>
            <w:pPr>
              <w:spacing w:after="0"/>
              <w:rPr>
                <w:sz w:val="14"/>
                <w:szCs w:val="14"/>
                <w:color w:val="auto"/>
              </w:rPr>
            </w:pPr>
          </w:p>
        </w:tc>
        <w:tc>
          <w:tcPr>
            <w:tcW w:w="1240" w:type="dxa"/>
            <w:vAlign w:val="bottom"/>
            <w:tcBorders>
              <w:bottom w:val="single" w:sz="8" w:color="auto"/>
            </w:tcBorders>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340" w:type="dxa"/>
            <w:vAlign w:val="bottom"/>
          </w:tcPr>
          <w:p>
            <w:pPr>
              <w:spacing w:after="0"/>
              <w:rPr>
                <w:sz w:val="14"/>
                <w:szCs w:val="14"/>
                <w:color w:val="auto"/>
              </w:rPr>
            </w:pPr>
          </w:p>
        </w:tc>
        <w:tc>
          <w:tcPr>
            <w:tcW w:w="1240" w:type="dxa"/>
            <w:vAlign w:val="bottom"/>
            <w:tcBorders>
              <w:bottom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51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120" w:type="dxa"/>
            <w:vAlign w:val="bottom"/>
            <w:tcBorders>
              <w:bottom w:val="single" w:sz="8" w:color="CCECFF"/>
            </w:tcBorders>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Per share market value, end of period</w:t>
            </w:r>
          </w:p>
        </w:tc>
        <w:tc>
          <w:tcPr>
            <w:tcW w:w="1680" w:type="dxa"/>
            <w:vAlign w:val="bottom"/>
            <w:tcBorders>
              <w:bottom w:val="single" w:sz="8" w:color="CCECFF"/>
            </w:tcBorders>
            <w:shd w:val="clear" w:color="auto" w:fill="CCECFF"/>
          </w:tcPr>
          <w:p>
            <w:pPr>
              <w:spacing w:after="0"/>
              <w:rPr>
                <w:sz w:val="17"/>
                <w:szCs w:val="17"/>
                <w:color w:val="auto"/>
              </w:rPr>
            </w:pPr>
          </w:p>
        </w:tc>
        <w:tc>
          <w:tcPr>
            <w:tcW w:w="1240" w:type="dxa"/>
            <w:vAlign w:val="bottom"/>
            <w:tcBorders>
              <w:top w:val="single" w:sz="8" w:color="auto"/>
              <w:bottom w:val="single" w:sz="8" w:color="auto"/>
            </w:tcBorders>
            <w:shd w:val="clear" w:color="auto" w:fill="CCECFF"/>
          </w:tcPr>
          <w:p>
            <w:pPr>
              <w:jc w:val="right"/>
              <w:ind w:right="10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10.98</w:t>
            </w:r>
          </w:p>
        </w:tc>
        <w:tc>
          <w:tcPr>
            <w:tcW w:w="340" w:type="dxa"/>
            <w:vAlign w:val="bottom"/>
            <w:tcBorders>
              <w:bottom w:val="single" w:sz="8" w:color="CCECFF"/>
            </w:tcBorders>
            <w:shd w:val="clear" w:color="auto" w:fill="CCECFF"/>
          </w:tcPr>
          <w:p>
            <w:pPr>
              <w:spacing w:after="0"/>
              <w:rPr>
                <w:sz w:val="17"/>
                <w:szCs w:val="17"/>
                <w:color w:val="auto"/>
              </w:rPr>
            </w:pPr>
          </w:p>
        </w:tc>
        <w:tc>
          <w:tcPr>
            <w:tcW w:w="1240" w:type="dxa"/>
            <w:vAlign w:val="bottom"/>
            <w:tcBorders>
              <w:top w:val="single" w:sz="8" w:color="auto"/>
              <w:bottom w:val="single" w:sz="8" w:color="auto"/>
            </w:tcBorders>
            <w:shd w:val="clear" w:color="auto" w:fill="CCECFF"/>
          </w:tcPr>
          <w:p>
            <w:pPr>
              <w:jc w:val="right"/>
              <w:ind w:right="10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12.77</w:t>
            </w:r>
          </w:p>
        </w:tc>
        <w:tc>
          <w:tcPr>
            <w:tcW w:w="100" w:type="dxa"/>
            <w:vAlign w:val="bottom"/>
            <w:tcBorders>
              <w:bottom w:val="single" w:sz="8" w:color="CCECFF"/>
            </w:tcBorders>
            <w:shd w:val="clear" w:color="auto" w:fill="CCECFF"/>
          </w:tcPr>
          <w:p>
            <w:pPr>
              <w:spacing w:after="0"/>
              <w:rPr>
                <w:sz w:val="17"/>
                <w:szCs w:val="17"/>
                <w:color w:val="auto"/>
              </w:rPr>
            </w:pPr>
          </w:p>
        </w:tc>
        <w:tc>
          <w:tcPr>
            <w:tcW w:w="20" w:type="dxa"/>
            <w:vAlign w:val="bottom"/>
          </w:tcPr>
          <w:p>
            <w:pPr>
              <w:spacing w:after="0"/>
              <w:rPr>
                <w:sz w:val="17"/>
                <w:szCs w:val="17"/>
                <w:color w:val="auto"/>
              </w:rPr>
            </w:pPr>
          </w:p>
        </w:tc>
      </w:tr>
      <w:tr>
        <w:trPr>
          <w:trHeight w:val="156"/>
        </w:trPr>
        <w:tc>
          <w:tcPr>
            <w:tcW w:w="51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 xml:space="preserve">Total return </w:t>
            </w:r>
            <w:r>
              <w:rPr>
                <w:rFonts w:ascii="Times New Roman" w:cs="Times New Roman" w:eastAsia="Times New Roman" w:hAnsi="Times New Roman"/>
                <w:sz w:val="18"/>
                <w:szCs w:val="18"/>
                <w:color w:val="auto"/>
                <w:vertAlign w:val="superscript"/>
              </w:rPr>
              <w:t>*(3)</w:t>
            </w:r>
          </w:p>
        </w:tc>
        <w:tc>
          <w:tcPr>
            <w:tcW w:w="1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00" w:type="dxa"/>
            <w:vAlign w:val="bottom"/>
            <w:gridSpan w:val="2"/>
          </w:tcPr>
          <w:p>
            <w:pPr>
              <w:jc w:val="right"/>
              <w:ind w:right="128"/>
              <w:spacing w:after="0" w:line="156" w:lineRule="exact"/>
              <w:rPr>
                <w:sz w:val="20"/>
                <w:szCs w:val="20"/>
                <w:color w:val="auto"/>
              </w:rPr>
            </w:pPr>
            <w:r>
              <w:rPr>
                <w:rFonts w:ascii="Times New Roman" w:cs="Times New Roman" w:eastAsia="Times New Roman" w:hAnsi="Times New Roman"/>
                <w:sz w:val="14"/>
                <w:szCs w:val="14"/>
                <w:color w:val="auto"/>
              </w:rPr>
              <w:t xml:space="preserve">17.29 </w:t>
            </w:r>
            <w:r>
              <w:rPr>
                <w:rFonts w:ascii="Times New Roman" w:cs="Times New Roman" w:eastAsia="Times New Roman" w:hAnsi="Times New Roman"/>
                <w:sz w:val="14"/>
                <w:szCs w:val="14"/>
                <w:color w:val="auto"/>
                <w:highlight w:val="white"/>
              </w:rPr>
              <w:t>%</w:t>
            </w:r>
          </w:p>
        </w:tc>
        <w:tc>
          <w:tcPr>
            <w:tcW w:w="1240" w:type="dxa"/>
            <w:vAlign w:val="bottom"/>
          </w:tcPr>
          <w:p>
            <w:pPr>
              <w:spacing w:after="0"/>
              <w:rPr>
                <w:sz w:val="13"/>
                <w:szCs w:val="13"/>
                <w:color w:val="auto"/>
              </w:rPr>
            </w:pPr>
          </w:p>
        </w:tc>
        <w:tc>
          <w:tcPr>
            <w:tcW w:w="8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 xml:space="preserve">2.03 </w:t>
            </w:r>
            <w:r>
              <w:rPr>
                <w:rFonts w:ascii="Times New Roman" w:cs="Times New Roman" w:eastAsia="Times New Roman" w:hAnsi="Times New Roman"/>
                <w:sz w:val="14"/>
                <w:szCs w:val="14"/>
                <w:color w:val="auto"/>
                <w:highlight w:val="white"/>
              </w:rPr>
              <w:t>%</w:t>
            </w:r>
          </w:p>
        </w:tc>
        <w:tc>
          <w:tcPr>
            <w:tcW w:w="20" w:type="dxa"/>
            <w:vAlign w:val="bottom"/>
          </w:tcPr>
          <w:p>
            <w:pPr>
              <w:spacing w:after="0"/>
              <w:rPr>
                <w:sz w:val="13"/>
                <w:szCs w:val="13"/>
                <w:color w:val="auto"/>
              </w:rPr>
            </w:pPr>
          </w:p>
        </w:tc>
      </w:tr>
      <w:tr>
        <w:trPr>
          <w:trHeight w:val="175"/>
        </w:trPr>
        <w:tc>
          <w:tcPr>
            <w:tcW w:w="5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1680" w:type="dxa"/>
            <w:vAlign w:val="bottom"/>
            <w:tcBorders>
              <w:bottom w:val="single" w:sz="8" w:color="CCECFF"/>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45,431,815</w:t>
            </w:r>
          </w:p>
        </w:tc>
        <w:tc>
          <w:tcPr>
            <w:tcW w:w="340" w:type="dxa"/>
            <w:vAlign w:val="bottom"/>
            <w:tcBorders>
              <w:bottom w:val="single" w:sz="8" w:color="CCECFF"/>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spacing w:after="0"/>
              <w:rPr>
                <w:sz w:val="15"/>
                <w:szCs w:val="15"/>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39,150,794</w:t>
            </w:r>
          </w:p>
        </w:tc>
        <w:tc>
          <w:tcPr>
            <w:tcW w:w="100" w:type="dxa"/>
            <w:vAlign w:val="bottom"/>
            <w:tcBorders>
              <w:bottom w:val="single" w:sz="8" w:color="CCECFF"/>
            </w:tcBorders>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5120" w:type="dxa"/>
            <w:vAlign w:val="bottom"/>
          </w:tcPr>
          <w:p>
            <w:pPr>
              <w:ind w:left="20"/>
              <w:spacing w:after="0" w:line="169" w:lineRule="exact"/>
              <w:rPr>
                <w:sz w:val="20"/>
                <w:szCs w:val="20"/>
                <w:color w:val="auto"/>
              </w:rPr>
            </w:pPr>
            <w:r>
              <w:rPr>
                <w:rFonts w:ascii="Times New Roman" w:cs="Times New Roman" w:eastAsia="Times New Roman" w:hAnsi="Times New Roman"/>
                <w:sz w:val="14"/>
                <w:szCs w:val="14"/>
                <w:b w:val="1"/>
                <w:bCs w:val="1"/>
                <w:color w:val="auto"/>
              </w:rPr>
              <w:t>Ratios</w:t>
            </w:r>
            <w:r>
              <w:rPr>
                <w:rFonts w:ascii="Times New Roman" w:cs="Times New Roman" w:eastAsia="Times New Roman" w:hAnsi="Times New Roman"/>
                <w:sz w:val="19"/>
                <w:szCs w:val="19"/>
                <w:b w:val="1"/>
                <w:bCs w:val="1"/>
                <w:color w:val="auto"/>
                <w:vertAlign w:val="superscript"/>
              </w:rPr>
              <w:t>**</w:t>
            </w:r>
            <w:r>
              <w:rPr>
                <w:rFonts w:ascii="Times New Roman" w:cs="Times New Roman" w:eastAsia="Times New Roman" w:hAnsi="Times New Roman"/>
                <w:sz w:val="14"/>
                <w:szCs w:val="14"/>
                <w:b w:val="1"/>
                <w:bCs w:val="1"/>
                <w:color w:val="auto"/>
              </w:rPr>
              <w:t xml:space="preserve"> / Supplemental Data:</w:t>
            </w:r>
          </w:p>
        </w:tc>
        <w:tc>
          <w:tcPr>
            <w:tcW w:w="1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512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operating expenses to average net assets </w:t>
            </w:r>
            <w:r>
              <w:rPr>
                <w:rFonts w:ascii="Times New Roman" w:cs="Times New Roman" w:eastAsia="Times New Roman" w:hAnsi="Times New Roman"/>
                <w:sz w:val="19"/>
                <w:szCs w:val="19"/>
                <w:color w:val="auto"/>
                <w:vertAlign w:val="superscript"/>
              </w:rPr>
              <w:t>(4)</w:t>
            </w:r>
          </w:p>
        </w:tc>
        <w:tc>
          <w:tcPr>
            <w:tcW w:w="1680" w:type="dxa"/>
            <w:vAlign w:val="bottom"/>
            <w:shd w:val="clear" w:color="auto" w:fill="CCECFF"/>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5.91 %</w:t>
            </w:r>
          </w:p>
        </w:tc>
        <w:tc>
          <w:tcPr>
            <w:tcW w:w="124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5.63 %</w:t>
            </w:r>
          </w:p>
        </w:tc>
        <w:tc>
          <w:tcPr>
            <w:tcW w:w="20" w:type="dxa"/>
            <w:vAlign w:val="bottom"/>
          </w:tcPr>
          <w:p>
            <w:pPr>
              <w:spacing w:after="0"/>
              <w:rPr>
                <w:sz w:val="15"/>
                <w:szCs w:val="15"/>
                <w:color w:val="auto"/>
              </w:rPr>
            </w:pPr>
          </w:p>
        </w:tc>
      </w:tr>
      <w:tr>
        <w:trPr>
          <w:trHeight w:val="175"/>
        </w:trPr>
        <w:tc>
          <w:tcPr>
            <w:tcW w:w="51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debt related expenses to average net assets </w:t>
            </w:r>
            <w:r>
              <w:rPr>
                <w:rFonts w:ascii="Times New Roman" w:cs="Times New Roman" w:eastAsia="Times New Roman" w:hAnsi="Times New Roman"/>
                <w:sz w:val="19"/>
                <w:szCs w:val="19"/>
                <w:color w:val="auto"/>
                <w:vertAlign w:val="superscript"/>
              </w:rPr>
              <w:t>(5)</w:t>
            </w:r>
          </w:p>
        </w:tc>
        <w:tc>
          <w:tcPr>
            <w:tcW w:w="1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7.53 %</w:t>
            </w:r>
          </w:p>
        </w:tc>
        <w:tc>
          <w:tcPr>
            <w:tcW w:w="12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5.36 %</w:t>
            </w:r>
          </w:p>
        </w:tc>
        <w:tc>
          <w:tcPr>
            <w:tcW w:w="20" w:type="dxa"/>
            <w:vAlign w:val="bottom"/>
          </w:tcPr>
          <w:p>
            <w:pPr>
              <w:spacing w:after="0"/>
              <w:rPr>
                <w:sz w:val="15"/>
                <w:szCs w:val="15"/>
                <w:color w:val="auto"/>
              </w:rPr>
            </w:pPr>
          </w:p>
        </w:tc>
      </w:tr>
      <w:tr>
        <w:trPr>
          <w:trHeight w:val="169"/>
        </w:trPr>
        <w:tc>
          <w:tcPr>
            <w:tcW w:w="5120" w:type="dxa"/>
            <w:vAlign w:val="bottom"/>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Ratio of total expenses to average net assets </w:t>
            </w:r>
            <w:r>
              <w:rPr>
                <w:rFonts w:ascii="Times New Roman" w:cs="Times New Roman" w:eastAsia="Times New Roman" w:hAnsi="Times New Roman"/>
                <w:sz w:val="19"/>
                <w:szCs w:val="19"/>
                <w:color w:val="auto"/>
                <w:vertAlign w:val="superscript"/>
              </w:rPr>
              <w:t>(5)</w:t>
            </w:r>
          </w:p>
        </w:tc>
        <w:tc>
          <w:tcPr>
            <w:tcW w:w="1680" w:type="dxa"/>
            <w:vAlign w:val="bottom"/>
            <w:shd w:val="clear" w:color="auto" w:fill="CCECFF"/>
          </w:tcPr>
          <w:p>
            <w:pPr>
              <w:spacing w:after="0"/>
              <w:rPr>
                <w:sz w:val="14"/>
                <w:szCs w:val="14"/>
                <w:color w:val="auto"/>
              </w:rPr>
            </w:pPr>
          </w:p>
        </w:tc>
        <w:tc>
          <w:tcPr>
            <w:tcW w:w="1240" w:type="dxa"/>
            <w:vAlign w:val="bottom"/>
            <w:tcBorders>
              <w:top w:val="single" w:sz="8" w:color="auto"/>
            </w:tcBorders>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CFF"/>
          </w:tcPr>
          <w:p>
            <w:pPr>
              <w:spacing w:after="0"/>
              <w:rPr>
                <w:sz w:val="14"/>
                <w:szCs w:val="14"/>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4"/>
                <w:szCs w:val="14"/>
                <w:color w:val="auto"/>
              </w:rPr>
            </w:pPr>
          </w:p>
        </w:tc>
      </w:tr>
      <w:tr>
        <w:trPr>
          <w:trHeight w:val="175"/>
        </w:trPr>
        <w:tc>
          <w:tcPr>
            <w:tcW w:w="51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net investment income to average net assets </w:t>
            </w:r>
            <w:r>
              <w:rPr>
                <w:rFonts w:ascii="Times New Roman" w:cs="Times New Roman" w:eastAsia="Times New Roman" w:hAnsi="Times New Roman"/>
                <w:sz w:val="19"/>
                <w:szCs w:val="19"/>
                <w:color w:val="auto"/>
                <w:vertAlign w:val="superscript"/>
              </w:rPr>
              <w:t>(5)</w:t>
            </w:r>
          </w:p>
        </w:tc>
        <w:tc>
          <w:tcPr>
            <w:tcW w:w="1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10.48 %</w:t>
            </w:r>
          </w:p>
        </w:tc>
        <w:tc>
          <w:tcPr>
            <w:tcW w:w="12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10.27 %</w:t>
            </w:r>
          </w:p>
        </w:tc>
        <w:tc>
          <w:tcPr>
            <w:tcW w:w="20" w:type="dxa"/>
            <w:vAlign w:val="bottom"/>
          </w:tcPr>
          <w:p>
            <w:pPr>
              <w:spacing w:after="0"/>
              <w:rPr>
                <w:sz w:val="15"/>
                <w:szCs w:val="15"/>
                <w:color w:val="auto"/>
              </w:rPr>
            </w:pPr>
          </w:p>
        </w:tc>
      </w:tr>
      <w:tr>
        <w:trPr>
          <w:trHeight w:val="175"/>
        </w:trPr>
        <w:tc>
          <w:tcPr>
            <w:tcW w:w="5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assets at end of period</w:t>
            </w:r>
          </w:p>
        </w:tc>
        <w:tc>
          <w:tcPr>
            <w:tcW w:w="1680" w:type="dxa"/>
            <w:vAlign w:val="bottom"/>
            <w:tcBorders>
              <w:bottom w:val="single" w:sz="8" w:color="CCECFF"/>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513,530</w:t>
            </w:r>
          </w:p>
        </w:tc>
        <w:tc>
          <w:tcPr>
            <w:tcW w:w="340" w:type="dxa"/>
            <w:vAlign w:val="bottom"/>
            <w:tcBorders>
              <w:bottom w:val="single" w:sz="8" w:color="CCECFF"/>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497,405</w:t>
            </w:r>
          </w:p>
        </w:tc>
        <w:tc>
          <w:tcPr>
            <w:tcW w:w="100" w:type="dxa"/>
            <w:vAlign w:val="bottom"/>
            <w:tcBorders>
              <w:bottom w:val="single" w:sz="8" w:color="CCECFF"/>
            </w:tcBorders>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debt outstanding</w:t>
            </w:r>
          </w:p>
        </w:tc>
        <w:tc>
          <w:tcPr>
            <w:tcW w:w="2920" w:type="dxa"/>
            <w:vAlign w:val="bottom"/>
            <w:gridSpan w:val="2"/>
          </w:tcPr>
          <w:p>
            <w:pPr>
              <w:jc w:val="right"/>
              <w:ind w:right="10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688,165</w:t>
            </w:r>
          </w:p>
        </w:tc>
        <w:tc>
          <w:tcPr>
            <w:tcW w:w="340" w:type="dxa"/>
            <w:vAlign w:val="bottom"/>
          </w:tcPr>
          <w:p>
            <w:pPr>
              <w:spacing w:after="0"/>
              <w:rPr>
                <w:sz w:val="14"/>
                <w:szCs w:val="14"/>
                <w:color w:val="auto"/>
              </w:rPr>
            </w:pPr>
          </w:p>
        </w:tc>
        <w:tc>
          <w:tcPr>
            <w:tcW w:w="124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739,241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120" w:type="dxa"/>
            <w:vAlign w:val="bottom"/>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Weighted average debt per share </w:t>
            </w:r>
            <w:r>
              <w:rPr>
                <w:rFonts w:ascii="Times New Roman" w:cs="Times New Roman" w:eastAsia="Times New Roman" w:hAnsi="Times New Roman"/>
                <w:sz w:val="19"/>
                <w:szCs w:val="19"/>
                <w:color w:val="auto"/>
                <w:vertAlign w:val="superscript"/>
              </w:rPr>
              <w:t>(1)</w:t>
            </w:r>
          </w:p>
        </w:tc>
        <w:tc>
          <w:tcPr>
            <w:tcW w:w="1680" w:type="dxa"/>
            <w:vAlign w:val="bottom"/>
            <w:shd w:val="clear" w:color="auto" w:fill="CCECFF"/>
          </w:tcPr>
          <w:p>
            <w:pPr>
              <w:spacing w:after="0"/>
              <w:rPr>
                <w:sz w:val="14"/>
                <w:szCs w:val="14"/>
                <w:color w:val="auto"/>
              </w:rPr>
            </w:pPr>
          </w:p>
        </w:tc>
        <w:tc>
          <w:tcPr>
            <w:tcW w:w="1240" w:type="dxa"/>
            <w:vAlign w:val="bottom"/>
            <w:tcBorders>
              <w:top w:val="single" w:sz="8" w:color="auto"/>
            </w:tcBorders>
            <w:shd w:val="clear" w:color="auto" w:fill="CCEC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340" w:type="dxa"/>
            <w:vAlign w:val="bottom"/>
            <w:shd w:val="clear" w:color="auto" w:fill="CCECFF"/>
          </w:tcPr>
          <w:p>
            <w:pPr>
              <w:spacing w:after="0"/>
              <w:rPr>
                <w:sz w:val="14"/>
                <w:szCs w:val="14"/>
                <w:color w:val="auto"/>
              </w:rPr>
            </w:pPr>
          </w:p>
        </w:tc>
        <w:tc>
          <w:tcPr>
            <w:tcW w:w="1240" w:type="dxa"/>
            <w:vAlign w:val="bottom"/>
            <w:tcBorders>
              <w:top w:val="single" w:sz="8" w:color="auto"/>
            </w:tcBorders>
            <w:shd w:val="clear" w:color="auto" w:fill="CCEC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51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Asset coverage per unit </w:t>
            </w:r>
            <w:r>
              <w:rPr>
                <w:rFonts w:ascii="Times New Roman" w:cs="Times New Roman" w:eastAsia="Times New Roman" w:hAnsi="Times New Roman"/>
                <w:sz w:val="19"/>
                <w:szCs w:val="19"/>
                <w:color w:val="auto"/>
                <w:vertAlign w:val="superscript"/>
              </w:rPr>
              <w:t>(6)</w:t>
            </w:r>
          </w:p>
        </w:tc>
        <w:tc>
          <w:tcPr>
            <w:tcW w:w="2920" w:type="dxa"/>
            <w:vAlign w:val="bottom"/>
            <w:gridSpan w:val="2"/>
          </w:tcPr>
          <w:p>
            <w:pPr>
              <w:jc w:val="right"/>
              <w:ind w:right="10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340" w:type="dxa"/>
            <w:vAlign w:val="bottom"/>
          </w:tcPr>
          <w:p>
            <w:pPr>
              <w:spacing w:after="0"/>
              <w:rPr>
                <w:sz w:val="15"/>
                <w:szCs w:val="15"/>
                <w:color w:val="auto"/>
              </w:rPr>
            </w:pPr>
          </w:p>
        </w:tc>
        <w:tc>
          <w:tcPr>
            <w:tcW w:w="1240" w:type="dxa"/>
            <w:vAlign w:val="bottom"/>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512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Portfolio turnover rate</w:t>
            </w:r>
            <w:r>
              <w:rPr>
                <w:rFonts w:ascii="Times New Roman" w:cs="Times New Roman" w:eastAsia="Times New Roman" w:hAnsi="Times New Roman"/>
                <w:sz w:val="19"/>
                <w:szCs w:val="19"/>
                <w:color w:val="auto"/>
                <w:vertAlign w:val="superscript"/>
              </w:rPr>
              <w:t>*</w:t>
            </w:r>
          </w:p>
        </w:tc>
        <w:tc>
          <w:tcPr>
            <w:tcW w:w="1680" w:type="dxa"/>
            <w:vAlign w:val="bottom"/>
            <w:shd w:val="clear" w:color="auto" w:fill="CCECFF"/>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4.04 %</w:t>
            </w:r>
          </w:p>
        </w:tc>
        <w:tc>
          <w:tcPr>
            <w:tcW w:w="124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19.94 %</w:t>
            </w:r>
          </w:p>
        </w:tc>
        <w:tc>
          <w:tcPr>
            <w:tcW w:w="20" w:type="dxa"/>
            <w:vAlign w:val="bottom"/>
          </w:tcPr>
          <w:p>
            <w:pPr>
              <w:spacing w:after="0"/>
              <w:rPr>
                <w:sz w:val="15"/>
                <w:szCs w:val="15"/>
                <w:color w:val="auto"/>
              </w:rPr>
            </w:pPr>
          </w:p>
        </w:tc>
      </w:tr>
      <w:tr>
        <w:trPr>
          <w:trHeight w:val="381"/>
        </w:trPr>
        <w:tc>
          <w:tcPr>
            <w:tcW w:w="5120" w:type="dxa"/>
            <w:vAlign w:val="bottom"/>
          </w:tcPr>
          <w:p>
            <w:pPr>
              <w:spacing w:after="0"/>
              <w:rPr>
                <w:sz w:val="24"/>
                <w:szCs w:val="24"/>
                <w:color w:val="auto"/>
              </w:rPr>
            </w:pPr>
          </w:p>
        </w:tc>
        <w:tc>
          <w:tcPr>
            <w:tcW w:w="168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rPr>
              <w:t>34</w:t>
            </w: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1"/>
        </w:trPr>
        <w:tc>
          <w:tcPr>
            <w:tcW w:w="512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-1953895</wp:posOffset>
            </wp:positionV>
            <wp:extent cx="77470" cy="145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145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-1696720</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-1447800</wp:posOffset>
            </wp:positionV>
            <wp:extent cx="77470" cy="1200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1200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-762000</wp:posOffset>
            </wp:positionV>
            <wp:extent cx="77470"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-762000</wp:posOffset>
            </wp:positionV>
            <wp:extent cx="68580"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9" w:lineRule="exact"/>
        <w:rPr>
          <w:sz w:val="20"/>
          <w:szCs w:val="20"/>
          <w:color w:val="auto"/>
        </w:rPr>
      </w:pPr>
    </w:p>
    <w:p>
      <w:pPr>
        <w:ind w:right="9180" w:firstLine="8"/>
        <w:spacing w:after="0" w:line="266" w:lineRule="auto"/>
        <w:tabs>
          <w:tab w:leader="none" w:pos="81" w:val="left"/>
        </w:tabs>
        <w:numPr>
          <w:ilvl w:val="0"/>
          <w:numId w:val="17"/>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0"/>
          <w:szCs w:val="10"/>
          <w:color w:val="auto"/>
        </w:rPr>
        <w:t xml:space="preserve">Not annualized for periods less than one year. </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Annualized for periods less than one year.</w:t>
      </w:r>
    </w:p>
    <w:p>
      <w:pPr>
        <w:ind w:left="380" w:hanging="372"/>
        <w:spacing w:after="0" w:line="181" w:lineRule="auto"/>
        <w:tabs>
          <w:tab w:leader="none" w:pos="380" w:val="left"/>
        </w:tabs>
        <w:numPr>
          <w:ilvl w:val="0"/>
          <w:numId w:val="1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Based on the weighted average shares outstanding for the respective periods.</w:t>
      </w:r>
    </w:p>
    <w:p>
      <w:pPr>
        <w:ind w:left="380" w:hanging="372"/>
        <w:spacing w:after="0" w:line="181" w:lineRule="auto"/>
        <w:tabs>
          <w:tab w:leader="none" w:pos="380" w:val="left"/>
        </w:tabs>
        <w:numPr>
          <w:ilvl w:val="0"/>
          <w:numId w:val="1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tax status of distributions is calculated in accordance with income tax regulations, which may differ from amounts determined under GAAP, and reported on Form 1099-DIV each calendar year.</w:t>
      </w:r>
    </w:p>
    <w:p>
      <w:pPr>
        <w:ind w:left="380" w:hanging="372"/>
        <w:spacing w:after="0" w:line="181" w:lineRule="auto"/>
        <w:tabs>
          <w:tab w:leader="none" w:pos="380" w:val="left"/>
        </w:tabs>
        <w:numPr>
          <w:ilvl w:val="0"/>
          <w:numId w:val="1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Based on the change in market price per share during the periods and assumes distributions, if any, are reinvested.</w:t>
      </w:r>
    </w:p>
    <w:p>
      <w:pPr>
        <w:ind w:left="380" w:hanging="372"/>
        <w:spacing w:after="0" w:line="181" w:lineRule="auto"/>
        <w:tabs>
          <w:tab w:leader="none" w:pos="380" w:val="left"/>
        </w:tabs>
        <w:numPr>
          <w:ilvl w:val="0"/>
          <w:numId w:val="1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Excludes debt-related costs.</w:t>
      </w:r>
    </w:p>
    <w:p>
      <w:pPr>
        <w:ind w:left="380" w:hanging="372"/>
        <w:spacing w:after="0" w:line="181" w:lineRule="auto"/>
        <w:tabs>
          <w:tab w:leader="none" w:pos="380" w:val="left"/>
        </w:tabs>
        <w:numPr>
          <w:ilvl w:val="0"/>
          <w:numId w:val="1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interest and expenses on debt (annualized) as well as Credit Facility amendment and debt issuance costs, if any, (not annualized).</w:t>
      </w:r>
    </w:p>
    <w:p>
      <w:pPr>
        <w:ind w:left="380" w:right="360" w:hanging="372"/>
        <w:spacing w:after="0" w:line="208" w:lineRule="auto"/>
        <w:tabs>
          <w:tab w:leader="none" w:pos="380" w:val="left"/>
        </w:tabs>
        <w:numPr>
          <w:ilvl w:val="0"/>
          <w:numId w:val="1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DEBT</w:t>
      </w:r>
    </w:p>
    <w:p>
      <w:pPr>
        <w:spacing w:after="0" w:line="138"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The annualized weighted average cost of debt for the three months ended December 31, 2022 and 2021, inclusive of the fee on the undrawn commitment on the Credit Facility or the Prior Credit Facility, as applicable, amendment costs and debt issuance costs, was 5.8% and 3.6%, respectively. As of December 31, 2022, in accordance with the 1940 Act, with certain limited exceptions, we are only allowed to borrow amounts such that we are in compliance with a 150% asset coverage ratio requirement after such borrowing.</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December 31, 2022 and September 30, 2022, our asset coverage ratio, as computed in accordance with the 1940 Act, was 173% and 178%, respectively.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Facility</w:t>
      </w:r>
    </w:p>
    <w:p>
      <w:pPr>
        <w:spacing w:after="0" w:line="140"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Funding I’s multi-currency Credit Facility with affiliates of Truist Bank (formerly SunTrust Bank), or the Lenders, was $366.0 million as of December 31, 2022, subject to satisfaction of certain conditions and the regulatory restrictions that the 1940 Act imposes on us as a BDC, has an interest rate spread above SOFR (or an alternative risk-free floating interest rate index) of 225 basis points, a maturity date of August 2026 and a revolving period that ends in August 2024. As of December 31, 2022 and September 30, 2022, Funding I had $199.7 million and $168.8 million of outstanding borrowings under the Credit Facility, respectively. The Credit Facility had a weighted average interest rate of 6.5% and 4.7%, exclusive of the fee on undrawn commitments as of December 31, 2022 and September 30, 2022, respectively. As of December 31, 2022 and September 30, 2022, we had $166.3 million and $197.2 million of unused borrowing capacity under the Credit Facility, respectively, subject to leverage and borrowing base restrictions.</w:t>
      </w:r>
    </w:p>
    <w:p>
      <w:pPr>
        <w:spacing w:after="0" w:line="11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During the revolving period, the Credit Facility bears interest at SOFR (or an alternative risk-free floating interest rate index) plus 225 basis points and, after the revolving period, the rate will reset to Base Rate (or an alternative risk-free floating interest rate index) plus 250 basis points for the remaining two years, maturing in August 2026. The Credit Facility is secured by all of the assets of Funding I. Both we and Funding I have made customary representations and warranties and are required to comply with various covenants, reporting requirements and other customary requirements for similar credit facilities.</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December 31, 2022, we were in compliance with the covenants relating to the Credit Facility.</w:t>
      </w:r>
    </w:p>
    <w:p>
      <w:pPr>
        <w:spacing w:after="0" w:line="10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95"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Notes</w:t>
      </w:r>
    </w:p>
    <w:p>
      <w:pPr>
        <w:spacing w:after="0" w:line="14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In November 2017, we issued $138.6 million of our 2023 Notes of which $76.2 million and $97.0 million were outstanding as at December 31, 2022 and September 30, 2022, respectively. The 2023 Notes were issued pursuant to a deed of trust between the Company and Mishmeret Trust Company, Ltd., as trustee.</w:t>
      </w:r>
    </w:p>
    <w:p>
      <w:pPr>
        <w:spacing w:after="0" w:line="95"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The 2023 Notes pay interest at a rate of 4.3% per year. As a result of the downgrade of the 2023 Notes from “ilA+” to “ilA-” in March 2020, the interest rate of the 2023 Notes was increased to 4.3% from 3.8%.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spacing w:after="0" w:line="109"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4"/>
          <w:szCs w:val="14"/>
          <w:b w:val="1"/>
          <w:bCs w:val="1"/>
          <w:color w:val="auto"/>
        </w:rPr>
        <w:t>PENNANTPARK FLOATING RATE CAPITAL LTD.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In March 2021 and in October 2021, we issued $100.0 million and $85.0 million, respectively, in aggregate principal amount of $185.0 million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of our existing and future indebtedness and other obligations of any of our subsidiaries, financing vehicles, or similar facilities. We do not intend to list the 2026 Notes on any securities exchange or automated dealer quotation system.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2031 Asset-Backed Debt</w:t>
      </w:r>
    </w:p>
    <w:p>
      <w:pPr>
        <w:spacing w:after="0" w:line="140" w:lineRule="exact"/>
        <w:rPr>
          <w:sz w:val="20"/>
          <w:szCs w:val="20"/>
          <w:color w:val="auto"/>
        </w:rPr>
      </w:pPr>
    </w:p>
    <w:p>
      <w:pPr>
        <w:jc w:val="both"/>
        <w:ind w:firstLine="488"/>
        <w:spacing w:after="0" w:line="228" w:lineRule="auto"/>
        <w:rPr>
          <w:sz w:val="20"/>
          <w:szCs w:val="20"/>
          <w:color w:val="auto"/>
        </w:rPr>
      </w:pPr>
      <w:r>
        <w:rPr>
          <w:rFonts w:ascii="Times New Roman" w:cs="Times New Roman" w:eastAsia="Times New Roman" w:hAnsi="Times New Roman"/>
          <w:sz w:val="14"/>
          <w:szCs w:val="14"/>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Loans maturing 2031, which bear interest at the three-month LIBOR plus 1.8%, (ii) $15.0 million Class A-2 Senior Secured Fixed Rate Notes due 2031, which bear interest at 3.7%, (iii) $14.0 million Class B-1 Senior Secured Floating Rate Notes due 2031, which bear interest at the three-</w:t>
      </w:r>
    </w:p>
    <w:p>
      <w:pPr>
        <w:spacing w:after="0" w:line="2" w:lineRule="exact"/>
        <w:rPr>
          <w:sz w:val="20"/>
          <w:szCs w:val="20"/>
          <w:color w:val="auto"/>
        </w:rPr>
      </w:pPr>
    </w:p>
    <w:p>
      <w:pPr>
        <w:jc w:val="both"/>
        <w:spacing w:after="0" w:line="164" w:lineRule="exact"/>
        <w:rPr>
          <w:sz w:val="20"/>
          <w:szCs w:val="20"/>
          <w:color w:val="auto"/>
        </w:rPr>
      </w:pPr>
      <w:r>
        <w:rPr>
          <w:rFonts w:ascii="Times New Roman" w:cs="Times New Roman" w:eastAsia="Times New Roman" w:hAnsi="Times New Roman"/>
          <w:sz w:val="14"/>
          <w:szCs w:val="14"/>
          <w:color w:val="auto"/>
        </w:rPr>
        <w:t>month LIBOR plus 2.9%, (iv) $16.0 million Class B-2 Senior Secured Fixed Rate Notes due 2031, which bear interest at 4.3%, (v) $19.0 million Class C</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Loans due 2031, which bear interest at the three-month LIBOR plus 4.8% and (B) the borrowing of $77.5 million Class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Senior Secured</w:t>
      </w:r>
    </w:p>
    <w:p>
      <w:pPr>
        <w:jc w:val="both"/>
        <w:spacing w:after="0" w:line="233" w:lineRule="auto"/>
        <w:rPr>
          <w:sz w:val="20"/>
          <w:szCs w:val="20"/>
          <w:color w:val="auto"/>
        </w:rPr>
      </w:pPr>
      <w:r>
        <w:rPr>
          <w:rFonts w:ascii="Times New Roman" w:cs="Times New Roman" w:eastAsia="Times New Roman" w:hAnsi="Times New Roman"/>
          <w:sz w:val="14"/>
          <w:szCs w:val="14"/>
          <w:color w:val="auto"/>
        </w:rPr>
        <w:t>Floating Rate Notes due 2031, which bear interest at the three-month LIBOR plus 1.8%,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The 2031 Asset-Backed Debt is included in the Consolidated Statement of Assets and Liabilities as debt of the Company and the Class D Secured Deferrable Floating Rate Notes and the Preferred Shares of the Securitization Issuer were eliminated in consolidation. As of both December 31, 2022 and September 30, 2022, the Company had $228.0 million of 2031 Asset-Backed Debt outstanding with a weighted average interest rate of 5.9% and 4.6%, respectively. As of December 31, 2022 and September 30, 2022, the unamortized fees on the 2031 Asset-Backed Debt were $1.7 million and $1.9 million, respectively.</w:t>
      </w:r>
    </w:p>
    <w:p>
      <w:pPr>
        <w:spacing w:after="0" w:line="10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COMMITMENTS AND CONTINGENCIES</w:t>
      </w:r>
    </w:p>
    <w:p>
      <w:pPr>
        <w:spacing w:after="0" w:line="138" w:lineRule="exact"/>
        <w:rPr>
          <w:sz w:val="20"/>
          <w:szCs w:val="20"/>
          <w:color w:val="auto"/>
        </w:rPr>
      </w:pPr>
    </w:p>
    <w:p>
      <w:pPr>
        <w:jc w:val="both"/>
        <w:ind w:right="20" w:firstLine="449"/>
        <w:spacing w:after="0" w:line="233" w:lineRule="auto"/>
        <w:rPr>
          <w:sz w:val="20"/>
          <w:szCs w:val="20"/>
          <w:color w:val="auto"/>
        </w:rPr>
      </w:pPr>
      <w:r>
        <w:rPr>
          <w:rFonts w:ascii="Times New Roman" w:cs="Times New Roman" w:eastAsia="Times New Roman" w:hAnsi="Times New Roman"/>
          <w:sz w:val="14"/>
          <w:szCs w:val="14"/>
          <w:color w:val="auto"/>
        </w:rPr>
        <w:t>From time to time, we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December 31, 2022 and September 30, 2022, we had $151.4 million and $150.6 million, respectively, in commitments to fund investments. Additionally, as described in Note 4, the Company had unfunded commitments of $15.3 and $28.4 million to PSSL as of December 31, 2022 and September 30, 2022, respectively, that may be contributed primarily for the purpose of funding new investments approved by the PSSL board of directors or investment committee.</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12. SUBSEQUENT EVENTS</w:t>
      </w:r>
    </w:p>
    <w:p>
      <w:pPr>
        <w:spacing w:after="0" w:line="354"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In connection with our January 23, 2023 public offering, we issued approximately 4.3 million shares of common stock resulting in net proceeds exclusive of offering expenses to the Company of approximately $47.6 million, or $11.20 per share.</w:t>
      </w:r>
    </w:p>
    <w:p>
      <w:pPr>
        <w:spacing w:after="0" w:line="95"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The Adviser, has agreed to pay the underwriters a supplemental payment of $0.10 per share, which reflects the difference between the public offering price of $11.10 and the net proceeds of $11.20 per share received by the Company in this offering. In addition, the Adviser has agreed to bear the sales load payable to the underwriters. The Company is not obligated to repay either the supplemental payment or the sales load paid by the Adviser.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ind w:left="38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 of PennantPark Floating Rate Capital Ltd. and its Subsidiaries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Review of Interim Financial Statements</w:t>
      </w:r>
    </w:p>
    <w:p>
      <w:pPr>
        <w:spacing w:after="0" w:line="138" w:lineRule="exact"/>
        <w:rPr>
          <w:sz w:val="20"/>
          <w:szCs w:val="20"/>
          <w:color w:val="auto"/>
        </w:rPr>
      </w:pPr>
    </w:p>
    <w:p>
      <w:pPr>
        <w:ind w:right="340"/>
        <w:spacing w:after="0" w:line="241" w:lineRule="auto"/>
        <w:rPr>
          <w:sz w:val="20"/>
          <w:szCs w:val="20"/>
          <w:color w:val="auto"/>
        </w:rPr>
      </w:pPr>
      <w:r>
        <w:rPr>
          <w:rFonts w:ascii="Times New Roman" w:cs="Times New Roman" w:eastAsia="Times New Roman" w:hAnsi="Times New Roman"/>
          <w:sz w:val="14"/>
          <w:szCs w:val="14"/>
          <w:color w:val="auto"/>
        </w:rPr>
        <w:t>We have reviewed the accompanying consolidated statement of assets and liabilities of PennantPark Floating Rate Capital Ltd. and its Subsidiaries (collectively referred to as the Company), including the consolidated schedule of investments, as of December 31, 2022, the related consolidated statements of operations and changes in net assets for the three-month periods ended December 31, 2022 and 2021, and cash flows for the three-month periods ended December 31, 2022 and 2021, and the related notes to</w:t>
      </w:r>
    </w:p>
    <w:p>
      <w:pPr>
        <w:spacing w:after="0" w:line="10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(collectively, the interim financial statements). Based on our reviews, we are not aware of any material modifications that should be made to the consolidated financial statements referred to above for them to be in conformity with accounting principles generally accepted in the United States of America.</w:t>
      </w:r>
    </w:p>
    <w:p>
      <w:pPr>
        <w:spacing w:after="0" w:line="244"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2022, and the related consolidated statements of operations, changes in net assets, and cash flows for the year then ended (not presented herein); and in our report dated November 17, 2022, we expressed an unqualified opinion on those consolidated financial statements. In our opinion, the information set forth in the accompanying consolidated statement of assets and liabilities, including the consolidated schedule of investments, as of September 30, 2022, is fairly stated, in all material respects, in relation to the consolidated statement of assets and liabilities, including the consolidated schedule of investments, from which it has been derived.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Review Results</w:t>
      </w:r>
    </w:p>
    <w:p>
      <w:pPr>
        <w:spacing w:after="0" w:line="138"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421005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7" w:name="page38"/>
    <w:bookmarkEnd w:id="37"/>
    <w:p>
      <w:pPr>
        <w:ind w:left="3500"/>
        <w:spacing w:after="0"/>
        <w:rPr>
          <w:sz w:val="20"/>
          <w:szCs w:val="20"/>
          <w:color w:val="auto"/>
        </w:rPr>
      </w:pPr>
      <w:r>
        <w:rPr>
          <w:rFonts w:ascii="Times New Roman" w:cs="Times New Roman" w:eastAsia="Times New Roman" w:hAnsi="Times New Roman"/>
          <w:sz w:val="14"/>
          <w:szCs w:val="14"/>
          <w:b w:val="1"/>
          <w:bCs w:val="1"/>
          <w:color w:val="auto"/>
        </w:rPr>
        <w:t>Awareness Letter of Independent Registered Public Accounting Firm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PennantPark Floating Rate Capital Ltd. and its Subsidiaries</w:t>
      </w:r>
    </w:p>
    <w:p>
      <w:pPr>
        <w:spacing w:after="0" w:line="13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We have reviewed, in accordance with the standards of the Public Company Accounting Oversight Board (United States), the unaudited interim financial information of PennantPark Floating Rate Capital Ltd. for the periods ended December 31, 2022 and 2021, as indicated in our report dated February 8, 2023; because we did not perform an audit, we expressed no opinion on that information.</w:t>
      </w:r>
    </w:p>
    <w:p>
      <w:pPr>
        <w:spacing w:after="0" w:line="2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aware that our report referred to above, which is included in your Quarterly Report on Form 10-Q for the quarter ended December 31, 2022, is incorporated by reference in Registration Statement No.333-268813 on Form N-2.</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26" w:lineRule="auto"/>
        <w:rPr>
          <w:sz w:val="20"/>
          <w:szCs w:val="20"/>
          <w:color w:val="auto"/>
        </w:rPr>
      </w:pPr>
      <w:r>
        <w:rPr>
          <w:rFonts w:ascii="Times New Roman" w:cs="Times New Roman" w:eastAsia="Times New Roman" w:hAnsi="Times New Roman"/>
          <w:sz w:val="14"/>
          <w:szCs w:val="14"/>
          <w:color w:val="auto"/>
        </w:rPr>
        <w:t>February 8, 2023</w:t>
      </w: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8" w:name="page39"/>
    <w:bookmarkEnd w:id="38"/>
    <w:p>
      <w:pPr>
        <w:ind w:right="3320"/>
        <w:spacing w:after="0" w:line="444" w:lineRule="auto"/>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FORWARD-LOOKING STATEMENTS</w:t>
      </w: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09" w:lineRule="exact"/>
        <w:rPr>
          <w:sz w:val="20"/>
          <w:szCs w:val="20"/>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prospective portfolio companies, including as a result of the pandemic caused by COVID-19 or any future worsening there of;</w:t>
      </w:r>
    </w:p>
    <w:p>
      <w:pPr>
        <w:spacing w:after="0" w:line="136" w:lineRule="exact"/>
        <w:rPr>
          <w:rFonts w:ascii="Times New Roman" w:cs="Times New Roman" w:eastAsia="Times New Roman" w:hAnsi="Times New Roman"/>
          <w:sz w:val="14"/>
          <w:szCs w:val="14"/>
          <w:color w:val="auto"/>
        </w:rPr>
      </w:pPr>
    </w:p>
    <w:p>
      <w:pPr>
        <w:ind w:left="840" w:right="80" w:hanging="383"/>
        <w:spacing w:after="0" w:line="261" w:lineRule="auto"/>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COVID-19 pandemic or any future worsening there of;</w:t>
      </w:r>
    </w:p>
    <w:p>
      <w:pPr>
        <w:spacing w:after="0" w:line="95"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interest rates and foreign exchange rates on our business and our portfolio companies;</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our investments in portfolio companies, particularly those having no liquid trading market;</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prospective portfolio companies to achieve their objectives;</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financings and investments and ability to fund capital commitments to PSSL;</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prospective portfolio companies;</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price and volume fluctuations in the stock market;</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levels of inflation, and its impact on us and our portfolio companies;</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Adviser to locate suitable investments for us and to monitor and administer our investments;</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future legislation and regulation on our business and our portfolio companies; and</w:t>
      </w:r>
    </w:p>
    <w:p>
      <w:pPr>
        <w:spacing w:after="0" w:line="136" w:lineRule="exact"/>
        <w:rPr>
          <w:rFonts w:ascii="Times New Roman" w:cs="Times New Roman" w:eastAsia="Times New Roman" w:hAnsi="Times New Roman"/>
          <w:sz w:val="14"/>
          <w:szCs w:val="14"/>
          <w:color w:val="auto"/>
        </w:rPr>
      </w:pPr>
    </w:p>
    <w:p>
      <w:pPr>
        <w:ind w:left="840" w:right="180" w:hanging="383"/>
        <w:spacing w:after="0" w:line="261" w:lineRule="auto"/>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ongoing invasion of Ukraine by Russia, United Kingdom’s withdrawal from the European Union (commonly known as “Brexit”) and other world economic and political issues.</w:t>
      </w:r>
    </w:p>
    <w:p>
      <w:pPr>
        <w:spacing w:after="0" w:line="95"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0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9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4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95"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w:t>
      </w: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39" w:name="page40"/>
    <w:bookmarkEnd w:id="39"/>
    <w:p>
      <w:pPr>
        <w:jc w:val="both"/>
        <w:spacing w:after="0" w:line="233" w:lineRule="auto"/>
        <w:rPr>
          <w:sz w:val="20"/>
          <w:szCs w:val="20"/>
          <w:color w:val="auto"/>
        </w:rPr>
      </w:pPr>
      <w:r>
        <w:rPr>
          <w:rFonts w:ascii="Times New Roman" w:cs="Times New Roman" w:eastAsia="Times New Roman" w:hAnsi="Times New Roman"/>
          <w:sz w:val="14"/>
          <w:szCs w:val="14"/>
          <w:color w:val="auto"/>
        </w:rPr>
        <w:t>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0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Structure of PennantPark Floating Rate Capital Ltd.</w:t>
      </w:r>
    </w:p>
    <w:p>
      <w:pPr>
        <w:spacing w:after="0" w:line="14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95"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 Our board of directors, a majority of whom are independent of us, provides overall supervision of our activities, and the Investment Adviser supervises our day-to-day activities.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At-the-Market Offering</w:t>
      </w:r>
    </w:p>
    <w:p>
      <w:pPr>
        <w:spacing w:after="0" w:line="140" w:lineRule="exact"/>
        <w:rPr>
          <w:sz w:val="20"/>
          <w:szCs w:val="20"/>
          <w:color w:val="auto"/>
        </w:rPr>
      </w:pPr>
    </w:p>
    <w:p>
      <w:pPr>
        <w:jc w:val="both"/>
        <w:ind w:firstLine="524"/>
        <w:spacing w:after="0" w:line="231" w:lineRule="auto"/>
        <w:rPr>
          <w:sz w:val="20"/>
          <w:szCs w:val="20"/>
          <w:color w:val="auto"/>
        </w:rPr>
      </w:pPr>
      <w:r>
        <w:rPr>
          <w:rFonts w:ascii="Times New Roman" w:cs="Times New Roman" w:eastAsia="Times New Roman" w:hAnsi="Times New Roman"/>
          <w:sz w:val="14"/>
          <w:szCs w:val="14"/>
          <w:color w:val="auto"/>
        </w:rPr>
        <w:t>On August 20, 2021, the Company entered into an equity distribution agreements (together, as amended from time to time, the "Equity Distribution Agreements") with each of JMP Securities LLC and Raymond James &amp; Associates, Inc., as the sales agents (each, a “Sales Agent", and together, the “Sales Agents”), in connection with the sale of shares of our Common Stock with an aggregate offering price of up to $75 million under an at-the-market offering. On May 5, 2022, we amended the Equity Distribution Agreements to update references from NASDAQ to NYSE and reflect that the agents are now represented by Kirkland &amp; Ellis LLP. The Equity Distribution Agreements, as amended,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40" w:lineRule="exact"/>
        <w:rPr>
          <w:sz w:val="20"/>
          <w:szCs w:val="20"/>
          <w:color w:val="auto"/>
        </w:rPr>
      </w:pPr>
    </w:p>
    <w:p>
      <w:pPr>
        <w:jc w:val="both"/>
        <w:ind w:firstLine="449"/>
        <w:spacing w:after="0" w:line="227" w:lineRule="auto"/>
        <w:rPr>
          <w:sz w:val="20"/>
          <w:szCs w:val="20"/>
          <w:color w:val="auto"/>
        </w:rPr>
      </w:pPr>
      <w:r>
        <w:rPr>
          <w:rFonts w:ascii="Times New Roman" w:cs="Times New Roman" w:eastAsia="Times New Roman" w:hAnsi="Times New Roman"/>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4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09" w:lineRule="exact"/>
        <w:rPr>
          <w:sz w:val="20"/>
          <w:szCs w:val="20"/>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calculating our NAV, including the cost of any third-party valuation services;</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effecting sales and repurchases of shares of our common stock and other securities;</w:t>
      </w:r>
    </w:p>
    <w:p>
      <w:pPr>
        <w:spacing w:after="0" w:line="136" w:lineRule="exact"/>
        <w:rPr>
          <w:rFonts w:ascii="Times New Roman" w:cs="Times New Roman" w:eastAsia="Times New Roman" w:hAnsi="Times New Roman"/>
          <w:sz w:val="14"/>
          <w:szCs w:val="14"/>
          <w:color w:val="auto"/>
        </w:rPr>
      </w:pPr>
    </w:p>
    <w:p>
      <w:pPr>
        <w:ind w:left="840" w:right="180" w:hanging="383"/>
        <w:spacing w:after="0" w:line="261" w:lineRule="auto"/>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95"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by the Investment Adviser in performing due diligence and reviews of investments;</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agent and custodial fees;</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marketing efforts;</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registration fees and any exchange listing fees;</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local and foreign taxes;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0" w:name="page41"/>
    <w:bookmarkEnd w:id="40"/>
    <w:p>
      <w:pPr>
        <w:ind w:left="840" w:hanging="383"/>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directors’ fees and expenses;</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brokerage commissions;</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fidelity bond, directors and officers, errors and omissions liability insurance and other insurance premiums;</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costs such as printing, mailing, long distance telephone and staff;</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and expenses associated with independent audits and outside legal costs;</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our reporting and compliance obligations under the 1940 Act and applicable federal and state securities laws; and</w:t>
      </w:r>
    </w:p>
    <w:p>
      <w:pPr>
        <w:spacing w:after="0" w:line="136" w:lineRule="exact"/>
        <w:rPr>
          <w:rFonts w:ascii="Times New Roman" w:cs="Times New Roman" w:eastAsia="Times New Roman" w:hAnsi="Times New Roman"/>
          <w:sz w:val="14"/>
          <w:szCs w:val="14"/>
          <w:color w:val="auto"/>
        </w:rPr>
      </w:pPr>
    </w:p>
    <w:p>
      <w:pPr>
        <w:ind w:left="840" w:right="40" w:hanging="383"/>
        <w:spacing w:after="0" w:line="241" w:lineRule="auto"/>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w:t>
      </w:r>
    </w:p>
    <w:p>
      <w:pPr>
        <w:spacing w:after="0" w:line="109"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PORTFOLIO AND INVESTMENT ACTIVITY</w:t>
      </w:r>
    </w:p>
    <w:p>
      <w:pPr>
        <w:spacing w:after="0" w:line="138"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As of December 31, 2022, our portfolio totaled $1,151.1 million, and consisted of $998.2 million of first lien secured debt (including $199.4 million in PSSL), $0.1 million of second lien secured debt and $152.8 million of preferred and common equity (including $48.3 million in PSSL). Our debt portfolio consisted of 100% variable-rate investments. As of December 31, 2022, we had three portfolio companies on non-accrual, representing 1.9% and 0.6% of our overall portfolio on a cost and fair value basis, respectively. Overall, the portfolio had net unrealized depreciation of $29.9 million. Our overall portfolio consisted of 126 companies with an average investment size of $9.1 million, had a weighted average yield on debt investments of 11.3%, and was invested 87% in first lien secured debt (including 17% in PSSL), less than 1% in second lien secured debt and 13% in preferred and common equity (including 4% in PSSL). As of December 31, 2022, 99% of the investments held by PSSL were first lien secured debt.</w:t>
      </w:r>
    </w:p>
    <w:p>
      <w:pPr>
        <w:spacing w:after="0" w:line="96"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As of September 30, 2022, our portfolio totaled $1,164.3 million and consisted of $1,009.6 million of first lien secured debt (including $190.2 million in PSSL), $0.1million of second lien secured debt and $154.5 million of preferred and common equity (including $49.4 million in PSSL). Our debt portfolio consisted of 100% variable-rate investments. As of September 30, 2022, we had two portfolio companies on non-accrual, representing 0.9% and zero percent of our overall portfolio on a cost and fair value basis, respectively. Overall, the portfolio had net unrealized depreciation of $8.7 million. Our overall portfolio consisted of 125 companies with an average investment size of $9.3 million, had a weighted average yield on debt investments of 10.0%, and was invested 87% in first lien secured debt (including 16% in PSSL), less than 1% in second lien secured debt and 13% in preferred and common equity (including 4% in PSSL). As of September 30, 2022, 99% of the investments held by PSSL were first lien secured debt.</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three months ended December 31, 2022, we invested $65.6 million in four new and 29 existing portfolio companies with a weighted average yield on debt investments of 11.2 %.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and repayments of investments for the three months ended December 31, 2022 totaled $63.0 million.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three months ended December 31, 2021, we invested $335.1 million in 16 new and 36 existing portfolio companies with a weighted average yield on debt investments of 7.8%.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and repayments of investments for the three months ended December 31, 2021 totaled $238.4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Secured Loan Fund I LLC</w:t>
      </w:r>
    </w:p>
    <w:p>
      <w:pPr>
        <w:spacing w:after="0" w:line="138"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As of December 31, 2022, PSSL’s portfolio totaled $750.7 million and consisted of 100 companies with an average investment size of $7.5 million and had a weighted average yield on debt investments of 10.9%. As of September 30, 2022, PSSL’s portfolio totaled $754.7 million, consisted of 95 companies with an average investment size of $8.0 million and had a weighted average yield on debt investments of 9.6%.</w:t>
      </w:r>
    </w:p>
    <w:p>
      <w:pPr>
        <w:spacing w:after="0" w:line="109"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2022, PSSL invested $29.5 million (including $18.8 million purchased from the Company) in seven new and eight existing portfolio companies with a weighted average yield on debt investments of 11.1%. Sales and repayments of investments for the three months ended December 31, 2022 totaled $28.8 million.</w:t>
      </w:r>
    </w:p>
    <w:p>
      <w:pPr>
        <w:spacing w:after="0" w:line="95"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2021, PSSL invested $129.6 million (including $122.7 million purchased from the Company) in 12 new and six existing portfolio companies with a weighted average yield on debt investments of 8.0%. Sales and repayments of investments for the three months ended December 31, 2021 totaled $50.4 million.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 in Management’s Discussion and Analysis of Financial Condition and Results of Operations in our 2022 Annual Report on Form 10-K. There have been no significant changes in our critical accounting estimates during the three months from those disclosed in our 2022 Annual Report on Form 10-K.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Valuations</w:t>
      </w:r>
    </w:p>
    <w:p>
      <w:pPr>
        <w:spacing w:after="0" w:line="140" w:lineRule="exact"/>
        <w:rPr>
          <w:sz w:val="20"/>
          <w:szCs w:val="20"/>
          <w:color w:val="auto"/>
        </w:rPr>
      </w:pPr>
    </w:p>
    <w:p>
      <w:pPr>
        <w:jc w:val="both"/>
        <w:ind w:firstLine="449"/>
        <w:spacing w:after="0" w:line="227"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1" w:name="page42"/>
    <w:bookmarkEnd w:id="41"/>
    <w:p>
      <w:pPr>
        <w:jc w:val="both"/>
        <w:spacing w:after="0" w:line="236" w:lineRule="auto"/>
        <w:rPr>
          <w:sz w:val="20"/>
          <w:szCs w:val="20"/>
          <w:color w:val="auto"/>
        </w:rPr>
      </w:pPr>
      <w:r>
        <w:rPr>
          <w:rFonts w:ascii="Times New Roman" w:cs="Times New Roman" w:eastAsia="Times New Roman" w:hAnsi="Times New Roman"/>
          <w:sz w:val="14"/>
          <w:szCs w:val="14"/>
          <w:color w:val="auto"/>
        </w:rPr>
        <w:t>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09"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5" w:lineRule="exact"/>
        <w:rPr>
          <w:sz w:val="20"/>
          <w:szCs w:val="20"/>
          <w:color w:val="auto"/>
        </w:rPr>
      </w:pPr>
    </w:p>
    <w:p>
      <w:pPr>
        <w:ind w:left="840" w:right="20" w:hanging="383"/>
        <w:spacing w:after="0" w:line="261" w:lineRule="auto"/>
        <w:tabs>
          <w:tab w:leader="none" w:pos="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95"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our Investment Adviser;</w:t>
      </w:r>
    </w:p>
    <w:p>
      <w:pPr>
        <w:spacing w:after="0" w:line="136" w:lineRule="exact"/>
        <w:rPr>
          <w:rFonts w:ascii="Times New Roman" w:cs="Times New Roman" w:eastAsia="Times New Roman" w:hAnsi="Times New Roman"/>
          <w:sz w:val="14"/>
          <w:szCs w:val="14"/>
          <w:color w:val="auto"/>
        </w:rPr>
      </w:pPr>
    </w:p>
    <w:p>
      <w:pPr>
        <w:jc w:val="both"/>
        <w:ind w:left="840" w:hanging="383"/>
        <w:spacing w:after="0" w:line="241" w:lineRule="auto"/>
        <w:tabs>
          <w:tab w:leader="none" w:pos="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9" w:lineRule="exact"/>
        <w:rPr>
          <w:rFonts w:ascii="Times New Roman" w:cs="Times New Roman" w:eastAsia="Times New Roman" w:hAnsi="Times New Roman"/>
          <w:sz w:val="14"/>
          <w:szCs w:val="14"/>
          <w:color w:val="auto"/>
        </w:rPr>
      </w:pPr>
    </w:p>
    <w:p>
      <w:pPr>
        <w:jc w:val="both"/>
        <w:ind w:left="840" w:hanging="383"/>
        <w:spacing w:after="0" w:line="241" w:lineRule="auto"/>
        <w:tabs>
          <w:tab w:leader="none" w:pos="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09" w:lineRule="exact"/>
        <w:rPr>
          <w:rFonts w:ascii="Times New Roman" w:cs="Times New Roman" w:eastAsia="Times New Roman" w:hAnsi="Times New Roman"/>
          <w:sz w:val="14"/>
          <w:szCs w:val="14"/>
          <w:color w:val="auto"/>
        </w:rPr>
      </w:pPr>
    </w:p>
    <w:p>
      <w:pPr>
        <w:ind w:left="840" w:hanging="383"/>
        <w:spacing w:after="0" w:line="261" w:lineRule="auto"/>
        <w:tabs>
          <w:tab w:leader="none" w:pos="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5"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9"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Level 1: Inputs that are quoted prices (unadjusted) in active markets for identical assets or liabilities, accessible by us at the measurement date.</w:t>
      </w:r>
    </w:p>
    <w:p>
      <w:pPr>
        <w:spacing w:after="0" w:line="136" w:lineRule="exact"/>
        <w:rPr>
          <w:sz w:val="20"/>
          <w:szCs w:val="20"/>
          <w:color w:val="auto"/>
        </w:rPr>
      </w:pPr>
    </w:p>
    <w:p>
      <w:pPr>
        <w:ind w:left="800" w:right="20" w:hanging="344"/>
        <w:spacing w:after="0" w:line="261" w:lineRule="auto"/>
        <w:rPr>
          <w:sz w:val="20"/>
          <w:szCs w:val="20"/>
          <w:color w:val="auto"/>
        </w:rPr>
      </w:pPr>
      <w:r>
        <w:rPr>
          <w:rFonts w:ascii="Times New Roman" w:cs="Times New Roman" w:eastAsia="Times New Roman" w:hAnsi="Times New Roman"/>
          <w:sz w:val="14"/>
          <w:szCs w:val="14"/>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Level 3: 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09"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boards of directors to periodically assess material valuation risks and take steps to manage those risks. The rule also permits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11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09"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and debt issuance costs on the 2023 Notes during the three months ended December 31, 2022 and 2021,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4"/>
          <w:szCs w:val="14"/>
          <w:color w:val="auto"/>
        </w:rPr>
        <w:t>the Credit Facility and the 2023 Notes are reported in our Consolidated Statements of Operations. We elected not to apply ASC 825-10 to any other financial assets or liabilities, including the 2026 Notes and the 2031 Asset-Backed Debt.</w:t>
      </w:r>
    </w:p>
    <w:p>
      <w:pPr>
        <w:spacing w:after="0" w:line="95"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For the three months ended December 31, 2022 and 2021, the Credit Facility and the 2023 Notes had a net change in unrealized depreciation (appreciation) of $2.1 million and $3.6 million, respectively. As of December 31, 2022 and September 30, 2022, the net unrealized depreciation on the Credit Facility as applicable, and the 2023 Notes totaled $4.4 million and $2.3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0"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 and Net Change in Unrealized Appreciation or Depreciation</w:t>
      </w:r>
    </w:p>
    <w:p>
      <w:pPr>
        <w:spacing w:after="0" w:line="14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the 2023 Notes during the reporting period, including any reversal of previously recorded unrealized appreciation or depreciation, when gains or losses are realized.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840" w:hanging="383"/>
        <w:spacing w:after="0"/>
        <w:tabs>
          <w:tab w:leader="none" w:pos="8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136"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 -in-kind, or PIK Interest</w:t>
      </w:r>
    </w:p>
    <w:p>
      <w:pPr>
        <w:spacing w:after="0" w:line="14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federal income tax purposes, even though we may not have collected any cash with respect to interest on PIK securities.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Income Taxes</w:t>
      </w:r>
    </w:p>
    <w:p>
      <w:pPr>
        <w:spacing w:after="0" w:line="14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9"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 xml:space="preserve">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w:t>
      </w:r>
      <w:r>
        <w:rPr>
          <w:rFonts w:ascii="Times New Roman" w:cs="Times New Roman" w:eastAsia="Times New Roman" w:hAnsi="Times New Roman"/>
          <w:sz w:val="14"/>
          <w:szCs w:val="14"/>
          <w:u w:val="single" w:color="auto"/>
          <w:color w:val="auto"/>
        </w:rPr>
        <w:t>s</w:t>
      </w:r>
      <w:r>
        <w:rPr>
          <w:rFonts w:ascii="Times New Roman" w:cs="Times New Roman" w:eastAsia="Times New Roman" w:hAnsi="Times New Roman"/>
          <w:sz w:val="14"/>
          <w:szCs w:val="14"/>
          <w:color w:val="auto"/>
        </w:rPr>
        <w:t>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3" w:lineRule="exact"/>
        <w:rPr>
          <w:sz w:val="20"/>
          <w:szCs w:val="20"/>
          <w:color w:val="auto"/>
        </w:rPr>
      </w:pPr>
    </w:p>
    <w:p>
      <w:pPr>
        <w:ind w:right="120" w:firstLine="449"/>
        <w:spacing w:after="0" w:line="241"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09" w:lineRule="exact"/>
        <w:rPr>
          <w:sz w:val="20"/>
          <w:szCs w:val="20"/>
          <w:color w:val="auto"/>
        </w:rPr>
      </w:pPr>
    </w:p>
    <w:p>
      <w:pPr>
        <w:jc w:val="both"/>
        <w:ind w:firstLine="491"/>
        <w:spacing w:after="0" w:line="261" w:lineRule="auto"/>
        <w:rPr>
          <w:sz w:val="20"/>
          <w:szCs w:val="20"/>
          <w:color w:val="auto"/>
        </w:rPr>
      </w:pPr>
      <w:r>
        <w:rPr>
          <w:rFonts w:ascii="Times New Roman" w:cs="Times New Roman" w:eastAsia="Times New Roman" w:hAnsi="Times New Roman"/>
          <w:sz w:val="14"/>
          <w:szCs w:val="14"/>
          <w:color w:val="auto"/>
        </w:rPr>
        <w:t>For both the three months ended December 31, 2022 and 2021, we recorded a provision for taxes on net investment income of $0.5 million and $0.1 million, respectively, pertaining to federal excise tax.</w:t>
      </w:r>
    </w:p>
    <w:p>
      <w:pPr>
        <w:spacing w:after="0" w:line="95"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The Taxable Subsidiary (PFLT Investment Holdings, LLC, a second tier wholly-owned subsidiary of the Company), is subject to U.S. federal, state and local corporate income taxes. The income tax expense and related tax liabilities of the Taxable Subsidiary are reflected in the Company’s consolidated financial statements.</w:t>
      </w:r>
    </w:p>
    <w:p>
      <w:pPr>
        <w:spacing w:after="0" w:line="95" w:lineRule="exact"/>
        <w:rPr>
          <w:sz w:val="20"/>
          <w:szCs w:val="20"/>
          <w:color w:val="auto"/>
        </w:rPr>
      </w:pPr>
    </w:p>
    <w:p>
      <w:pPr>
        <w:jc w:val="both"/>
        <w:ind w:right="20" w:firstLine="449"/>
        <w:spacing w:after="0" w:line="227" w:lineRule="auto"/>
        <w:rPr>
          <w:sz w:val="20"/>
          <w:szCs w:val="20"/>
          <w:color w:val="auto"/>
        </w:rPr>
      </w:pPr>
      <w:r>
        <w:rPr>
          <w:rFonts w:ascii="Times New Roman" w:cs="Times New Roman" w:eastAsia="Times New Roman" w:hAnsi="Times New Roman"/>
          <w:sz w:val="14"/>
          <w:szCs w:val="14"/>
          <w:color w:val="auto"/>
        </w:rPr>
        <w:t>For the three months ended December 31, 2022 and 2021, the Company recognized a provision for taxes of $0.7 million and $1.5 million, respectively, on unrealized appreciation on investments by the Taxable Subsidiary. The provision for taxes on unrealized appreciation on investments is the result of netting (i) the expected tax liability on gains from sales of investments and (ii) the expected tax benefit from the use of losses in the current year. As of December 31, 2022 and September 30, 2022, $5.3 million and $4.6 million, respectively, was accrued as a deferred tax liability on the Consolidated Statements of Assets and Liabilities relating to unrealized gain on investments held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4"/>
          <w:szCs w:val="14"/>
          <w:color w:val="auto"/>
        </w:rPr>
        <w:t>by the Taxable Subsidiary. During the three months ended December 31, 2022 and 2021, the Company paid zero, respectively, in taxes on realized gains on the sale of investments held by the Taxable Subsidiary, resulting in zero prepaid tax asset as of December 31, 2022 included under prepaid expenses and other assets in the Consolidated Statement of Assets and Liabilities.</w:t>
      </w:r>
    </w:p>
    <w:p>
      <w:pPr>
        <w:spacing w:after="0" w:line="95" w:lineRule="exact"/>
        <w:rPr>
          <w:sz w:val="20"/>
          <w:szCs w:val="20"/>
          <w:color w:val="auto"/>
        </w:rPr>
      </w:pPr>
    </w:p>
    <w:p>
      <w:pPr>
        <w:jc w:val="both"/>
        <w:ind w:firstLine="486"/>
        <w:spacing w:after="0" w:line="241"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0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09"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We have formed and expect to continue to form certain taxable subsidiaries, including the Taxable Subsidiary,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Set forth below are the results of operations for the three months ended December 31, 2022 and 2021.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Income</w:t>
      </w:r>
    </w:p>
    <w:p>
      <w:pPr>
        <w:spacing w:after="0" w:line="14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For the three months ended December 31, 2022 investment income was $31.3 million, which was attributable to $27.6 million from first lien secured debt and $3.7 million from other investments. For the three months ended December 31, 2021 investment income was $26.3 million, which was attributable to $20.1 million from first lien secured debt and $6.2 million from other investments. The increase in investment income compared to the same period in the prior year was primarily due to the increase in the cost yield of our debt portfolio.</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Expenses</w:t>
      </w:r>
    </w:p>
    <w:p>
      <w:pPr>
        <w:spacing w:after="0" w:line="140"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For the three months ended December 31, 2022, expenses totaled $17.6 million and were comprised of; $9.9 million of debt-related interest and expenses, $2.9 million of base management fee, $3.4 million of performance-based incentive fee, $0.8 million of general and administrative expenses and $0.5 million of taxes. For the three months ended December 31, 2021, expenses totaled $13.6 million and were comprised of; $6.6 million of debt-related interest and expenses, $2.9 million of base management fee, $3.2 million of performance-based incentive fee, $0.8 million of administrative expenses and $0.1 million of taxes. The increase in expenses for the three months ended December 31, 2022 compared to the same period in the prior year was primarily due to increased financing costs.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Income</w:t>
      </w:r>
    </w:p>
    <w:p>
      <w:pPr>
        <w:spacing w:after="0" w:line="14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2022 and 2021, net investment income totaled $13.7 million or $0.30 per share, and $12.7 million or $0.33 per share, respectively. The increase in net investment income compared to the same period in the prior year was primarily due to the increase in the cost yield of our debt portfolio.</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w:t>
      </w:r>
    </w:p>
    <w:p>
      <w:pPr>
        <w:spacing w:after="0" w:line="14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2022 and 2021, net realized gains (losses) totaled less than $0.1 million and $3.1 million, respectively. The change in realized gains was primarily due to changes in the market conditions of our investments and the values at which they were realized.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Unrealized Appreciation or Depreciation on Investments, the Credit Facility and the 2023 Notes</w:t>
      </w:r>
    </w:p>
    <w:p>
      <w:pPr>
        <w:spacing w:after="0" w:line="2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For the three months ended December 31, 2022 and 2021, we reported net change in unrealized depreciation on investments of $16.8 million and $3.5 million, respectively. As of December 31, 2022 and September 30, 2022, our net unrealized appreciation (depreciation) on investments totaled $(29.9) million and $(13.1) million, respectively. The net change in unrealized depreciation on our investments compared to the same period in the prior year was primarily due to changes in the capital market conditions of our investments and the values at which they were realized.</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For the three months ended December 31, 2022, our credit facility with Truist (the "Credit Facility") and the 2023 Notes had a net change in unrealized depreciation of $2.1 million. For the three months ended December 31, 2021, the Credit Facility and the 2023 Notes had a net change in unrealized depreciation of $3.6 million. As of December 31, 2022 and September 30, 2022, the net unrealized depreciation on the Credit Facility and the 2023 Notes totaled $4.4 million and $2.3 million, respectively. The net change in net unrealized depreciation compared to the same period in the prior year was primarily due to changes in the capital markets.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Increase (Decrease) in Net Assets Resulting from Operations</w:t>
      </w:r>
    </w:p>
    <w:p>
      <w:pPr>
        <w:spacing w:after="0" w:line="140"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For the three months ended December 31, 2022 and 2021, net (decrease) increase in net assets resulting from operations totaled $(1.6) million or $(0.04) per share and $14.4 million or $0.37 per share, respectively.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Our liquidity and capital resources are derived primarily from cash flows from operations, including investment sales and repayments, and income earned, proceeds of securtieis offerings and debt financings.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and operations. As of December 31, 2022, in accordance with the 1940 Act, with certain limited exceptions, we are only allowed to borrow amounts such that we are in compliance with a 150% asset coverage ratio requirement after such borrowing.</w:t>
      </w:r>
    </w:p>
    <w:p>
      <w:pPr>
        <w:spacing w:after="0" w:line="110"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w:t>
      </w: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4"/>
          <w:szCs w:val="14"/>
          <w:color w:val="auto"/>
        </w:rPr>
        <w:t>from 200% (i.e., $1 of debt outstanding for each $1 of equity) to 150% (i.e., $2 of debt outstanding for each $1 of equity), effective as of April 5, 2019, subject to compliance with certain disclosure requirements. As of December 31, 2022 and September 30, 2022, our asset coverage ratio, as computed in accordance with the 1940 Act, was 173% and 178%, respectively.</w:t>
      </w:r>
    </w:p>
    <w:p>
      <w:pPr>
        <w:spacing w:after="0" w:line="95"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For the three months ended December 31, 2022 and 2021, the annualized weighted average cost of debt, inclusive of the fee on the undrawn commitment on the Credit Facility, amendment costs and debt issuance costs, was 5.7% and 3.6%, respectively. As of December 31, 2022 and September 30, 2022, we had $166.8 million and $197.2 million of unused borrowing capacity under the Credit Facility, as applicable, respectively, subject to leverage and borrowing base restrictions.</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Funding I’s multi-currency Credit Facility with the Lenders was $366.0 million as of December 31, 2022 subject to satisfaction of certain conditions and regulatory restrictions that the 1940 Act imposes on us as a BDC, has an interest rate spread above SOFR (or an alternative risk-free floating interest rate index) of 225 basis points, a maturity date of August 2026 and a revolving period that ends in August 2024. As of December 31, 2022 and September 30, 2022, PennantPark Floating Rate Funding I, LLC, our wholly-owned subsidiary, borrowed $199.2 million and $168.8 million under the Credit Facility, respectively and the weighted average interest rate, exclusive of the fee on undrawn commitments, was of 6.5% and 4.5%, respectively.</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During the revolving period, the Credit Facility bears interest at SOFR (or an alternative risk-free floating interest rate index) plus 225 basis points and, after the revolving period, the rate will reset to Base Rate (or an alternative risk-free floating interest rate index) plus 250 basis points for the remaining two years, maturing in August 2026.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December 31, 2022, we were in compliance with the covenants relating to our Credit Facility.</w:t>
      </w:r>
    </w:p>
    <w:p>
      <w:pPr>
        <w:spacing w:after="0" w:line="109"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95"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1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In November 2017, we issued $138.6 million of our 2023 Notes. The 2023 Notes were issued pursuant to a deed of trust between the Company and Mishmeret Trust Company, Ltd., as trustee, of which $76.2 million and $97.0 million was outstanding as of December 31, 2022 and September 30, 2022, respectively.</w:t>
      </w:r>
    </w:p>
    <w:p>
      <w:pPr>
        <w:spacing w:after="0" w:line="95"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The 2023 Notes pay interest at a rate of 4.3%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spacing w:after="0" w:line="109"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95"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In March 2021 and in October 2021, we issued $100.0 million and $85.0 million, respectively, in aggregate principal amount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10" w:lineRule="exact"/>
        <w:rPr>
          <w:sz w:val="20"/>
          <w:szCs w:val="20"/>
          <w:color w:val="auto"/>
        </w:rPr>
      </w:pPr>
    </w:p>
    <w:p>
      <w:pPr>
        <w:jc w:val="both"/>
        <w:ind w:firstLine="449"/>
        <w:spacing w:after="0" w:line="230" w:lineRule="auto"/>
        <w:rPr>
          <w:sz w:val="20"/>
          <w:szCs w:val="20"/>
          <w:color w:val="auto"/>
        </w:rPr>
      </w:pPr>
      <w:r>
        <w:rPr>
          <w:rFonts w:ascii="Times New Roman" w:cs="Times New Roman" w:eastAsia="Times New Roman" w:hAnsi="Times New Roman"/>
          <w:sz w:val="14"/>
          <w:szCs w:val="14"/>
          <w:color w:val="auto"/>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maturing 2031, which bear interest at the three-month LIBOR plus 1.8%, (ii) $15.0 million Class A-2 Senior Secured Fixed Rate Notes due 2031, which bear interest at 3.7%, (iii) $14.0 million Class B-1 Senior Secured Floating Rate Notes due 2031, which bear interest at the three-month LIBOR plus 2.9%, (iv) $16.0 million Class B-2 Senior Secured Fixed Rate Notes due</w:t>
      </w:r>
    </w:p>
    <w:p>
      <w:pPr>
        <w:spacing w:after="0" w:line="1" w:lineRule="exact"/>
        <w:rPr>
          <w:sz w:val="20"/>
          <w:szCs w:val="20"/>
          <w:color w:val="auto"/>
        </w:rPr>
      </w:pPr>
    </w:p>
    <w:p>
      <w:pPr>
        <w:jc w:val="both"/>
        <w:spacing w:after="0" w:line="164" w:lineRule="exact"/>
        <w:rPr>
          <w:sz w:val="20"/>
          <w:szCs w:val="20"/>
          <w:color w:val="auto"/>
        </w:rPr>
      </w:pPr>
      <w:r>
        <w:rPr>
          <w:rFonts w:ascii="Times New Roman" w:cs="Times New Roman" w:eastAsia="Times New Roman" w:hAnsi="Times New Roman"/>
          <w:sz w:val="14"/>
          <w:szCs w:val="14"/>
          <w:color w:val="auto"/>
        </w:rPr>
        <w:t>2031, which bear interest at 4.3%, (v) $19.0 million Class C</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 three-month LIBOR plus 4.8% and (B) the borrowing of $77.5 million Class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Senior Secured Floating Rate Loans due 2031, which bear interest at the three-month LIBOR plus 1.8%, under a</w:t>
      </w:r>
    </w:p>
    <w:p>
      <w:pPr>
        <w:jc w:val="both"/>
        <w:spacing w:after="0" w:line="233" w:lineRule="auto"/>
        <w:rPr>
          <w:sz w:val="20"/>
          <w:szCs w:val="20"/>
          <w:color w:val="auto"/>
        </w:rPr>
      </w:pPr>
      <w:r>
        <w:rPr>
          <w:rFonts w:ascii="Times New Roman" w:cs="Times New Roman" w:eastAsia="Times New Roman" w:hAnsi="Times New Roman"/>
          <w:sz w:val="14"/>
          <w:szCs w:val="14"/>
          <w:color w:val="auto"/>
        </w:rPr>
        <w:t>credit agreement by and among the Securitization Issuers, as borrowers, various financial institutions, as lenders, and U.S. Bank National Association, as collateral agent and as loan agent. The 2031 Asset-Backed Debt is scheduled to mature on October 15, 2031. As of both December 31, 2022 and September 30, 2022, the Company had $228.0 million of 2031 Asset-Backed Debt outstanding with a weighted average interest rate of 5.9% and 4.6%, respectively.</w:t>
      </w:r>
    </w:p>
    <w:p>
      <w:pPr>
        <w:spacing w:after="0" w:line="109" w:lineRule="exact"/>
        <w:rPr>
          <w:sz w:val="20"/>
          <w:szCs w:val="20"/>
          <w:color w:val="auto"/>
        </w:rPr>
      </w:pPr>
    </w:p>
    <w:p>
      <w:pPr>
        <w:jc w:val="both"/>
        <w:ind w:firstLine="449"/>
        <w:spacing w:after="0" w:line="227" w:lineRule="auto"/>
        <w:rPr>
          <w:sz w:val="20"/>
          <w:szCs w:val="20"/>
          <w:color w:val="auto"/>
        </w:rPr>
      </w:pPr>
      <w:r>
        <w:rPr>
          <w:rFonts w:ascii="Times New Roman" w:cs="Times New Roman" w:eastAsia="Times New Roman" w:hAnsi="Times New Roman"/>
          <w:sz w:val="14"/>
          <w:szCs w:val="14"/>
          <w:color w:val="auto"/>
        </w:rPr>
        <w:t>On the closing date of the Debt Securitization, in consideration of our transfer to the Securitization Issuer of the initial closing date loan portfolio, which included loans distributed to us by our wholly-owned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5" w:name="page46"/>
    <w:bookmarkEnd w:id="45"/>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The 2031 Asset-Backed Debt constitutes secured obligations of the Securitization Issuers, and the indenture governing the 2031 Asset-Backed Debt includes customary covenants and events of default. The 2031 Asset-Backed Debt has not been, and will not be, registered under the Securities Act or any state securities or “blue sky” laws and may not be offered or sold in the United States absent registration with the SEC or an applicable exemption from registration.</w:t>
      </w:r>
    </w:p>
    <w:p>
      <w:pPr>
        <w:spacing w:after="0" w:line="10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109"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On August 20, 2021, we entered into equity distribution agreements (together, as may be amended from time to time, the “Equity Distribution Agreements”) with each of JMP Securities LLC and Raymond James &amp; Associates, Inc., as the sales agents (each, a “Sales Agent,” and together, the “Sales Agents”), in connection with the sale of shares of our Common Stock, par value $0.001 per share , with an aggregate offering price of up to $75 million under an at-the-market offering (the “ATM Program”). On May 5, 2022, we amended the Equity Distribution Agreements to update references from NASDAQ to NYSE and reflect that the agents are now represented by Kirkland &amp; Ellis LLP. The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w:t>
      </w:r>
    </w:p>
    <w:p>
      <w:pPr>
        <w:spacing w:after="0" w:line="110" w:lineRule="exact"/>
        <w:rPr>
          <w:sz w:val="20"/>
          <w:szCs w:val="20"/>
          <w:color w:val="auto"/>
        </w:rPr>
      </w:pPr>
    </w:p>
    <w:p>
      <w:pPr>
        <w:jc w:val="both"/>
        <w:ind w:right="20" w:firstLine="340"/>
        <w:spacing w:after="0" w:line="241" w:lineRule="auto"/>
        <w:rPr>
          <w:sz w:val="20"/>
          <w:szCs w:val="20"/>
          <w:color w:val="auto"/>
        </w:rPr>
      </w:pPr>
      <w:r>
        <w:rPr>
          <w:rFonts w:ascii="Times New Roman" w:cs="Times New Roman" w:eastAsia="Times New Roman" w:hAnsi="Times New Roman"/>
          <w:sz w:val="14"/>
          <w:szCs w:val="14"/>
          <w:color w:val="auto"/>
        </w:rPr>
        <w:t>During the three months ended December 31, 2022, we issued 86,177 shares of our Common Stock under the ATM Program at a weighted-average price of $11.54 per share, raising $1.0 million of gross proceeds. Net proceeds were $1.0 million after commissions to the Sales Agents on shares sold. We incurred zero of legal and other offering costs associated with the administration of the ATM Program. As of December 31, 2022, we had $40.3 million available under the ATM Program.</w:t>
      </w:r>
    </w:p>
    <w:p>
      <w:pPr>
        <w:spacing w:after="0" w:line="10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Since inception of the ATM Program through December 31, 2022, we have issued 2,659,741 shares of our Common Stock under the ATM Program at a weighted-average price of $13.06, raising $34.7 million of gross proceeds. Net proceeds were $34.2 million after commissions to the Sales Agents on shares sold. We incurred $0.5 million of legal and other offering costs associated with establishing the ATM Program.</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2023,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258"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Under our Administration Agreement, which was most recently reapproved by our board of directors, including a majority of our directors who are not interested persons of us, in February 2023, the Administrator furnishes us with office facilities and administrative services necessary to conduct our day-to-day operations. The Administration Agreement was amended on July 1, 2022.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Corporate Counsel and their respective staffs.</w:t>
      </w:r>
    </w:p>
    <w:p>
      <w:pPr>
        <w:spacing w:after="0" w:line="258"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58"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As of December 31, 2022 and September 30, 2022, we had cash equivalents of $52.9 million and $47.9 million, respectively, available for investing and general corporate purposes. We believe our liquidity and capital resources are sufficient to take advantage of market opportunities.</w:t>
      </w:r>
    </w:p>
    <w:p>
      <w:pPr>
        <w:spacing w:after="0" w:line="95" w:lineRule="exact"/>
        <w:rPr>
          <w:sz w:val="20"/>
          <w:szCs w:val="20"/>
          <w:color w:val="auto"/>
        </w:rPr>
      </w:pPr>
    </w:p>
    <w:p>
      <w:pPr>
        <w:jc w:val="both"/>
        <w:ind w:firstLine="449"/>
        <w:spacing w:after="0" w:line="242" w:lineRule="auto"/>
        <w:rPr>
          <w:sz w:val="20"/>
          <w:szCs w:val="20"/>
          <w:color w:val="auto"/>
        </w:rPr>
      </w:pPr>
      <w:r>
        <w:rPr>
          <w:rFonts w:ascii="Times New Roman" w:cs="Times New Roman" w:eastAsia="Times New Roman" w:hAnsi="Times New Roman"/>
          <w:sz w:val="14"/>
          <w:szCs w:val="14"/>
          <w:color w:val="auto"/>
        </w:rPr>
        <w:t>For the three months ended December 31, 2022, our operating activities provided cash of $7.8 million and our financing activities used cash of $2.7 million. Our operating activities provided cash primarily realized from our investment activities and our financing activities used cash primarily due to borrowings under our Credit Facility and principal repayment of our 2023 Notes.</w:t>
      </w:r>
    </w:p>
    <w:p>
      <w:pPr>
        <w:spacing w:after="0" w:line="269" w:lineRule="exact"/>
        <w:rPr>
          <w:sz w:val="20"/>
          <w:szCs w:val="20"/>
          <w:color w:val="auto"/>
        </w:rPr>
      </w:pPr>
    </w:p>
    <w:p>
      <w:pPr>
        <w:jc w:val="both"/>
        <w:ind w:firstLine="449"/>
        <w:spacing w:after="0" w:line="242" w:lineRule="auto"/>
        <w:rPr>
          <w:sz w:val="20"/>
          <w:szCs w:val="20"/>
          <w:color w:val="auto"/>
        </w:rPr>
      </w:pPr>
      <w:r>
        <w:rPr>
          <w:rFonts w:ascii="Times New Roman" w:cs="Times New Roman" w:eastAsia="Times New Roman" w:hAnsi="Times New Roman"/>
          <w:sz w:val="14"/>
          <w:szCs w:val="14"/>
          <w:color w:val="auto"/>
        </w:rPr>
        <w:t>For the three months ended December 31, 2021, our operating activities used cash of $82.4 million and our financing activities provided cash of $93.2 million. Our operating activities used cash primarily for our investment activities and our financing activities provided cash primarily due to the issuance of $85 million of our 2026 Add-on Notes and borrowings under our Credit Facility.</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Secured Loan Fund I LLC</w:t>
      </w:r>
    </w:p>
    <w:p>
      <w:pPr>
        <w:spacing w:after="0" w:line="111"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December 31, 2022 and September 30, 2022, PSSL had total assets of $797.4 million and $796.8 million, respectively, and its investment portfolio consisted of debt investments in 100 and 95 portfolio companies, respectively. As of December 31, 2022, at fair value, the largest investment in a single portfolio company in PSSL was $18.1 million and the five largest investments totaled $84.3 million. As of September 30, 2022, at fair value, the largest investment in a single portfolio company in PSSL was $19.3 million and the five largest investments totaled $86.9 million. PSSL invests in portfolio companies in the same industries in which we may directly invest.</w:t>
      </w:r>
    </w:p>
    <w:p>
      <w:pPr>
        <w:spacing w:after="0" w:line="110"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and Kemper provide capital to PSSL in the form of first lien secured debt and equity interests. As of December 31, 2022 and September 30, 2022, we and Kemper owned 87.5% and 12.5%, respectively, of each of the outstanding first lien secured debt and equity interests. As of the same dates, our investment in PSSL consisted of first lien secured debt of $199.4 million (additional $10.7 million unfunded) and $190.2 million (additional $19.9 million unfunded), respectively, and equity interests of $85.4 million (additional $4.6 million unfunded) and $81.5 million (additional $8.5 million unfunded), respectively.</w:t>
      </w:r>
    </w:p>
    <w:p>
      <w:pPr>
        <w:spacing w:after="0" w:line="109" w:lineRule="exact"/>
        <w:rPr>
          <w:sz w:val="20"/>
          <w:szCs w:val="20"/>
          <w:color w:val="auto"/>
        </w:rPr>
      </w:pPr>
    </w:p>
    <w:p>
      <w:pPr>
        <w:jc w:val="both"/>
        <w:ind w:firstLine="449"/>
        <w:spacing w:after="0" w:line="229" w:lineRule="auto"/>
        <w:rPr>
          <w:sz w:val="20"/>
          <w:szCs w:val="20"/>
          <w:color w:val="auto"/>
        </w:rPr>
      </w:pPr>
      <w:r>
        <w:rPr>
          <w:rFonts w:ascii="Times New Roman" w:cs="Times New Roman" w:eastAsia="Times New Roman" w:hAnsi="Times New Roman"/>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6" w:name="page47"/>
    <w:bookmarkEnd w:id="46"/>
    <w:p>
      <w:pPr>
        <w:jc w:val="both"/>
        <w:ind w:right="20"/>
        <w:spacing w:after="0" w:line="241" w:lineRule="auto"/>
        <w:rPr>
          <w:sz w:val="20"/>
          <w:szCs w:val="20"/>
          <w:color w:val="auto"/>
        </w:rPr>
      </w:pPr>
      <w:r>
        <w:rPr>
          <w:rFonts w:ascii="Times New Roman" w:cs="Times New Roman" w:eastAsia="Times New Roman" w:hAnsi="Times New Roman"/>
          <w:sz w:val="14"/>
          <w:szCs w:val="14"/>
          <w:color w:val="auto"/>
        </w:rPr>
        <w:t>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09" w:lineRule="exact"/>
        <w:rPr>
          <w:sz w:val="20"/>
          <w:szCs w:val="20"/>
          <w:color w:val="auto"/>
        </w:rPr>
      </w:pPr>
    </w:p>
    <w:p>
      <w:pPr>
        <w:jc w:val="both"/>
        <w:ind w:right="20" w:firstLine="449"/>
        <w:spacing w:after="0" w:line="241" w:lineRule="auto"/>
        <w:rPr>
          <w:sz w:val="20"/>
          <w:szCs w:val="20"/>
          <w:color w:val="auto"/>
        </w:rPr>
      </w:pPr>
      <w:r>
        <w:rPr>
          <w:rFonts w:ascii="Times New Roman" w:cs="Times New Roman" w:eastAsia="Times New Roman" w:hAnsi="Times New Roman"/>
          <w:sz w:val="14"/>
          <w:szCs w:val="14"/>
          <w:color w:val="auto"/>
        </w:rPr>
        <w:t>In May 2022 PSSL entered into a $325.0 million (increased from $225.0 million in May 2022) senior secured revolving credit facility which bears interest at daily simple SOFR plus 260 basis points (including a spread adjustment) with Ally Bank through its wholly-owned subsidiary, PennantPark Senior Secured Loan Facility LLC II, or PSSL Subsidiary II, subject to leverage and borrowing base restrictions.</w:t>
      </w:r>
    </w:p>
    <w:p>
      <w:pPr>
        <w:spacing w:after="0" w:line="109" w:lineRule="exact"/>
        <w:rPr>
          <w:sz w:val="20"/>
          <w:szCs w:val="20"/>
          <w:color w:val="auto"/>
        </w:rPr>
      </w:pPr>
    </w:p>
    <w:p>
      <w:pPr>
        <w:jc w:val="both"/>
        <w:ind w:right="20" w:firstLine="449"/>
        <w:spacing w:after="0" w:line="233" w:lineRule="auto"/>
        <w:rPr>
          <w:sz w:val="20"/>
          <w:szCs w:val="20"/>
          <w:color w:val="auto"/>
        </w:rPr>
      </w:pPr>
      <w:r>
        <w:rPr>
          <w:rFonts w:ascii="Times New Roman" w:cs="Times New Roman" w:eastAsia="Times New Roman" w:hAnsi="Times New Roman"/>
          <w:sz w:val="14"/>
          <w:szCs w:val="14"/>
          <w:color w:val="auto"/>
        </w:rPr>
        <w:t>In January 2021, PSSL completed a $300.7 million debt securitization in the form of a collateralized loan obligation, or the “2032 Asset-Backed Debt”. The 2032 Asset-Backed Debt is secured by a diversified portfolio of PennantPark CLO II, Ltd., a wholly-owned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is a summary of PSSL’s portfolio at fair value:</w:t>
            </w:r>
          </w:p>
        </w:tc>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7"/>
                <w:szCs w:val="17"/>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169"/>
        </w:trPr>
        <w:tc>
          <w:tcPr>
            <w:tcW w:w="4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10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750,692</w:t>
            </w:r>
          </w:p>
        </w:tc>
        <w:tc>
          <w:tcPr>
            <w:tcW w:w="28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754,722</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cost yield on income producing investments</w:t>
            </w:r>
          </w:p>
        </w:tc>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10.9 %</w:t>
            </w:r>
          </w:p>
        </w:tc>
        <w:tc>
          <w:tcPr>
            <w:tcW w:w="1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20" w:type="dxa"/>
            <w:vAlign w:val="bottom"/>
          </w:tcPr>
          <w:p>
            <w:pPr>
              <w:spacing w:after="0"/>
              <w:rPr>
                <w:sz w:val="15"/>
                <w:szCs w:val="15"/>
                <w:color w:val="auto"/>
              </w:rPr>
            </w:pPr>
          </w:p>
        </w:tc>
      </w:tr>
      <w:tr>
        <w:trPr>
          <w:trHeight w:val="176"/>
        </w:trPr>
        <w:tc>
          <w:tcPr>
            <w:tcW w:w="4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Number of portfolio companies in PSSL</w:t>
            </w:r>
          </w:p>
        </w:tc>
        <w:tc>
          <w:tcPr>
            <w:tcW w:w="3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Largest portfolio company investment</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18,057</w:t>
            </w:r>
          </w:p>
        </w:tc>
        <w:tc>
          <w:tcPr>
            <w:tcW w:w="2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of five largest portfolio company investments</w:t>
            </w:r>
          </w:p>
        </w:tc>
        <w:tc>
          <w:tcPr>
            <w:tcW w:w="32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84,291</w:t>
            </w:r>
          </w:p>
        </w:tc>
        <w:tc>
          <w:tcPr>
            <w:tcW w:w="28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86,872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463"/>
        </w:trPr>
        <w:tc>
          <w:tcPr>
            <w:tcW w:w="4580" w:type="dxa"/>
            <w:vAlign w:val="bottom"/>
          </w:tcPr>
          <w:p>
            <w:pPr>
              <w:spacing w:after="0"/>
              <w:rPr>
                <w:sz w:val="24"/>
                <w:szCs w:val="24"/>
                <w:color w:val="auto"/>
              </w:rPr>
            </w:pPr>
          </w:p>
        </w:tc>
        <w:tc>
          <w:tcPr>
            <w:tcW w:w="3100" w:type="dxa"/>
            <w:vAlign w:val="bottom"/>
          </w:tcPr>
          <w:p>
            <w:pPr>
              <w:jc w:val="right"/>
              <w:ind w:right="1908"/>
              <w:spacing w:after="0"/>
              <w:rPr>
                <w:sz w:val="20"/>
                <w:szCs w:val="20"/>
                <w:color w:val="auto"/>
              </w:rPr>
            </w:pPr>
            <w:r>
              <w:rPr>
                <w:rFonts w:ascii="Times New Roman" w:cs="Times New Roman" w:eastAsia="Times New Roman" w:hAnsi="Times New Roman"/>
                <w:sz w:val="14"/>
                <w:szCs w:val="14"/>
                <w:color w:val="auto"/>
              </w:rPr>
              <w:t>47</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58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4"/>
          <w:szCs w:val="14"/>
          <w:color w:val="auto"/>
        </w:rPr>
        <w:t>Below is a listing of PSSL’s individual investments as of December 31, 2022 ($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Basis Point</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gridSpan w:val="2"/>
          </w:tcPr>
          <w:p>
            <w:pPr>
              <w:jc w:val="right"/>
              <w:ind w:right="70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6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Spread Above</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(2)</w:t>
            </w:r>
          </w:p>
        </w:tc>
        <w:tc>
          <w:tcPr>
            <w:tcW w:w="0" w:type="dxa"/>
            <w:vAlign w:val="bottom"/>
          </w:tcPr>
          <w:p>
            <w:pPr>
              <w:spacing w:after="0"/>
              <w:rPr>
                <w:sz w:val="1"/>
                <w:szCs w:val="1"/>
                <w:color w:val="auto"/>
              </w:rPr>
            </w:pPr>
          </w:p>
        </w:tc>
      </w:tr>
      <w:tr>
        <w:trPr>
          <w:trHeight w:val="162"/>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 xml:space="preserve">Index </w:t>
            </w:r>
            <w:r>
              <w:rPr>
                <w:rFonts w:ascii="Times New Roman" w:cs="Times New Roman" w:eastAsia="Times New Roman" w:hAnsi="Times New Roman"/>
                <w:sz w:val="14"/>
                <w:szCs w:val="14"/>
                <w:b w:val="1"/>
                <w:bCs w:val="1"/>
                <w:color w:val="auto"/>
                <w:vertAlign w:val="superscript"/>
              </w:rPr>
              <w:t>(1)</w:t>
            </w:r>
          </w:p>
        </w:tc>
        <w:tc>
          <w:tcPr>
            <w:tcW w:w="80" w:type="dxa"/>
            <w:vAlign w:val="bottom"/>
          </w:tcPr>
          <w:p>
            <w:pPr>
              <w:spacing w:after="0"/>
              <w:rPr>
                <w:sz w:val="14"/>
                <w:szCs w:val="14"/>
                <w:color w:val="auto"/>
              </w:rPr>
            </w:pP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Par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- 1,354.1%</w:t>
            </w: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A1 Garage Merger Sub,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12/22/2028</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11.12 %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2,955</w:t>
            </w:r>
          </w:p>
        </w:tc>
        <w:tc>
          <w:tcPr>
            <w:tcW w:w="3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2,896</w:t>
            </w:r>
          </w:p>
        </w:tc>
        <w:tc>
          <w:tcPr>
            <w:tcW w:w="42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2,895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5/6/2026</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10.84 %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8,865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8,772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Alpine Acquisition Corp II</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11/30/2026</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Containers and Packaging</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9.88 %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12,950</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12,576</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12,432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7/24/2025</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10.24 %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5,150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12/21/2023</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Building Products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8.25 %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4,869</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4,843</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Anteriad, LLC (f/k/a MeritDirect,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5/23/2024</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Advertising, Printing &amp; Publishing</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10.23 %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5,213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7/21/2027</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10.17 %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3,510</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3,441</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3,413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9.46 %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1,010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9.67 %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2,197</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2,197</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2,186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9.58 %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11,069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11,010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12/29/2026</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10.48 %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8,400</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8,301</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8,190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Arcfield Acquisition Corp.</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3/7/2028</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10.02 %</w:t>
            </w:r>
          </w:p>
        </w:tc>
        <w:tc>
          <w:tcPr>
            <w:tcW w:w="760" w:type="dxa"/>
            <w:vAlign w:val="bottom"/>
          </w:tcPr>
          <w:p>
            <w:pPr>
              <w:ind w:left="200"/>
              <w:spacing w:after="0"/>
              <w:rPr>
                <w:sz w:val="20"/>
                <w:szCs w:val="20"/>
                <w:color w:val="auto"/>
              </w:rPr>
            </w:pPr>
            <w:r>
              <w:rPr>
                <w:rFonts w:ascii="Times New Roman" w:cs="Times New Roman" w:eastAsia="Times New Roman" w:hAnsi="Times New Roman"/>
                <w:sz w:val="11"/>
                <w:szCs w:val="11"/>
                <w:color w:val="auto"/>
                <w:w w:val="96"/>
              </w:rPr>
              <w:t>SOFR + 575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4,665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7/1/2029</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8.87 %</w:t>
            </w:r>
          </w:p>
        </w:tc>
        <w:tc>
          <w:tcPr>
            <w:tcW w:w="7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w w:val="96"/>
              </w:rPr>
              <w:t>SOFR + 525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4,893</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9/17/2024</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9.73 %</w:t>
            </w:r>
          </w:p>
        </w:tc>
        <w:tc>
          <w:tcPr>
            <w:tcW w:w="760" w:type="dxa"/>
            <w:vAlign w:val="bottom"/>
          </w:tcPr>
          <w:p>
            <w:pPr>
              <w:ind w:left="200"/>
              <w:spacing w:after="0"/>
              <w:rPr>
                <w:sz w:val="20"/>
                <w:szCs w:val="20"/>
                <w:color w:val="auto"/>
              </w:rPr>
            </w:pPr>
            <w:r>
              <w:rPr>
                <w:rFonts w:ascii="Times New Roman" w:cs="Times New Roman" w:eastAsia="Times New Roman" w:hAnsi="Times New Roman"/>
                <w:sz w:val="11"/>
                <w:szCs w:val="11"/>
                <w:color w:val="auto"/>
                <w:w w:val="96"/>
              </w:rPr>
              <w:t>SOFR + 500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15,250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15,083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12/2/2022</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10.73 %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2,395</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2,395</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2,395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Burgess Point Purchaser Corporation</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9/26/2029</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Automotive</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9.41 %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5/16/2024</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High Tech Industries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10.40 %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14,671</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14,627</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14,524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Cadence Aerospace,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11/14/2023</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12.92 %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12,448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12,426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color w:val="auto"/>
              </w:rPr>
              <w:t>(PIK 12.92%)</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5/13/2028</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10.58 %</w:t>
            </w:r>
          </w:p>
        </w:tc>
        <w:tc>
          <w:tcPr>
            <w:tcW w:w="7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w w:val="96"/>
              </w:rPr>
              <w:t>SOFR + 600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9,709</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9,528</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9,612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8/20/2026</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10.76 %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4,938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4,858</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CHA Holdings,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4/10/2025</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Construction and Engineering</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9.23 %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5,542</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5,479</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5,542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Challenger Performance Optimization,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8/31/2023</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10.82 %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9,230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9,212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color w:val="auto"/>
              </w:rPr>
              <w:t>(PIK 1.00%)</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7/13/2027</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10.14 %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3,897</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3,835</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3,771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8/16/2027</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10.48 %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2,105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8/31/2027</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10.48 %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14,825</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14,587</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14,603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DRI Holding Inc.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12/21/2028</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9.63 %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2,647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4"/>
              </w:rPr>
              <w:t>11/3/2025</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10.47 %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14,666</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14,595</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14,196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6/30/2024</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Containers and Packaging</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9.89 %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10,252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10,143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5/1/2028</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Hotels, Restaurants and Leisure</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11.88 %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2,614</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2,592</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2,605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12/23/2025</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9.48 %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4,961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Electro Rent Corporation</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1/17/2024</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10.27 %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2,743</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2,621</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2,633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3/15/2027</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10.13 %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12,903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12,724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6/17/2028</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9.48 %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10,273</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10,214</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9,742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5/14/2026</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10.63 %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14,563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14,365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3/16/2026</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Diversified Financial Services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10.19 %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3,894</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3,879</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3,719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8/10/2027</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Trading Companies &amp; Distributors</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10.23 %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2,363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12/31/2026</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10.23 %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2,392</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2,349</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2,344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11/23/2028</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10.17 %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12/10/2024</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9.34 %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6M L+500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3,029</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2,988</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Icon Partners III, LP</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4"/>
              </w:rPr>
              <w:t>5/11/2028</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8.82 %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2,322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12/30/2026</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Equipment and Supplies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11.23 %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9,925</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9,847</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9,578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Acquisitionco,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11/15/2027</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10.14 %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5,350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12/7/2023</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8.55 %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SOFR+700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1,658</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16,333</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16,247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Infinity Home Services Holdco, Inc.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12/28/2028</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11.40 %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SOFR+685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6,136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6,016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9/29/2023</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9.48 %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11,150</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11,135</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10,927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8/27/2025</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10.81 %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5,951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ITI Holdings, Inc.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3/3/2028</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IT Services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10.08 %</w:t>
            </w:r>
          </w:p>
        </w:tc>
        <w:tc>
          <w:tcPr>
            <w:tcW w:w="7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w w:val="96"/>
              </w:rPr>
              <w:t>SOFR + 550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3,970</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3,909</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12/20/2023</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12.38 %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18,057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17,945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11/10/2027</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10.73 %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16,788</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16,425</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16,368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2/18/2027</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Personal Products</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11.17 %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14,319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14,052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10/31/2024</w:t>
            </w:r>
          </w:p>
        </w:tc>
        <w:tc>
          <w:tcPr>
            <w:tcW w:w="120" w:type="dxa"/>
            <w:vAlign w:val="bottom"/>
            <w:shd w:val="clear" w:color="auto" w:fill="CCECFF"/>
          </w:tcPr>
          <w:p>
            <w:pPr>
              <w:spacing w:after="0"/>
              <w:rPr>
                <w:sz w:val="12"/>
                <w:szCs w:val="12"/>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10.23 %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12,796</w:t>
            </w:r>
          </w:p>
        </w:tc>
        <w:tc>
          <w:tcPr>
            <w:tcW w:w="2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10,518</w:t>
            </w:r>
          </w:p>
        </w:tc>
        <w:tc>
          <w:tcPr>
            <w:tcW w:w="2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10,374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340" w:type="dxa"/>
            <w:vAlign w:val="bottom"/>
            <w:gridSpan w:val="2"/>
            <w:shd w:val="clear" w:color="auto" w:fill="CCECFF"/>
          </w:tcPr>
          <w:p>
            <w:pPr>
              <w:jc w:val="right"/>
              <w:ind w:right="440"/>
              <w:spacing w:after="0"/>
              <w:rPr>
                <w:sz w:val="20"/>
                <w:szCs w:val="20"/>
                <w:color w:val="auto"/>
              </w:rPr>
            </w:pPr>
            <w:r>
              <w:rPr>
                <w:rFonts w:ascii="Times New Roman" w:cs="Times New Roman" w:eastAsia="Times New Roman" w:hAnsi="Times New Roman"/>
                <w:sz w:val="11"/>
                <w:szCs w:val="11"/>
                <w:color w:val="auto"/>
              </w:rPr>
              <w:t>(PIK 2.00%)</w:t>
            </w:r>
          </w:p>
        </w:tc>
        <w:tc>
          <w:tcPr>
            <w:tcW w:w="7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2/3/2026</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Providers and Services</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9.84 %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10,571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10,416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7/20/2027</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Hotel, Gaming and Leisure</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10.43 %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4,275</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4,206</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2,426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Magenta Buyer,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7/31/2028</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9.17 %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3,029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Marketplace Events, LLC - Super Priority First Lien Term Loan</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9/30/2025</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9.90 %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1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Marketplace Events, LLC - Super Priority First Lien Unfunded Term</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Loan</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9/30/2025</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Marketplace Events,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9/30/2026</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 Diversified and Production</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9.90 %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4,837</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3,587</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5/14/2026</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10.23 %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11,676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11,531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4/16/2027</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Internet Software and Services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10.13 %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7,388</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7,282</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7,314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MDI Buyer,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7/25/2028</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10.54 %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6,429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12/10/2027</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9.73 %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2,390</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2,349</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2,366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3/28/2024</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Capital Equipment</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9.73 %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5,814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9/28/2027</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8.67 %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3,456</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3,399</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3,318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8/19/2026</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&amp; Childcare</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9.05 %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10,793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10,624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New Milani Group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6/6/2024</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9.17 %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14,325</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14,288</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14,110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5/7/2027</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Air Freight and Logistics</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10.63 %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14,561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14,326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3/27/2024</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11.30 %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L+675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7,691</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7,681</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5,768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2/4/2028</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8.41 %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3,980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5/18/2026</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Construction and Building</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10.84 %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4,858</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4,765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9/29/2025</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Wholesale</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9.73 %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9,568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9,243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4"/>
              </w:rPr>
              <w:t>11/9/2027</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10.88 %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8,217</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8,095</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8,012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7"/>
              </w:rPr>
              <w:t>5/8/2026</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12.00 %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2,572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Pragmatic Institute, LLC</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7"/>
              </w:rPr>
              <w:t>7/6/2028</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10.33 %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SOFR+575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11,222</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11,068</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11,110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11/19/2026</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10.96 %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2,829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 - Unfunded Term Loan</w:t>
            </w:r>
          </w:p>
        </w:tc>
        <w:tc>
          <w:tcPr>
            <w:tcW w:w="78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9"/>
              </w:rPr>
              <w:t>11/19/2026</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440" w:type="dxa"/>
            <w:vAlign w:val="bottom"/>
            <w:shd w:val="clear" w:color="auto" w:fill="CCECFF"/>
          </w:tcPr>
          <w:p>
            <w:pPr>
              <w:spacing w:after="0"/>
              <w:rPr>
                <w:sz w:val="13"/>
                <w:szCs w:val="13"/>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1,104</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56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44"/>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8"/>
              </w:rPr>
              <w:t>2/28/2028</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Air Freight and Logistics</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10.42 %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8"/>
              </w:rPr>
              <w:t>1/29/2026</w:t>
            </w:r>
          </w:p>
        </w:tc>
        <w:tc>
          <w:tcPr>
            <w:tcW w:w="120" w:type="dxa"/>
            <w:vAlign w:val="bottom"/>
            <w:shd w:val="clear" w:color="auto" w:fill="CCECFF"/>
          </w:tcPr>
          <w:p>
            <w:pPr>
              <w:spacing w:after="0"/>
              <w:rPr>
                <w:sz w:val="13"/>
                <w:szCs w:val="13"/>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Leisure Products</w:t>
            </w:r>
          </w:p>
        </w:tc>
        <w:tc>
          <w:tcPr>
            <w:tcW w:w="1440" w:type="dxa"/>
            <w:vAlign w:val="bottom"/>
            <w:gridSpan w:val="3"/>
            <w:shd w:val="clear" w:color="auto" w:fill="CCECFF"/>
          </w:tcPr>
          <w:p>
            <w:pPr>
              <w:jc w:val="right"/>
              <w:ind w:right="320"/>
              <w:spacing w:after="0"/>
              <w:rPr>
                <w:sz w:val="20"/>
                <w:szCs w:val="20"/>
                <w:color w:val="auto"/>
              </w:rPr>
            </w:pPr>
            <w:r>
              <w:rPr>
                <w:rFonts w:ascii="Times New Roman" w:cs="Times New Roman" w:eastAsia="Times New Roman" w:hAnsi="Times New Roman"/>
                <w:sz w:val="11"/>
                <w:szCs w:val="11"/>
                <w:color w:val="auto"/>
              </w:rPr>
              <w:t>10.98 %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4,848</w:t>
            </w: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4,741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78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9"/>
              </w:rPr>
              <w:t>12/20/2024</w:t>
            </w:r>
          </w:p>
        </w:tc>
        <w:tc>
          <w:tcPr>
            <w:tcW w:w="12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8.84 %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12,531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12,342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26"/>
        </w:trPr>
        <w:tc>
          <w:tcPr>
            <w:tcW w:w="18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Spread</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jc w:val="center"/>
              <w:ind w:left="206"/>
              <w:spacing w:after="0" w:line="111" w:lineRule="exact"/>
              <w:rPr>
                <w:sz w:val="20"/>
                <w:szCs w:val="20"/>
                <w:color w:val="auto"/>
              </w:rPr>
            </w:pPr>
            <w:r>
              <w:rPr>
                <w:rFonts w:ascii="Times New Roman" w:cs="Times New Roman" w:eastAsia="Times New Roman" w:hAnsi="Times New Roman"/>
                <w:sz w:val="11"/>
                <w:szCs w:val="11"/>
                <w:b w:val="1"/>
                <w:bCs w:val="1"/>
                <w:color w:val="auto"/>
                <w:w w:val="98"/>
              </w:rPr>
              <w:t>Current</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3"/>
              </w:rPr>
              <w:t>Above</w:t>
            </w:r>
          </w:p>
        </w:tc>
        <w:tc>
          <w:tcPr>
            <w:tcW w:w="140" w:type="dxa"/>
            <w:vAlign w:val="bottom"/>
          </w:tcPr>
          <w:p>
            <w:pPr>
              <w:spacing w:after="0"/>
              <w:rPr>
                <w:sz w:val="9"/>
                <w:szCs w:val="9"/>
                <w:color w:val="auto"/>
              </w:rPr>
            </w:pPr>
          </w:p>
        </w:tc>
        <w:tc>
          <w:tcPr>
            <w:tcW w:w="640" w:type="dxa"/>
            <w:vAlign w:val="bottom"/>
          </w:tcPr>
          <w:p>
            <w:pPr>
              <w:jc w:val="right"/>
              <w:ind w:right="166"/>
              <w:spacing w:after="0" w:line="111" w:lineRule="exact"/>
              <w:rPr>
                <w:sz w:val="20"/>
                <w:szCs w:val="20"/>
                <w:color w:val="auto"/>
              </w:rPr>
            </w:pPr>
            <w:r>
              <w:rPr>
                <w:rFonts w:ascii="Times New Roman" w:cs="Times New Roman" w:eastAsia="Times New Roman" w:hAnsi="Times New Roman"/>
                <w:sz w:val="11"/>
                <w:szCs w:val="11"/>
                <w:b w:val="1"/>
                <w:bCs w:val="1"/>
                <w:color w:val="auto"/>
              </w:rPr>
              <w:t>Par /</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(2)</w:t>
            </w:r>
          </w:p>
        </w:tc>
        <w:tc>
          <w:tcPr>
            <w:tcW w:w="0" w:type="dxa"/>
            <w:vAlign w:val="bottom"/>
          </w:tcPr>
          <w:p>
            <w:pPr>
              <w:spacing w:after="0"/>
              <w:rPr>
                <w:sz w:val="1"/>
                <w:szCs w:val="1"/>
                <w:color w:val="auto"/>
              </w:rPr>
            </w:pPr>
          </w:p>
        </w:tc>
      </w:tr>
      <w:tr>
        <w:trPr>
          <w:trHeight w:val="162"/>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4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6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40" w:type="dxa"/>
            <w:vAlign w:val="bottom"/>
          </w:tcPr>
          <w:p>
            <w:pPr>
              <w:spacing w:after="0"/>
              <w:rPr>
                <w:sz w:val="14"/>
                <w:szCs w:val="14"/>
                <w:color w:val="auto"/>
              </w:rPr>
            </w:pPr>
          </w:p>
        </w:tc>
        <w:tc>
          <w:tcPr>
            <w:tcW w:w="720" w:type="dxa"/>
            <w:vAlign w:val="bottom"/>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(1)</w:t>
            </w:r>
          </w:p>
        </w:tc>
        <w:tc>
          <w:tcPr>
            <w:tcW w:w="140" w:type="dxa"/>
            <w:vAlign w:val="bottom"/>
          </w:tcPr>
          <w:p>
            <w:pPr>
              <w:spacing w:after="0"/>
              <w:rPr>
                <w:sz w:val="14"/>
                <w:szCs w:val="14"/>
                <w:color w:val="auto"/>
              </w:rPr>
            </w:pPr>
          </w:p>
        </w:tc>
        <w:tc>
          <w:tcPr>
            <w:tcW w:w="6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Borders>
              <w:top w:val="single" w:sz="8" w:color="auto"/>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40" w:type="dxa"/>
            <w:vAlign w:val="bottom"/>
            <w:shd w:val="clear" w:color="auto" w:fill="CCECFF"/>
          </w:tcPr>
          <w:p>
            <w:pPr>
              <w:spacing w:after="0"/>
              <w:rPr>
                <w:sz w:val="12"/>
                <w:szCs w:val="12"/>
                <w:color w:val="auto"/>
              </w:rPr>
            </w:pPr>
          </w:p>
        </w:tc>
        <w:tc>
          <w:tcPr>
            <w:tcW w:w="5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1/3/2025</w:t>
            </w:r>
          </w:p>
        </w:tc>
        <w:tc>
          <w:tcPr>
            <w:tcW w:w="160" w:type="dxa"/>
            <w:vAlign w:val="bottom"/>
            <w:shd w:val="clear" w:color="auto" w:fill="CCECFF"/>
          </w:tcPr>
          <w:p>
            <w:pPr>
              <w:spacing w:after="0"/>
              <w:rPr>
                <w:sz w:val="12"/>
                <w:szCs w:val="12"/>
                <w:color w:val="auto"/>
              </w:rPr>
            </w:pPr>
          </w:p>
        </w:tc>
        <w:tc>
          <w:tcPr>
            <w:tcW w:w="28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2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6"/>
              </w:rPr>
              <w:t>10.73</w:t>
            </w:r>
          </w:p>
        </w:tc>
        <w:tc>
          <w:tcPr>
            <w:tcW w:w="24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40" w:type="dxa"/>
            <w:vAlign w:val="bottom"/>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5,013</w:t>
            </w:r>
          </w:p>
        </w:tc>
        <w:tc>
          <w:tcPr>
            <w:tcW w:w="140" w:type="dxa"/>
            <w:vAlign w:val="bottom"/>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4,965</w:t>
            </w:r>
          </w:p>
        </w:tc>
        <w:tc>
          <w:tcPr>
            <w:tcW w:w="140" w:type="dxa"/>
            <w:vAlign w:val="bottom"/>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40" w:type="dxa"/>
            <w:vAlign w:val="bottom"/>
            <w:gridSpan w:val="2"/>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8"/>
              </w:rPr>
              <w:t>12/20/202</w:t>
            </w:r>
          </w:p>
        </w:tc>
        <w:tc>
          <w:tcPr>
            <w:tcW w:w="1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4</w:t>
            </w: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9.89 %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5,183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5,150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54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7/14/2025</w:t>
            </w:r>
          </w:p>
        </w:tc>
        <w:tc>
          <w:tcPr>
            <w:tcW w:w="160" w:type="dxa"/>
            <w:vAlign w:val="bottom"/>
            <w:shd w:val="clear" w:color="auto" w:fill="CCECFF"/>
          </w:tcPr>
          <w:p>
            <w:pPr>
              <w:spacing w:after="0"/>
              <w:rPr>
                <w:sz w:val="12"/>
                <w:szCs w:val="12"/>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5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98"/>
              </w:rPr>
              <w:t>10.92 %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SOFR+700</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11,832</w:t>
            </w:r>
          </w:p>
        </w:tc>
        <w:tc>
          <w:tcPr>
            <w:tcW w:w="1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11,816</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11,536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880" w:type="dxa"/>
            <w:vAlign w:val="bottom"/>
            <w:shd w:val="clear" w:color="auto" w:fill="CCECFF"/>
          </w:tcPr>
          <w:p>
            <w:pPr>
              <w:spacing w:after="0"/>
              <w:rPr>
                <w:sz w:val="13"/>
                <w:szCs w:val="13"/>
                <w:color w:val="auto"/>
              </w:rPr>
            </w:pPr>
          </w:p>
        </w:tc>
        <w:tc>
          <w:tcPr>
            <w:tcW w:w="162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80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1220" w:type="dxa"/>
            <w:vAlign w:val="bottom"/>
            <w:gridSpan w:val="3"/>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(PIK 0.50%)</w:t>
            </w:r>
          </w:p>
        </w:tc>
        <w:tc>
          <w:tcPr>
            <w:tcW w:w="5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Seaway Buyer, LLC</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6/13/2029</w:t>
            </w: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w w:val="98"/>
              </w:rPr>
              <w:t>10.73 %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80" w:type="dxa"/>
            <w:vAlign w:val="bottom"/>
            <w:shd w:val="clear" w:color="auto" w:fill="CCECFF"/>
          </w:tcPr>
          <w:p>
            <w:pPr>
              <w:spacing w:after="0"/>
              <w:rPr>
                <w:sz w:val="10"/>
                <w:szCs w:val="10"/>
                <w:color w:val="auto"/>
              </w:rPr>
            </w:pPr>
          </w:p>
        </w:tc>
        <w:tc>
          <w:tcPr>
            <w:tcW w:w="1620" w:type="dxa"/>
            <w:vAlign w:val="bottom"/>
            <w:shd w:val="clear" w:color="auto" w:fill="CCECFF"/>
          </w:tcPr>
          <w:p>
            <w:pPr>
              <w:spacing w:after="0"/>
              <w:rPr>
                <w:sz w:val="10"/>
                <w:szCs w:val="10"/>
                <w:color w:val="auto"/>
              </w:rPr>
            </w:pPr>
          </w:p>
        </w:tc>
        <w:tc>
          <w:tcPr>
            <w:tcW w:w="540" w:type="dxa"/>
            <w:vAlign w:val="bottom"/>
            <w:gridSpan w:val="2"/>
            <w:shd w:val="clear" w:color="auto" w:fill="CCECFF"/>
          </w:tcPr>
          <w:p>
            <w:pPr>
              <w:jc w:val="center"/>
              <w:ind w:left="6"/>
              <w:spacing w:after="0" w:line="125" w:lineRule="exact"/>
              <w:rPr>
                <w:sz w:val="20"/>
                <w:szCs w:val="20"/>
                <w:color w:val="auto"/>
              </w:rPr>
            </w:pPr>
            <w:r>
              <w:rPr>
                <w:rFonts w:ascii="Times New Roman" w:cs="Times New Roman" w:eastAsia="Times New Roman" w:hAnsi="Times New Roman"/>
                <w:sz w:val="11"/>
                <w:szCs w:val="11"/>
                <w:color w:val="auto"/>
                <w:w w:val="98"/>
              </w:rPr>
              <w:t>12/18/202</w:t>
            </w:r>
          </w:p>
        </w:tc>
        <w:tc>
          <w:tcPr>
            <w:tcW w:w="160" w:type="dxa"/>
            <w:vAlign w:val="bottom"/>
            <w:shd w:val="clear" w:color="auto" w:fill="CCECFF"/>
          </w:tcPr>
          <w:p>
            <w:pPr>
              <w:spacing w:after="0"/>
              <w:rPr>
                <w:sz w:val="10"/>
                <w:szCs w:val="10"/>
                <w:color w:val="auto"/>
              </w:rPr>
            </w:pPr>
          </w:p>
        </w:tc>
        <w:tc>
          <w:tcPr>
            <w:tcW w:w="280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54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160" w:type="dxa"/>
            <w:vAlign w:val="bottom"/>
            <w:shd w:val="clear" w:color="auto" w:fill="CCECFF"/>
          </w:tcPr>
          <w:p>
            <w:pPr>
              <w:spacing w:after="0"/>
              <w:rPr>
                <w:sz w:val="12"/>
                <w:szCs w:val="12"/>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5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98"/>
              </w:rPr>
              <w:t>12.17 %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L+850</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14,621</w:t>
            </w:r>
          </w:p>
        </w:tc>
        <w:tc>
          <w:tcPr>
            <w:tcW w:w="1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14,338</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40" w:type="dxa"/>
            <w:vAlign w:val="bottom"/>
            <w:gridSpan w:val="2"/>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8"/>
              </w:rPr>
              <w:t>10/14/202</w:t>
            </w:r>
          </w:p>
        </w:tc>
        <w:tc>
          <w:tcPr>
            <w:tcW w:w="1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Smile Brands Inc.</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7.05 %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11,887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11,796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54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1/17/2024</w:t>
            </w:r>
          </w:p>
        </w:tc>
        <w:tc>
          <w:tcPr>
            <w:tcW w:w="16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5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8.87 %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5,630</w:t>
            </w: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5,613</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5,478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Spendmend Holdings LLC</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7"/>
              </w:rPr>
              <w:t>3/1/2028</w:t>
            </w: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8.63 %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SOFR+575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2,949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880" w:type="dxa"/>
            <w:vAlign w:val="bottom"/>
            <w:shd w:val="clear" w:color="auto" w:fill="CCECFF"/>
          </w:tcPr>
          <w:p>
            <w:pPr>
              <w:spacing w:after="0"/>
              <w:rPr>
                <w:sz w:val="10"/>
                <w:szCs w:val="10"/>
                <w:color w:val="auto"/>
              </w:rPr>
            </w:pPr>
          </w:p>
        </w:tc>
        <w:tc>
          <w:tcPr>
            <w:tcW w:w="1620" w:type="dxa"/>
            <w:vAlign w:val="bottom"/>
            <w:shd w:val="clear" w:color="auto" w:fill="CCECFF"/>
          </w:tcPr>
          <w:p>
            <w:pPr>
              <w:spacing w:after="0"/>
              <w:rPr>
                <w:sz w:val="10"/>
                <w:szCs w:val="10"/>
                <w:color w:val="auto"/>
              </w:rPr>
            </w:pPr>
          </w:p>
        </w:tc>
        <w:tc>
          <w:tcPr>
            <w:tcW w:w="540" w:type="dxa"/>
            <w:vAlign w:val="bottom"/>
            <w:gridSpan w:val="2"/>
            <w:shd w:val="clear" w:color="auto" w:fill="CCECFF"/>
          </w:tcPr>
          <w:p>
            <w:pPr>
              <w:jc w:val="center"/>
              <w:spacing w:after="0" w:line="125" w:lineRule="exact"/>
              <w:rPr>
                <w:sz w:val="20"/>
                <w:szCs w:val="20"/>
                <w:color w:val="auto"/>
              </w:rPr>
            </w:pPr>
            <w:r>
              <w:rPr>
                <w:rFonts w:ascii="Times New Roman" w:cs="Times New Roman" w:eastAsia="Times New Roman" w:hAnsi="Times New Roman"/>
                <w:sz w:val="11"/>
                <w:szCs w:val="11"/>
                <w:color w:val="auto"/>
                <w:w w:val="94"/>
              </w:rPr>
              <w:t>12/11/202</w:t>
            </w:r>
          </w:p>
        </w:tc>
        <w:tc>
          <w:tcPr>
            <w:tcW w:w="160" w:type="dxa"/>
            <w:vAlign w:val="bottom"/>
            <w:shd w:val="clear" w:color="auto" w:fill="CCECFF"/>
          </w:tcPr>
          <w:p>
            <w:pPr>
              <w:spacing w:after="0"/>
              <w:rPr>
                <w:sz w:val="10"/>
                <w:szCs w:val="10"/>
                <w:color w:val="auto"/>
              </w:rPr>
            </w:pPr>
          </w:p>
        </w:tc>
        <w:tc>
          <w:tcPr>
            <w:tcW w:w="280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54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6</w:t>
            </w:r>
          </w:p>
        </w:tc>
        <w:tc>
          <w:tcPr>
            <w:tcW w:w="160" w:type="dxa"/>
            <w:vAlign w:val="bottom"/>
            <w:shd w:val="clear" w:color="auto" w:fill="CCECFF"/>
          </w:tcPr>
          <w:p>
            <w:pPr>
              <w:spacing w:after="0"/>
              <w:rPr>
                <w:sz w:val="12"/>
                <w:szCs w:val="12"/>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5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8.37 %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9,075</w:t>
            </w:r>
          </w:p>
        </w:tc>
        <w:tc>
          <w:tcPr>
            <w:tcW w:w="1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9,015</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9,030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11/24/202</w:t>
            </w:r>
          </w:p>
        </w:tc>
        <w:tc>
          <w:tcPr>
            <w:tcW w:w="1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Summit Behavioral Healthcare, LLC</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8</w:t>
            </w: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9.45 %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5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w w:val="98"/>
              </w:rPr>
              <w:t>System Planning and Analysis, Inc. (f/k/a Management Consulting &amp; Research,</w:t>
            </w:r>
          </w:p>
        </w:tc>
        <w:tc>
          <w:tcPr>
            <w:tcW w:w="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280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7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LLC)</w:t>
            </w:r>
          </w:p>
        </w:tc>
        <w:tc>
          <w:tcPr>
            <w:tcW w:w="54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8/16/2027</w:t>
            </w:r>
          </w:p>
        </w:tc>
        <w:tc>
          <w:tcPr>
            <w:tcW w:w="160" w:type="dxa"/>
            <w:vAlign w:val="bottom"/>
            <w:shd w:val="clear" w:color="auto" w:fill="CCECFF"/>
          </w:tcPr>
          <w:p>
            <w:pPr>
              <w:spacing w:after="0"/>
              <w:rPr>
                <w:sz w:val="12"/>
                <w:szCs w:val="12"/>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5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98"/>
              </w:rPr>
              <w:t>10.94 %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14,850</w:t>
            </w:r>
          </w:p>
        </w:tc>
        <w:tc>
          <w:tcPr>
            <w:tcW w:w="1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14,603</w:t>
            </w:r>
          </w:p>
        </w:tc>
        <w:tc>
          <w:tcPr>
            <w:tcW w:w="1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14,657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11/24/202</w:t>
            </w:r>
          </w:p>
        </w:tc>
        <w:tc>
          <w:tcPr>
            <w:tcW w:w="1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Team Services Group, LLC</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8</w:t>
            </w: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9.95 %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54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7/18/2025</w:t>
            </w:r>
          </w:p>
        </w:tc>
        <w:tc>
          <w:tcPr>
            <w:tcW w:w="16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5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9.67 %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3,127</w:t>
            </w: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3,086</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5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The Aegis Technologies Group, LLC</w:t>
            </w:r>
          </w:p>
        </w:tc>
        <w:tc>
          <w:tcPr>
            <w:tcW w:w="540" w:type="dxa"/>
            <w:vAlign w:val="bottom"/>
            <w:gridSpan w:val="2"/>
          </w:tcPr>
          <w:p>
            <w:pPr>
              <w:jc w:val="center"/>
              <w:ind w:left="6"/>
              <w:spacing w:after="0" w:line="122" w:lineRule="exact"/>
              <w:rPr>
                <w:sz w:val="20"/>
                <w:szCs w:val="20"/>
                <w:color w:val="auto"/>
              </w:rPr>
            </w:pPr>
            <w:r>
              <w:rPr>
                <w:rFonts w:ascii="Times New Roman" w:cs="Times New Roman" w:eastAsia="Times New Roman" w:hAnsi="Times New Roman"/>
                <w:sz w:val="11"/>
                <w:szCs w:val="11"/>
                <w:color w:val="auto"/>
                <w:w w:val="98"/>
              </w:rPr>
              <w:t>10/31/202</w:t>
            </w:r>
          </w:p>
        </w:tc>
        <w:tc>
          <w:tcPr>
            <w:tcW w:w="1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w w:val="98"/>
              </w:rPr>
              <w:t>10.70 %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5,645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5,590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54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7/27/2026</w:t>
            </w:r>
          </w:p>
        </w:tc>
        <w:tc>
          <w:tcPr>
            <w:tcW w:w="16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Professional Services</w:t>
            </w:r>
          </w:p>
        </w:tc>
        <w:tc>
          <w:tcPr>
            <w:tcW w:w="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5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98"/>
              </w:rPr>
              <w:t>11.98 %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1,698</w:t>
            </w: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1,672</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1,666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The Infosoft Group, LLC</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9/16/2024</w:t>
            </w: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9.84 %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12,883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12,879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54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8/30/2027</w:t>
            </w:r>
          </w:p>
        </w:tc>
        <w:tc>
          <w:tcPr>
            <w:tcW w:w="16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Construction and Engineering</w:t>
            </w:r>
          </w:p>
        </w:tc>
        <w:tc>
          <w:tcPr>
            <w:tcW w:w="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5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9.88 %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5,564</w:t>
            </w: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5,469</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5,447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11/24/202</w:t>
            </w:r>
          </w:p>
        </w:tc>
        <w:tc>
          <w:tcPr>
            <w:tcW w:w="1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9.61 %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8,722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8,592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54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3/26/2026</w:t>
            </w:r>
          </w:p>
        </w:tc>
        <w:tc>
          <w:tcPr>
            <w:tcW w:w="16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5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98"/>
              </w:rPr>
              <w:t>10.13 %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14,678</w:t>
            </w: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14,611</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14,311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6/16/2025</w:t>
            </w: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Diversified Consumer Services</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w w:val="98"/>
              </w:rPr>
              <w:t>11.46 %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5,468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Tyto Athene, LLC (New Issue)</w:t>
            </w:r>
          </w:p>
        </w:tc>
        <w:tc>
          <w:tcPr>
            <w:tcW w:w="54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4/1/2028</w:t>
            </w:r>
          </w:p>
        </w:tc>
        <w:tc>
          <w:tcPr>
            <w:tcW w:w="16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5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9.25 %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15,511</w:t>
            </w: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15,387</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14,053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7"/>
              </w:rPr>
              <w:t>4/3/2024</w:t>
            </w: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9.23 %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17,345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17,273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5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Unique Indoor Comfort, LLC</w:t>
            </w:r>
          </w:p>
        </w:tc>
        <w:tc>
          <w:tcPr>
            <w:tcW w:w="54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5/24/2027</w:t>
            </w:r>
          </w:p>
        </w:tc>
        <w:tc>
          <w:tcPr>
            <w:tcW w:w="16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 Housewares</w:t>
            </w:r>
          </w:p>
        </w:tc>
        <w:tc>
          <w:tcPr>
            <w:tcW w:w="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5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9.98 %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SOFR+525</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4,872</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3/31/2027</w:t>
            </w: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0.00 %</w:t>
            </w:r>
          </w:p>
        </w:tc>
        <w:tc>
          <w:tcPr>
            <w:tcW w:w="58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12,684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tcPr>
          <w:p>
            <w:pPr>
              <w:jc w:val="right"/>
              <w:ind w:right="186"/>
              <w:spacing w:after="0"/>
              <w:rPr>
                <w:sz w:val="20"/>
                <w:szCs w:val="20"/>
                <w:color w:val="auto"/>
              </w:rPr>
            </w:pPr>
            <w:r>
              <w:rPr>
                <w:rFonts w:ascii="Times New Roman" w:cs="Times New Roman" w:eastAsia="Times New Roman" w:hAnsi="Times New Roman"/>
                <w:sz w:val="11"/>
                <w:szCs w:val="11"/>
                <w:color w:val="auto"/>
              </w:rPr>
              <w:t>(PIK 3.0%)</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5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54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2/27/2026</w:t>
            </w:r>
          </w:p>
        </w:tc>
        <w:tc>
          <w:tcPr>
            <w:tcW w:w="160" w:type="dxa"/>
            <w:vAlign w:val="bottom"/>
            <w:shd w:val="clear" w:color="auto" w:fill="CCECFF"/>
          </w:tcPr>
          <w:p>
            <w:pPr>
              <w:spacing w:after="0"/>
              <w:rPr>
                <w:sz w:val="13"/>
                <w:szCs w:val="13"/>
                <w:color w:val="auto"/>
              </w:rPr>
            </w:pPr>
          </w:p>
        </w:tc>
        <w:tc>
          <w:tcPr>
            <w:tcW w:w="2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Electronic Equipment, Instruments, and Components</w:t>
            </w:r>
          </w:p>
        </w:tc>
        <w:tc>
          <w:tcPr>
            <w:tcW w:w="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500" w:type="dxa"/>
            <w:vAlign w:val="bottom"/>
            <w:gridSpan w:val="2"/>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98"/>
              </w:rPr>
              <w:t>10.48 %</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SOFR+575</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8,524</w:t>
            </w: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8,487</w:t>
            </w: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8,240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7"/>
              </w:rPr>
              <w:t>3/1/2024</w:t>
            </w: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w w:val="98"/>
              </w:rPr>
              <w:t>11.53 %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16,915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16,717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80" w:type="dxa"/>
            <w:vAlign w:val="bottom"/>
            <w:tcBorders>
              <w:bottom w:val="single" w:sz="8" w:color="CCECFF"/>
            </w:tcBorders>
            <w:shd w:val="clear" w:color="auto" w:fill="CCECFF"/>
          </w:tcPr>
          <w:p>
            <w:pPr>
              <w:spacing w:after="0"/>
              <w:rPr>
                <w:sz w:val="13"/>
                <w:szCs w:val="13"/>
                <w:color w:val="auto"/>
              </w:rPr>
            </w:pPr>
          </w:p>
        </w:tc>
        <w:tc>
          <w:tcPr>
            <w:tcW w:w="1620" w:type="dxa"/>
            <w:vAlign w:val="bottom"/>
            <w:tcBorders>
              <w:bottom w:val="single" w:sz="8" w:color="CCECFF"/>
            </w:tcBorders>
            <w:shd w:val="clear" w:color="auto" w:fill="CCECFF"/>
          </w:tcPr>
          <w:p>
            <w:pPr>
              <w:spacing w:after="0"/>
              <w:rPr>
                <w:sz w:val="13"/>
                <w:szCs w:val="13"/>
                <w:color w:val="auto"/>
              </w:rPr>
            </w:pPr>
          </w:p>
        </w:tc>
        <w:tc>
          <w:tcPr>
            <w:tcW w:w="40" w:type="dxa"/>
            <w:vAlign w:val="bottom"/>
            <w:tcBorders>
              <w:bottom w:val="single" w:sz="8" w:color="CCECFF"/>
            </w:tcBorders>
            <w:shd w:val="clear" w:color="auto" w:fill="CCECFF"/>
          </w:tcPr>
          <w:p>
            <w:pPr>
              <w:spacing w:after="0"/>
              <w:rPr>
                <w:sz w:val="13"/>
                <w:szCs w:val="13"/>
                <w:color w:val="auto"/>
              </w:rPr>
            </w:pPr>
          </w:p>
        </w:tc>
        <w:tc>
          <w:tcPr>
            <w:tcW w:w="5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800" w:type="dxa"/>
            <w:vAlign w:val="bottom"/>
            <w:tcBorders>
              <w:bottom w:val="single" w:sz="8" w:color="CCECFF"/>
            </w:tcBorders>
            <w:shd w:val="clear" w:color="auto" w:fill="CCECFF"/>
          </w:tcPr>
          <w:p>
            <w:pPr>
              <w:spacing w:after="0"/>
              <w:rPr>
                <w:sz w:val="13"/>
                <w:szCs w:val="13"/>
                <w:color w:val="auto"/>
              </w:rPr>
            </w:pPr>
          </w:p>
        </w:tc>
        <w:tc>
          <w:tcPr>
            <w:tcW w:w="40" w:type="dxa"/>
            <w:vAlign w:val="bottom"/>
            <w:tcBorders>
              <w:bottom w:val="single" w:sz="8" w:color="CCECFF"/>
            </w:tcBorders>
            <w:shd w:val="clear" w:color="auto" w:fill="CCECFF"/>
          </w:tcPr>
          <w:p>
            <w:pPr>
              <w:spacing w:after="0"/>
              <w:rPr>
                <w:sz w:val="13"/>
                <w:szCs w:val="13"/>
                <w:color w:val="auto"/>
              </w:rPr>
            </w:pPr>
          </w:p>
        </w:tc>
        <w:tc>
          <w:tcPr>
            <w:tcW w:w="72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5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64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460" w:type="dxa"/>
            <w:vAlign w:val="bottom"/>
            <w:tcBorders>
              <w:bottom w:val="single" w:sz="8" w:color="auto"/>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500" w:type="dxa"/>
            <w:vAlign w:val="bottom"/>
            <w:tcBorders>
              <w:bottom w:val="single" w:sz="8" w:color="auto"/>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769,096</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747,402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5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 - 5.0%</w:t>
            </w:r>
          </w:p>
        </w:tc>
        <w:tc>
          <w:tcPr>
            <w:tcW w:w="4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80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880" w:type="dxa"/>
            <w:vAlign w:val="bottom"/>
            <w:shd w:val="clear" w:color="auto" w:fill="CCECFF"/>
          </w:tcPr>
          <w:p>
            <w:pPr>
              <w:spacing w:after="0"/>
              <w:rPr>
                <w:sz w:val="13"/>
                <w:szCs w:val="13"/>
                <w:color w:val="auto"/>
              </w:rPr>
            </w:pPr>
          </w:p>
        </w:tc>
        <w:tc>
          <w:tcPr>
            <w:tcW w:w="1620" w:type="dxa"/>
            <w:vAlign w:val="bottom"/>
            <w:shd w:val="clear" w:color="auto" w:fill="CCECFF"/>
          </w:tcPr>
          <w:p>
            <w:pPr>
              <w:spacing w:after="0"/>
              <w:rPr>
                <w:sz w:val="13"/>
                <w:szCs w:val="13"/>
                <w:color w:val="auto"/>
              </w:rPr>
            </w:pPr>
          </w:p>
        </w:tc>
        <w:tc>
          <w:tcPr>
            <w:tcW w:w="540" w:type="dxa"/>
            <w:vAlign w:val="bottom"/>
            <w:gridSpan w:val="2"/>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80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720" w:type="dxa"/>
            <w:vAlign w:val="bottom"/>
            <w:shd w:val="clear" w:color="auto" w:fill="CCECFF"/>
          </w:tcPr>
          <w:p>
            <w:pPr>
              <w:spacing w:after="0"/>
              <w:rPr>
                <w:sz w:val="13"/>
                <w:szCs w:val="13"/>
                <w:color w:val="auto"/>
              </w:rPr>
            </w:pPr>
          </w:p>
        </w:tc>
        <w:tc>
          <w:tcPr>
            <w:tcW w:w="500" w:type="dxa"/>
            <w:vAlign w:val="bottom"/>
            <w:gridSpan w:val="2"/>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c>
          <w:tcPr>
            <w:tcW w:w="780" w:type="dxa"/>
            <w:vAlign w:val="bottom"/>
            <w:gridSpan w:val="2"/>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9/29/2024</w:t>
            </w:r>
          </w:p>
        </w:tc>
        <w:tc>
          <w:tcPr>
            <w:tcW w:w="160" w:type="dxa"/>
            <w:vAlign w:val="bottom"/>
          </w:tcPr>
          <w:p>
            <w:pPr>
              <w:spacing w:after="0"/>
              <w:rPr>
                <w:sz w:val="12"/>
                <w:szCs w:val="12"/>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w w:val="98"/>
              </w:rPr>
              <w:t>13.23 %</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2,968</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40" w:type="dxa"/>
            <w:vAlign w:val="bottom"/>
            <w:tcBorders>
              <w:bottom w:val="single" w:sz="8" w:color="CCECFF"/>
            </w:tcBorders>
            <w:shd w:val="clear" w:color="auto" w:fill="CCECFF"/>
          </w:tcPr>
          <w:p>
            <w:pPr>
              <w:spacing w:after="0"/>
              <w:rPr>
                <w:sz w:val="12"/>
                <w:szCs w:val="12"/>
                <w:color w:val="auto"/>
              </w:rPr>
            </w:pPr>
          </w:p>
        </w:tc>
        <w:tc>
          <w:tcPr>
            <w:tcW w:w="50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280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spacing w:after="0"/>
              <w:rPr>
                <w:sz w:val="12"/>
                <w:szCs w:val="12"/>
                <w:color w:val="auto"/>
              </w:rPr>
            </w:pP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2,968</w:t>
            </w:r>
          </w:p>
        </w:tc>
        <w:tc>
          <w:tcPr>
            <w:tcW w:w="1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2,970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Equity Securities - 0.4%</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5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New MPE Holdings, LLC</w:t>
            </w:r>
          </w:p>
        </w:tc>
        <w:tc>
          <w:tcPr>
            <w:tcW w:w="40" w:type="dxa"/>
            <w:vAlign w:val="bottom"/>
            <w:tcBorders>
              <w:bottom w:val="single" w:sz="8" w:color="CCECFF"/>
            </w:tcBorders>
            <w:shd w:val="clear" w:color="auto" w:fill="CCECFF"/>
          </w:tcPr>
          <w:p>
            <w:pPr>
              <w:spacing w:after="0"/>
              <w:rPr>
                <w:sz w:val="13"/>
                <w:szCs w:val="13"/>
                <w:color w:val="auto"/>
              </w:rPr>
            </w:pPr>
          </w:p>
        </w:tc>
        <w:tc>
          <w:tcPr>
            <w:tcW w:w="500" w:type="dxa"/>
            <w:vAlign w:val="bottom"/>
            <w:tcBorders>
              <w:bottom w:val="single" w:sz="8" w:color="CCECFF"/>
            </w:tcBorders>
            <w:shd w:val="clear" w:color="auto" w:fill="CCEC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CFF"/>
            </w:tcBorders>
            <w:shd w:val="clear" w:color="auto" w:fill="CCECFF"/>
          </w:tcPr>
          <w:p>
            <w:pPr>
              <w:spacing w:after="0"/>
              <w:rPr>
                <w:sz w:val="13"/>
                <w:szCs w:val="13"/>
                <w:color w:val="auto"/>
              </w:rPr>
            </w:pPr>
          </w:p>
        </w:tc>
        <w:tc>
          <w:tcPr>
            <w:tcW w:w="28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40" w:type="dxa"/>
            <w:vAlign w:val="bottom"/>
            <w:tcBorders>
              <w:bottom w:val="single" w:sz="8" w:color="CCECFF"/>
            </w:tcBorders>
            <w:shd w:val="clear" w:color="auto" w:fill="CCECFF"/>
          </w:tcPr>
          <w:p>
            <w:pPr>
              <w:spacing w:after="0"/>
              <w:rPr>
                <w:sz w:val="13"/>
                <w:szCs w:val="13"/>
                <w:color w:val="auto"/>
              </w:rPr>
            </w:pPr>
          </w:p>
        </w:tc>
        <w:tc>
          <w:tcPr>
            <w:tcW w:w="720" w:type="dxa"/>
            <w:vAlign w:val="bottom"/>
            <w:tcBorders>
              <w:bottom w:val="single" w:sz="8" w:color="CCECFF"/>
            </w:tcBorders>
            <w:shd w:val="clear" w:color="auto" w:fill="CCECFF"/>
          </w:tcPr>
          <w:p>
            <w:pPr>
              <w:spacing w:after="0"/>
              <w:rPr>
                <w:sz w:val="13"/>
                <w:szCs w:val="13"/>
                <w:color w:val="auto"/>
              </w:rPr>
            </w:pPr>
          </w:p>
        </w:tc>
        <w:tc>
          <w:tcPr>
            <w:tcW w:w="500" w:type="dxa"/>
            <w:vAlign w:val="bottom"/>
            <w:tcBorders>
              <w:bottom w:val="single" w:sz="8" w:color="CCECFF"/>
            </w:tcBorders>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CFF"/>
            </w:tcBorders>
            <w:shd w:val="clear" w:color="auto" w:fill="CCECFF"/>
          </w:tcPr>
          <w:p>
            <w:pPr>
              <w:spacing w:after="0"/>
              <w:rPr>
                <w:sz w:val="13"/>
                <w:szCs w:val="13"/>
                <w:color w:val="auto"/>
              </w:rPr>
            </w:pPr>
          </w:p>
        </w:tc>
        <w:tc>
          <w:tcPr>
            <w:tcW w:w="6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320</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- 1,360.1%</w:t>
            </w:r>
          </w:p>
        </w:tc>
        <w:tc>
          <w:tcPr>
            <w:tcW w:w="40" w:type="dxa"/>
            <w:vAlign w:val="bottom"/>
            <w:tcBorders>
              <w:bottom w:val="single" w:sz="8" w:color="CCECFF"/>
            </w:tcBorders>
            <w:shd w:val="clear" w:color="auto" w:fill="CCECFF"/>
          </w:tcPr>
          <w:p>
            <w:pPr>
              <w:spacing w:after="0"/>
              <w:rPr>
                <w:sz w:val="12"/>
                <w:szCs w:val="12"/>
                <w:color w:val="auto"/>
              </w:rPr>
            </w:pPr>
          </w:p>
        </w:tc>
        <w:tc>
          <w:tcPr>
            <w:tcW w:w="50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CCECFF"/>
            </w:tcBorders>
            <w:shd w:val="clear" w:color="auto" w:fill="CCECFF"/>
          </w:tcPr>
          <w:p>
            <w:pPr>
              <w:spacing w:after="0"/>
              <w:rPr>
                <w:sz w:val="12"/>
                <w:szCs w:val="12"/>
                <w:color w:val="auto"/>
              </w:rPr>
            </w:pPr>
          </w:p>
        </w:tc>
        <w:tc>
          <w:tcPr>
            <w:tcW w:w="280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58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spacing w:after="0"/>
              <w:rPr>
                <w:sz w:val="12"/>
                <w:szCs w:val="12"/>
                <w:color w:val="auto"/>
              </w:rPr>
            </w:pP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772,064</w:t>
            </w:r>
          </w:p>
        </w:tc>
        <w:tc>
          <w:tcPr>
            <w:tcW w:w="14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750,692</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- 75.5%</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5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40" w:type="dxa"/>
            <w:vAlign w:val="bottom"/>
            <w:tcBorders>
              <w:bottom w:val="single" w:sz="8" w:color="CCECFF"/>
            </w:tcBorders>
            <w:shd w:val="clear" w:color="auto" w:fill="CCECFF"/>
          </w:tcPr>
          <w:p>
            <w:pPr>
              <w:spacing w:after="0"/>
              <w:rPr>
                <w:sz w:val="13"/>
                <w:szCs w:val="13"/>
                <w:color w:val="auto"/>
              </w:rPr>
            </w:pPr>
          </w:p>
        </w:tc>
        <w:tc>
          <w:tcPr>
            <w:tcW w:w="5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800" w:type="dxa"/>
            <w:vAlign w:val="bottom"/>
            <w:tcBorders>
              <w:bottom w:val="single" w:sz="8" w:color="CCECFF"/>
            </w:tcBorders>
            <w:shd w:val="clear" w:color="auto" w:fill="CCECFF"/>
          </w:tcPr>
          <w:p>
            <w:pPr>
              <w:spacing w:after="0"/>
              <w:rPr>
                <w:sz w:val="13"/>
                <w:szCs w:val="13"/>
                <w:color w:val="auto"/>
              </w:rPr>
            </w:pPr>
          </w:p>
        </w:tc>
        <w:tc>
          <w:tcPr>
            <w:tcW w:w="40" w:type="dxa"/>
            <w:vAlign w:val="bottom"/>
            <w:tcBorders>
              <w:bottom w:val="single" w:sz="8" w:color="CCECFF"/>
            </w:tcBorders>
            <w:shd w:val="clear" w:color="auto" w:fill="CCECFF"/>
          </w:tcPr>
          <w:p>
            <w:pPr>
              <w:spacing w:after="0"/>
              <w:rPr>
                <w:sz w:val="13"/>
                <w:szCs w:val="13"/>
                <w:color w:val="auto"/>
              </w:rPr>
            </w:pPr>
          </w:p>
        </w:tc>
        <w:tc>
          <w:tcPr>
            <w:tcW w:w="72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CCECFF"/>
            </w:tcBorders>
            <w:shd w:val="clear" w:color="auto" w:fill="CCECFF"/>
          </w:tcPr>
          <w:p>
            <w:pPr>
              <w:spacing w:after="0"/>
              <w:rPr>
                <w:sz w:val="13"/>
                <w:szCs w:val="13"/>
                <w:color w:val="auto"/>
              </w:rPr>
            </w:pPr>
          </w:p>
        </w:tc>
        <w:tc>
          <w:tcPr>
            <w:tcW w:w="5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64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41,692</w:t>
            </w:r>
          </w:p>
        </w:tc>
        <w:tc>
          <w:tcPr>
            <w:tcW w:w="1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41,692</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41,692</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41,692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—1,329.0%</w:t>
            </w:r>
          </w:p>
        </w:tc>
        <w:tc>
          <w:tcPr>
            <w:tcW w:w="40" w:type="dxa"/>
            <w:vAlign w:val="bottom"/>
            <w:tcBorders>
              <w:bottom w:val="single" w:sz="8" w:color="CCECFF"/>
            </w:tcBorders>
            <w:shd w:val="clear" w:color="auto" w:fill="CCECFF"/>
          </w:tcPr>
          <w:p>
            <w:pPr>
              <w:spacing w:after="0"/>
              <w:rPr>
                <w:sz w:val="15"/>
                <w:szCs w:val="15"/>
                <w:color w:val="auto"/>
              </w:rPr>
            </w:pPr>
          </w:p>
        </w:tc>
        <w:tc>
          <w:tcPr>
            <w:tcW w:w="50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2800" w:type="dxa"/>
            <w:vAlign w:val="bottom"/>
            <w:tcBorders>
              <w:bottom w:val="single" w:sz="8" w:color="CCECFF"/>
            </w:tcBorders>
            <w:shd w:val="clear" w:color="auto" w:fill="CCECFF"/>
          </w:tcPr>
          <w:p>
            <w:pPr>
              <w:spacing w:after="0"/>
              <w:rPr>
                <w:sz w:val="15"/>
                <w:szCs w:val="15"/>
                <w:color w:val="auto"/>
              </w:rPr>
            </w:pPr>
          </w:p>
        </w:tc>
        <w:tc>
          <w:tcPr>
            <w:tcW w:w="4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58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6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813,756</w:t>
            </w:r>
          </w:p>
        </w:tc>
        <w:tc>
          <w:tcPr>
            <w:tcW w:w="1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792,384</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 — (1,229.0)%</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(737,189 )</w:t>
            </w:r>
          </w:p>
        </w:tc>
        <w:tc>
          <w:tcPr>
            <w:tcW w:w="0" w:type="dxa"/>
            <w:vAlign w:val="bottom"/>
          </w:tcPr>
          <w:p>
            <w:pPr>
              <w:spacing w:after="0"/>
              <w:rPr>
                <w:sz w:val="1"/>
                <w:szCs w:val="1"/>
                <w:color w:val="auto"/>
              </w:rPr>
            </w:pPr>
          </w:p>
        </w:tc>
      </w:tr>
      <w:tr>
        <w:trPr>
          <w:trHeight w:val="182"/>
        </w:trPr>
        <w:tc>
          <w:tcPr>
            <w:tcW w:w="35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40" w:type="dxa"/>
            <w:vAlign w:val="bottom"/>
            <w:tcBorders>
              <w:bottom w:val="single" w:sz="8" w:color="CCECFF"/>
            </w:tcBorders>
            <w:shd w:val="clear" w:color="auto" w:fill="CCECFF"/>
          </w:tcPr>
          <w:p>
            <w:pPr>
              <w:spacing w:after="0"/>
              <w:rPr>
                <w:sz w:val="15"/>
                <w:szCs w:val="15"/>
                <w:color w:val="auto"/>
              </w:rPr>
            </w:pPr>
          </w:p>
        </w:tc>
        <w:tc>
          <w:tcPr>
            <w:tcW w:w="50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2800" w:type="dxa"/>
            <w:vAlign w:val="bottom"/>
            <w:tcBorders>
              <w:bottom w:val="single" w:sz="8" w:color="CCECFF"/>
            </w:tcBorders>
            <w:shd w:val="clear" w:color="auto" w:fill="CCECFF"/>
          </w:tcPr>
          <w:p>
            <w:pPr>
              <w:spacing w:after="0"/>
              <w:rPr>
                <w:sz w:val="15"/>
                <w:szCs w:val="15"/>
                <w:color w:val="auto"/>
              </w:rPr>
            </w:pPr>
          </w:p>
        </w:tc>
        <w:tc>
          <w:tcPr>
            <w:tcW w:w="40" w:type="dxa"/>
            <w:vAlign w:val="bottom"/>
            <w:tcBorders>
              <w:bottom w:val="single" w:sz="8" w:color="CCECFF"/>
            </w:tcBorders>
            <w:shd w:val="clear" w:color="auto" w:fill="CCECFF"/>
          </w:tcPr>
          <w:p>
            <w:pPr>
              <w:spacing w:after="0"/>
              <w:rPr>
                <w:sz w:val="15"/>
                <w:szCs w:val="15"/>
                <w:color w:val="auto"/>
              </w:rPr>
            </w:pPr>
          </w:p>
        </w:tc>
        <w:tc>
          <w:tcPr>
            <w:tcW w:w="7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58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6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46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top w:val="single" w:sz="8" w:color="auto"/>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55,195</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1880" w:type="dxa"/>
            <w:vAlign w:val="bottom"/>
            <w:tcBorders>
              <w:bottom w:val="single" w:sz="8" w:color="auto"/>
            </w:tcBorders>
          </w:tcPr>
          <w:p>
            <w:pPr>
              <w:spacing w:after="0"/>
              <w:rPr>
                <w:sz w:val="5"/>
                <w:szCs w:val="5"/>
                <w:color w:val="auto"/>
              </w:rPr>
            </w:pPr>
          </w:p>
        </w:tc>
        <w:tc>
          <w:tcPr>
            <w:tcW w:w="162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6562725</wp:posOffset>
            </wp:positionH>
            <wp:positionV relativeFrom="paragraph">
              <wp:posOffset>-1610995</wp:posOffset>
            </wp:positionV>
            <wp:extent cx="68580" cy="1111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1111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-1113790</wp:posOffset>
            </wp:positionV>
            <wp:extent cx="68580" cy="1028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1028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-916305</wp:posOffset>
            </wp:positionV>
            <wp:extent cx="68580" cy="1111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1111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-710565</wp:posOffset>
            </wp:positionV>
            <wp:extent cx="68580" cy="1028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1028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-513715</wp:posOffset>
            </wp:positionV>
            <wp:extent cx="68580" cy="1111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1111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-307975</wp:posOffset>
            </wp:positionV>
            <wp:extent cx="574040" cy="1289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404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-85090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-67945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 w:lineRule="exact"/>
        <w:rPr>
          <w:sz w:val="20"/>
          <w:szCs w:val="20"/>
          <w:color w:val="auto"/>
        </w:rPr>
      </w:pPr>
    </w:p>
    <w:p>
      <w:pPr>
        <w:ind w:left="380" w:right="20" w:hanging="372"/>
        <w:spacing w:after="0" w:line="218" w:lineRule="auto"/>
        <w:tabs>
          <w:tab w:leader="none" w:pos="38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181" w:lineRule="auto"/>
        <w:tabs>
          <w:tab w:leader="none" w:pos="38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PSSL’s accounting policy.</w:t>
      </w:r>
    </w:p>
    <w:p>
      <w:pPr>
        <w:ind w:left="380" w:hanging="372"/>
        <w:spacing w:after="0" w:line="181" w:lineRule="auto"/>
        <w:tabs>
          <w:tab w:leader="none" w:pos="38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Non-U.S. company or principal place of business outside the United States.</w:t>
      </w:r>
    </w:p>
    <w:p>
      <w:pPr>
        <w:ind w:left="380" w:hanging="372"/>
        <w:spacing w:after="0" w:line="181" w:lineRule="auto"/>
        <w:tabs>
          <w:tab w:leader="none" w:pos="38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Non-income producing security.</w:t>
      </w:r>
    </w:p>
    <w:p>
      <w:pPr>
        <w:ind w:left="380" w:hanging="372"/>
        <w:spacing w:after="0" w:line="191" w:lineRule="auto"/>
        <w:tabs>
          <w:tab w:leader="none" w:pos="380" w:val="left"/>
        </w:tabs>
        <w:numPr>
          <w:ilvl w:val="0"/>
          <w:numId w:val="2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4"/>
          <w:szCs w:val="14"/>
          <w:color w:val="auto"/>
        </w:rPr>
        <w:t>Below is a listing of PSSL’s individual investments as of September 30, 2022 ($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right"/>
              <w:ind w:right="460"/>
              <w:spacing w:after="0" w:line="111" w:lineRule="exact"/>
              <w:rPr>
                <w:sz w:val="20"/>
                <w:szCs w:val="20"/>
                <w:color w:val="auto"/>
              </w:rPr>
            </w:pPr>
            <w:r>
              <w:rPr>
                <w:rFonts w:ascii="Times New Roman" w:cs="Times New Roman" w:eastAsia="Times New Roman" w:hAnsi="Times New Roman"/>
                <w:sz w:val="11"/>
                <w:szCs w:val="11"/>
                <w:b w:val="1"/>
                <w:bCs w:val="1"/>
                <w:color w:val="auto"/>
              </w:rPr>
              <w:t>Current</w:t>
            </w:r>
          </w:p>
        </w:tc>
        <w:tc>
          <w:tcPr>
            <w:tcW w:w="7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00" w:type="dxa"/>
            <w:vAlign w:val="bottom"/>
          </w:tcPr>
          <w:p>
            <w:pPr>
              <w:spacing w:after="0"/>
              <w:rPr>
                <w:sz w:val="14"/>
                <w:szCs w:val="14"/>
                <w:color w:val="auto"/>
              </w:rPr>
            </w:pPr>
          </w:p>
        </w:tc>
        <w:tc>
          <w:tcPr>
            <w:tcW w:w="6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Par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- 1,330.4%</w:t>
            </w: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5/6/2026</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8,888</w:t>
            </w:r>
          </w:p>
        </w:tc>
        <w:tc>
          <w:tcPr>
            <w:tcW w:w="3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8,788</w:t>
            </w:r>
          </w:p>
        </w:tc>
        <w:tc>
          <w:tcPr>
            <w:tcW w:w="44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8,821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Alpine Acquisition Corp II</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11/30/2026</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Containers and Packaging</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8.22 %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9,790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7/24/2025</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10.81 %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5,225</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5,113</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5,042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12/21/2023</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Building Products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7.79 %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4,883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Anteriad, LLC (f/k/a MeritDirect,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5/23/2024</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Media: Advertising, Printing &amp; Publishing</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5,284</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5,208</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7/21/2027</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8.33 %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3,510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6.72 %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1,010</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1,010</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2,202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7/31/2025</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7.86 %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11,115</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11,050</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11,059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12/29/2026</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8.76 %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8,421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8,317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Arcfield Acquisition Corp.</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3/7/2028</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8.99 %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 + 575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4,677</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4,588</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4,583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7/1/2029</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7.76 %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 + 525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9/17/2024</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8.62 %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 + 500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15,293</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15,102</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14,956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12/2/2022</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7.39 %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2,417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By Light Professional IT Services,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5/16/2024</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High Tech Industries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9.20 %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L+662</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14,822</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14,771</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14,674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Cadence Aerospace,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11/14/2023</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11.31 %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L+325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12,412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12,385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11.31%)</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5/13/2028</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9.55 %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 + 600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6,484</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6,359</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6,386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8/20/2026</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9.08 %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4,950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CHA Holdings,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4/10/2025</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Construction and Engineering</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8.17 %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5,557</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5,487</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Challenger Performance Optimization, Inc.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8/31/2023</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9.27 %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9,271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9,247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(PIK 1.00%)</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7/13/2027</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8.42 %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3,907</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3,842</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3,810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8/16/2027</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Commercial Services &amp; Supplies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9.39 %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2,110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Douglas Products and Packaging Company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8,655</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8,653</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8,655</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Douglas Sewer Intermediate,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7,248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7,246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8/31/2027</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9.42 %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14,862</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14,610</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14,639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DRI Holding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12/21/2028</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8.37 %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1,832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11/3/2025</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15,179</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15,103</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14,693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6/30/2024</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Containers and Packaging</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8.62 %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10,278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10,151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5/1/2028</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Restaurants and Leisure</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10.62 %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2,621</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2,598</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12/23/2025</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7.82 %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3/15/2027</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12,935</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12,759</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12,644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6/17/2028</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8.39 %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10,300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10,238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5/14/2026</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9.37 %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14,638</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14,427</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14,199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3/16/2026</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Financial Services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8.74 %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3,904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8/10/2027</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Trading Companies &amp; Distributors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9.17 %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2,369</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2,320</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2,274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12/31/2026</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8.67 %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2,392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11/23/2028</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10.17 %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4,874</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12/10/2024</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6.00 %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6M L+575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3,052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Icon Partners III, LP</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5/11/2028</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7.55 %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2,327</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1,997</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12/30/2026</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10.20 %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SOFR+700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Imagine Acquisitionco,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11/15/2027</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8.42 %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5,364</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5,261</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12/7/2023</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Providers and Services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8.55 %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SOFR+700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16,620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16,309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Integrative Nutrition,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9/29/2023</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8.42 %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11,187</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11,168</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10,963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8/27/2025</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7.58 %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5,966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ITI Holdings,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3/3/2028</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8.67 %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 + 550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3,980</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3,917</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12/20/2023</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11.12 %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19,250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19,103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11/10/2027</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16,830</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16,451</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16,494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2/18/2027</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Products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11.17 %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14,355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14,074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10/31/2024</w:t>
            </w:r>
          </w:p>
        </w:tc>
        <w:tc>
          <w:tcPr>
            <w:tcW w:w="120" w:type="dxa"/>
            <w:vAlign w:val="bottom"/>
            <w:shd w:val="clear" w:color="auto" w:fill="CCECFF"/>
          </w:tcPr>
          <w:p>
            <w:pPr>
              <w:spacing w:after="0"/>
              <w:rPr>
                <w:sz w:val="12"/>
                <w:szCs w:val="12"/>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9.70 %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10,578</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10,539</w:t>
            </w:r>
          </w:p>
        </w:tc>
        <w:tc>
          <w:tcPr>
            <w:tcW w:w="2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10,335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70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1"/>
                <w:szCs w:val="11"/>
                <w:color w:val="auto"/>
              </w:rPr>
              <w:t>(PIK 2.00%)</w:t>
            </w:r>
          </w:p>
        </w:tc>
        <w:tc>
          <w:tcPr>
            <w:tcW w:w="7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2/3/2026</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Healthcare Providers and Services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9.04 %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10,598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10,428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Lucky Bucks,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7/20/2027</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 Gaming and Leisure</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8.31 %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4,331</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4,258</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3,183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Magenta Buyer,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7/31/2028</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Software</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7.87 %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2,695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Marketplace Events, LLC - Super Priority First Lien Term Loan</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9/30/2025</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8.19 %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Marketplace Events, LLC - Super Priority First Lien Unfunded Term</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Loan</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9/30/2025</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Marketplace Events,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9/30/2026</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8.19 %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4,837</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3,527</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5/14/2026</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8.62 %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9,782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4/16/2027</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Internet Software and Services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8.56 %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7,406</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7,296</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MDI Buyer, Inc.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7/25/2028</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8.98 %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12/10/2027</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9.17 %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2,396</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2,353</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2,372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Mission Critical Electronics, Inc.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3/28/2024</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8.70 %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5,829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9/28/2027</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Distributors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8.67 %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3,465</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3,405</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3,264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8/19/2026</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&amp; Childcare</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7.80 %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10,820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10,641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New Milani Group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6/6/2024</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7.75 %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14,363</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14,319</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14,111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7/9/2026</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Equipment and Supplies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8.40 %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SOFR+475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5,060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5/7/2027</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Air Freight and Logistics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9.37 %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14,598</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14,353</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14,160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Output Services Group, Inc.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3/27/2024</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9.80 %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7,682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2/4/2028</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8.41 %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3,990</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3,918</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3,890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5/18/2026</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9.81 %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PH Beauty Holdings III, Inc.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9/29/2025</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9,593</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9,234</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7,674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11/9/2027</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Textiles, Apparel and Luxury Goods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9.62 %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8,238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Plant Health Intermediate, Inc.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10/19/2022</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1,562</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1,561</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5/8/2026</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9.17 %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2,580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Pragmatic Institute, LLC</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7/6/2028</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9.30 %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SOFR+575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11,250</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11,056</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11,138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11/19/2026</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8.41 %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4,845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 - Unfunded Term Loan</w:t>
            </w:r>
          </w:p>
        </w:tc>
        <w:tc>
          <w:tcPr>
            <w:tcW w:w="80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9"/>
              </w:rPr>
              <w:t>11/19/2026</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1,888</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80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w w:val="98"/>
              </w:rPr>
              <w:t>2/28/2028</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Air Freight and Logistics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9.13 %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800" w:type="dxa"/>
            <w:vAlign w:val="bottom"/>
            <w:gridSpan w:val="2"/>
            <w:shd w:val="clear" w:color="auto" w:fill="CCECFF"/>
          </w:tcPr>
          <w:p>
            <w:pPr>
              <w:jc w:val="center"/>
              <w:ind w:left="66"/>
              <w:spacing w:after="0"/>
              <w:rPr>
                <w:sz w:val="20"/>
                <w:szCs w:val="20"/>
                <w:color w:val="auto"/>
              </w:rPr>
            </w:pPr>
            <w:r>
              <w:rPr>
                <w:rFonts w:ascii="Times New Roman" w:cs="Times New Roman" w:eastAsia="Times New Roman" w:hAnsi="Times New Roman"/>
                <w:sz w:val="11"/>
                <w:szCs w:val="11"/>
                <w:color w:val="auto"/>
                <w:w w:val="98"/>
              </w:rPr>
              <w:t>1/29/2026</w:t>
            </w:r>
          </w:p>
        </w:tc>
        <w:tc>
          <w:tcPr>
            <w:tcW w:w="120" w:type="dxa"/>
            <w:vAlign w:val="bottom"/>
            <w:shd w:val="clear" w:color="auto" w:fill="CCECFF"/>
          </w:tcPr>
          <w:p>
            <w:pPr>
              <w:spacing w:after="0"/>
              <w:rPr>
                <w:sz w:val="13"/>
                <w:szCs w:val="13"/>
                <w:color w:val="auto"/>
              </w:rPr>
            </w:pPr>
          </w:p>
        </w:tc>
        <w:tc>
          <w:tcPr>
            <w:tcW w:w="25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Leisure Products</w:t>
            </w:r>
          </w:p>
        </w:tc>
        <w:tc>
          <w:tcPr>
            <w:tcW w:w="11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9.92 %</w:t>
            </w:r>
          </w:p>
        </w:tc>
        <w:tc>
          <w:tcPr>
            <w:tcW w:w="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7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4,856</w:t>
            </w:r>
          </w:p>
        </w:tc>
        <w:tc>
          <w:tcPr>
            <w:tcW w:w="2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80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9"/>
              </w:rPr>
              <w:t>12/20/2024</w:t>
            </w:r>
          </w:p>
        </w:tc>
        <w:tc>
          <w:tcPr>
            <w:tcW w:w="120" w:type="dxa"/>
            <w:vAlign w:val="bottom"/>
          </w:tcPr>
          <w:p>
            <w:pPr>
              <w:spacing w:after="0"/>
              <w:rPr>
                <w:sz w:val="12"/>
                <w:szCs w:val="12"/>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8.84 %</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12,564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12,354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7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33"/>
        </w:trPr>
        <w:tc>
          <w:tcPr>
            <w:tcW w:w="270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2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Spread</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9"/>
        </w:trPr>
        <w:tc>
          <w:tcPr>
            <w:tcW w:w="2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tcPr>
          <w:p>
            <w:pPr>
              <w:jc w:val="right"/>
              <w:ind w:right="286"/>
              <w:spacing w:after="0" w:line="119" w:lineRule="exact"/>
              <w:rPr>
                <w:sz w:val="20"/>
                <w:szCs w:val="20"/>
                <w:color w:val="auto"/>
              </w:rPr>
            </w:pPr>
            <w:r>
              <w:rPr>
                <w:rFonts w:ascii="Times New Roman" w:cs="Times New Roman" w:eastAsia="Times New Roman" w:hAnsi="Times New Roman"/>
                <w:sz w:val="11"/>
                <w:szCs w:val="11"/>
                <w:b w:val="1"/>
                <w:bCs w:val="1"/>
                <w:color w:val="auto"/>
              </w:rPr>
              <w:t>Current</w:t>
            </w:r>
          </w:p>
        </w:tc>
        <w:tc>
          <w:tcPr>
            <w:tcW w:w="56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Above</w:t>
            </w:r>
          </w:p>
        </w:tc>
        <w:tc>
          <w:tcPr>
            <w:tcW w:w="140" w:type="dxa"/>
            <w:vAlign w:val="bottom"/>
          </w:tcPr>
          <w:p>
            <w:pPr>
              <w:spacing w:after="0"/>
              <w:rPr>
                <w:sz w:val="10"/>
                <w:szCs w:val="10"/>
                <w:color w:val="auto"/>
              </w:rPr>
            </w:pPr>
          </w:p>
        </w:tc>
        <w:tc>
          <w:tcPr>
            <w:tcW w:w="640" w:type="dxa"/>
            <w:vAlign w:val="bottom"/>
          </w:tcPr>
          <w:p>
            <w:pPr>
              <w:jc w:val="right"/>
              <w:ind w:right="146"/>
              <w:spacing w:after="0" w:line="119" w:lineRule="exact"/>
              <w:rPr>
                <w:sz w:val="20"/>
                <w:szCs w:val="20"/>
                <w:color w:val="auto"/>
              </w:rPr>
            </w:pPr>
            <w:r>
              <w:rPr>
                <w:rFonts w:ascii="Times New Roman" w:cs="Times New Roman" w:eastAsia="Times New Roman" w:hAnsi="Times New Roman"/>
                <w:sz w:val="11"/>
                <w:szCs w:val="11"/>
                <w:b w:val="1"/>
                <w:bCs w:val="1"/>
                <w:color w:val="auto"/>
              </w:rPr>
              <w:t>Par /</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40" w:type="dxa"/>
            <w:vAlign w:val="bottom"/>
          </w:tcPr>
          <w:p>
            <w:pPr>
              <w:spacing w:after="0"/>
              <w:rPr>
                <w:sz w:val="13"/>
                <w:szCs w:val="13"/>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80" w:type="dxa"/>
            <w:vAlign w:val="bottom"/>
          </w:tcPr>
          <w:p>
            <w:pPr>
              <w:spacing w:after="0"/>
              <w:rPr>
                <w:sz w:val="13"/>
                <w:szCs w:val="13"/>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40" w:type="dxa"/>
            <w:vAlign w:val="bottom"/>
          </w:tcPr>
          <w:p>
            <w:pPr>
              <w:spacing w:after="0"/>
              <w:rPr>
                <w:sz w:val="13"/>
                <w:szCs w:val="13"/>
                <w:color w:val="auto"/>
              </w:rPr>
            </w:pPr>
          </w:p>
        </w:tc>
        <w:tc>
          <w:tcPr>
            <w:tcW w:w="920" w:type="dxa"/>
            <w:vAlign w:val="bottom"/>
            <w:gridSpan w:val="2"/>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40" w:type="dxa"/>
            <w:vAlign w:val="bottom"/>
          </w:tcPr>
          <w:p>
            <w:pPr>
              <w:spacing w:after="0"/>
              <w:rPr>
                <w:sz w:val="13"/>
                <w:szCs w:val="13"/>
                <w:color w:val="auto"/>
              </w:rPr>
            </w:pPr>
          </w:p>
        </w:tc>
        <w:tc>
          <w:tcPr>
            <w:tcW w:w="64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3"/>
                <w:szCs w:val="13"/>
                <w:color w:val="auto"/>
              </w:rPr>
            </w:pPr>
          </w:p>
        </w:tc>
        <w:tc>
          <w:tcPr>
            <w:tcW w:w="800" w:type="dxa"/>
            <w:vAlign w:val="bottom"/>
            <w:gridSpan w:val="3"/>
          </w:tcPr>
          <w:p>
            <w:pPr>
              <w:jc w:val="right"/>
              <w:ind w:right="122"/>
              <w:spacing w:after="0" w:line="153" w:lineRule="exact"/>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(2)</w:t>
            </w:r>
          </w:p>
        </w:tc>
      </w:tr>
      <w:tr>
        <w:trPr>
          <w:trHeight w:val="142"/>
        </w:trPr>
        <w:tc>
          <w:tcPr>
            <w:tcW w:w="3620" w:type="dxa"/>
            <w:vAlign w:val="bottom"/>
            <w:tcBorders>
              <w:top w:val="single" w:sz="8" w:color="auto"/>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40" w:type="dxa"/>
            <w:vAlign w:val="bottom"/>
            <w:shd w:val="clear" w:color="auto" w:fill="CCECFF"/>
          </w:tcPr>
          <w:p>
            <w:pPr>
              <w:spacing w:after="0"/>
              <w:rPr>
                <w:sz w:val="12"/>
                <w:szCs w:val="12"/>
                <w:color w:val="auto"/>
              </w:rPr>
            </w:pPr>
          </w:p>
        </w:tc>
        <w:tc>
          <w:tcPr>
            <w:tcW w:w="52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1/3/2025</w:t>
            </w:r>
          </w:p>
        </w:tc>
        <w:tc>
          <w:tcPr>
            <w:tcW w:w="180" w:type="dxa"/>
            <w:vAlign w:val="bottom"/>
            <w:shd w:val="clear" w:color="auto" w:fill="CCECFF"/>
          </w:tcPr>
          <w:p>
            <w:pPr>
              <w:spacing w:after="0"/>
              <w:rPr>
                <w:sz w:val="12"/>
                <w:szCs w:val="12"/>
                <w:color w:val="auto"/>
              </w:rPr>
            </w:pPr>
          </w:p>
        </w:tc>
        <w:tc>
          <w:tcPr>
            <w:tcW w:w="29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40" w:type="dxa"/>
            <w:vAlign w:val="bottom"/>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9.67</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5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140" w:type="dxa"/>
            <w:vAlign w:val="bottom"/>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5,013</w:t>
            </w:r>
          </w:p>
        </w:tc>
        <w:tc>
          <w:tcPr>
            <w:tcW w:w="140" w:type="dxa"/>
            <w:vAlign w:val="bottom"/>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4,960</w:t>
            </w:r>
          </w:p>
        </w:tc>
        <w:tc>
          <w:tcPr>
            <w:tcW w:w="140" w:type="dxa"/>
            <w:vAlign w:val="bottom"/>
            <w:shd w:val="clear" w:color="auto" w:fill="CCECFF"/>
          </w:tcPr>
          <w:p>
            <w:pPr>
              <w:spacing w:after="0"/>
              <w:rPr>
                <w:sz w:val="12"/>
                <w:szCs w:val="12"/>
                <w:color w:val="auto"/>
              </w:rPr>
            </w:pPr>
          </w:p>
        </w:tc>
        <w:tc>
          <w:tcPr>
            <w:tcW w:w="180" w:type="dxa"/>
            <w:vAlign w:val="bottom"/>
            <w:tcBorders>
              <w:top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100" w:type="dxa"/>
            <w:vAlign w:val="bottom"/>
            <w:shd w:val="clear" w:color="auto" w:fill="CCECFF"/>
          </w:tcPr>
          <w:p>
            <w:pPr>
              <w:spacing w:after="0"/>
              <w:rPr>
                <w:sz w:val="12"/>
                <w:szCs w:val="12"/>
                <w:color w:val="auto"/>
              </w:rPr>
            </w:pPr>
          </w:p>
        </w:tc>
      </w:tr>
      <w:tr>
        <w:trPr>
          <w:trHeight w:val="121"/>
        </w:trPr>
        <w:tc>
          <w:tcPr>
            <w:tcW w:w="2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12/20/202</w:t>
            </w:r>
          </w:p>
        </w:tc>
        <w:tc>
          <w:tcPr>
            <w:tcW w:w="1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560" w:type="dxa"/>
            <w:vAlign w:val="bottom"/>
            <w:gridSpan w:val="2"/>
          </w:tcPr>
          <w:p>
            <w:pPr>
              <w:jc w:val="center"/>
              <w:ind w:left="6"/>
              <w:spacing w:after="0"/>
              <w:rPr>
                <w:sz w:val="20"/>
                <w:szCs w:val="20"/>
                <w:color w:val="auto"/>
              </w:rPr>
            </w:pPr>
            <w:r>
              <w:rPr>
                <w:rFonts w:ascii="Times New Roman" w:cs="Times New Roman" w:eastAsia="Times New Roman" w:hAnsi="Times New Roman"/>
                <w:sz w:val="11"/>
                <w:szCs w:val="11"/>
                <w:color w:val="auto"/>
              </w:rPr>
              <w:t>4</w:t>
            </w:r>
          </w:p>
        </w:tc>
        <w:tc>
          <w:tcPr>
            <w:tcW w:w="180" w:type="dxa"/>
            <w:vAlign w:val="bottom"/>
          </w:tcPr>
          <w:p>
            <w:pPr>
              <w:spacing w:after="0"/>
              <w:rPr>
                <w:sz w:val="12"/>
                <w:szCs w:val="12"/>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8.62 %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5,240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5,187</w:t>
            </w:r>
          </w:p>
        </w:tc>
        <w:tc>
          <w:tcPr>
            <w:tcW w:w="100" w:type="dxa"/>
            <w:vAlign w:val="bottom"/>
          </w:tcPr>
          <w:p>
            <w:pPr>
              <w:spacing w:after="0"/>
              <w:rPr>
                <w:sz w:val="12"/>
                <w:szCs w:val="12"/>
                <w:color w:val="auto"/>
              </w:rPr>
            </w:pPr>
          </w:p>
        </w:tc>
      </w:tr>
      <w:tr>
        <w:trPr>
          <w:trHeight w:val="144"/>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5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7/14/2025</w:t>
            </w:r>
          </w:p>
        </w:tc>
        <w:tc>
          <w:tcPr>
            <w:tcW w:w="180" w:type="dxa"/>
            <w:vAlign w:val="bottom"/>
            <w:shd w:val="clear" w:color="auto" w:fill="CCECFF"/>
          </w:tcPr>
          <w:p>
            <w:pPr>
              <w:spacing w:after="0"/>
              <w:rPr>
                <w:sz w:val="12"/>
                <w:szCs w:val="12"/>
                <w:color w:val="auto"/>
              </w:rPr>
            </w:pPr>
          </w:p>
        </w:tc>
        <w:tc>
          <w:tcPr>
            <w:tcW w:w="2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10.27 %</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SOFR+500</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11,847</w:t>
            </w: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11,829</w:t>
            </w:r>
          </w:p>
        </w:tc>
        <w:tc>
          <w:tcPr>
            <w:tcW w:w="1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11,551</w:t>
            </w:r>
          </w:p>
        </w:tc>
        <w:tc>
          <w:tcPr>
            <w:tcW w:w="100" w:type="dxa"/>
            <w:vAlign w:val="bottom"/>
            <w:shd w:val="clear" w:color="auto" w:fill="CCECFF"/>
          </w:tcPr>
          <w:p>
            <w:pPr>
              <w:spacing w:after="0"/>
              <w:rPr>
                <w:sz w:val="12"/>
                <w:szCs w:val="12"/>
                <w:color w:val="auto"/>
              </w:rPr>
            </w:pPr>
          </w:p>
        </w:tc>
      </w:tr>
      <w:tr>
        <w:trPr>
          <w:trHeight w:val="157"/>
        </w:trPr>
        <w:tc>
          <w:tcPr>
            <w:tcW w:w="270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90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(PIK 0.50%)</w:t>
            </w:r>
          </w:p>
        </w:tc>
        <w:tc>
          <w:tcPr>
            <w:tcW w:w="5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21"/>
        </w:trPr>
        <w:tc>
          <w:tcPr>
            <w:tcW w:w="2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12/18/202</w:t>
            </w:r>
          </w:p>
        </w:tc>
        <w:tc>
          <w:tcPr>
            <w:tcW w:w="1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560" w:type="dxa"/>
            <w:vAlign w:val="bottom"/>
            <w:gridSpan w:val="2"/>
          </w:tcPr>
          <w:p>
            <w:pPr>
              <w:jc w:val="center"/>
              <w:ind w:left="6"/>
              <w:spacing w:after="0"/>
              <w:rPr>
                <w:sz w:val="20"/>
                <w:szCs w:val="20"/>
                <w:color w:val="auto"/>
              </w:rPr>
            </w:pPr>
            <w:r>
              <w:rPr>
                <w:rFonts w:ascii="Times New Roman" w:cs="Times New Roman" w:eastAsia="Times New Roman" w:hAnsi="Times New Roman"/>
                <w:sz w:val="11"/>
                <w:szCs w:val="11"/>
                <w:color w:val="auto"/>
              </w:rPr>
              <w:t>5</w:t>
            </w:r>
          </w:p>
        </w:tc>
        <w:tc>
          <w:tcPr>
            <w:tcW w:w="180" w:type="dxa"/>
            <w:vAlign w:val="bottom"/>
          </w:tcPr>
          <w:p>
            <w:pPr>
              <w:spacing w:after="0"/>
              <w:rPr>
                <w:sz w:val="12"/>
                <w:szCs w:val="12"/>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12.17 %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14,716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14,411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14,421</w:t>
            </w:r>
          </w:p>
        </w:tc>
        <w:tc>
          <w:tcPr>
            <w:tcW w:w="100" w:type="dxa"/>
            <w:vAlign w:val="bottom"/>
          </w:tcPr>
          <w:p>
            <w:pPr>
              <w:spacing w:after="0"/>
              <w:rPr>
                <w:sz w:val="12"/>
                <w:szCs w:val="12"/>
                <w:color w:val="auto"/>
              </w:rPr>
            </w:pPr>
          </w:p>
        </w:tc>
      </w:tr>
      <w:tr>
        <w:trPr>
          <w:trHeight w:val="126"/>
        </w:trPr>
        <w:tc>
          <w:tcPr>
            <w:tcW w:w="270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5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10/14/202</w:t>
            </w:r>
          </w:p>
        </w:tc>
        <w:tc>
          <w:tcPr>
            <w:tcW w:w="180" w:type="dxa"/>
            <w:vAlign w:val="bottom"/>
            <w:shd w:val="clear" w:color="auto" w:fill="CCECFF"/>
          </w:tcPr>
          <w:p>
            <w:pPr>
              <w:spacing w:after="0"/>
              <w:rPr>
                <w:sz w:val="10"/>
                <w:szCs w:val="10"/>
                <w:color w:val="auto"/>
              </w:rPr>
            </w:pPr>
          </w:p>
        </w:tc>
        <w:tc>
          <w:tcPr>
            <w:tcW w:w="290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r>
      <w:tr>
        <w:trPr>
          <w:trHeight w:val="149"/>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Smile Brands Inc.</w:t>
            </w:r>
          </w:p>
        </w:tc>
        <w:tc>
          <w:tcPr>
            <w:tcW w:w="560" w:type="dxa"/>
            <w:vAlign w:val="bottom"/>
            <w:gridSpan w:val="2"/>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rPr>
              <w:t>5</w:t>
            </w:r>
          </w:p>
        </w:tc>
        <w:tc>
          <w:tcPr>
            <w:tcW w:w="180" w:type="dxa"/>
            <w:vAlign w:val="bottom"/>
            <w:shd w:val="clear" w:color="auto" w:fill="CCECFF"/>
          </w:tcPr>
          <w:p>
            <w:pPr>
              <w:spacing w:after="0"/>
              <w:rPr>
                <w:sz w:val="12"/>
                <w:szCs w:val="12"/>
                <w:color w:val="auto"/>
              </w:rPr>
            </w:pPr>
          </w:p>
        </w:tc>
        <w:tc>
          <w:tcPr>
            <w:tcW w:w="2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7.05 %</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11,917</w:t>
            </w: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11,807</w:t>
            </w:r>
          </w:p>
        </w:tc>
        <w:tc>
          <w:tcPr>
            <w:tcW w:w="1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11,470</w:t>
            </w:r>
          </w:p>
        </w:tc>
        <w:tc>
          <w:tcPr>
            <w:tcW w:w="100" w:type="dxa"/>
            <w:vAlign w:val="bottom"/>
            <w:shd w:val="clear" w:color="auto" w:fill="CCECFF"/>
          </w:tcPr>
          <w:p>
            <w:pPr>
              <w:spacing w:after="0"/>
              <w:rPr>
                <w:sz w:val="12"/>
                <w:szCs w:val="12"/>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1/17/2024</w:t>
            </w:r>
          </w:p>
        </w:tc>
        <w:tc>
          <w:tcPr>
            <w:tcW w:w="180" w:type="dxa"/>
            <w:vAlign w:val="bottom"/>
          </w:tcPr>
          <w:p>
            <w:pPr>
              <w:spacing w:after="0"/>
              <w:rPr>
                <w:sz w:val="12"/>
                <w:szCs w:val="12"/>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and Pharmaceuticals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8.87 %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5,647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5,625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5,511</w:t>
            </w:r>
          </w:p>
        </w:tc>
        <w:tc>
          <w:tcPr>
            <w:tcW w:w="100" w:type="dxa"/>
            <w:vAlign w:val="bottom"/>
          </w:tcPr>
          <w:p>
            <w:pPr>
              <w:spacing w:after="0"/>
              <w:rPr>
                <w:sz w:val="12"/>
                <w:szCs w:val="12"/>
                <w:color w:val="auto"/>
              </w:rPr>
            </w:pPr>
          </w:p>
        </w:tc>
      </w:tr>
      <w:tr>
        <w:trPr>
          <w:trHeight w:val="153"/>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Spendmend Holdings LLC</w:t>
            </w:r>
          </w:p>
        </w:tc>
        <w:tc>
          <w:tcPr>
            <w:tcW w:w="560" w:type="dxa"/>
            <w:vAlign w:val="bottom"/>
            <w:gridSpan w:val="2"/>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7"/>
              </w:rPr>
              <w:t>3/1/2028</w:t>
            </w:r>
          </w:p>
        </w:tc>
        <w:tc>
          <w:tcPr>
            <w:tcW w:w="180" w:type="dxa"/>
            <w:vAlign w:val="bottom"/>
            <w:shd w:val="clear" w:color="auto" w:fill="CCECFF"/>
          </w:tcPr>
          <w:p>
            <w:pPr>
              <w:spacing w:after="0"/>
              <w:rPr>
                <w:sz w:val="13"/>
                <w:szCs w:val="13"/>
                <w:color w:val="auto"/>
              </w:rPr>
            </w:pPr>
          </w:p>
        </w:tc>
        <w:tc>
          <w:tcPr>
            <w:tcW w:w="2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Technology</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8.63 %</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SOFR+575</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2,956</w:t>
            </w:r>
          </w:p>
        </w:tc>
        <w:tc>
          <w:tcPr>
            <w:tcW w:w="1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2,916</w:t>
            </w: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2,873</w:t>
            </w:r>
          </w:p>
        </w:tc>
        <w:tc>
          <w:tcPr>
            <w:tcW w:w="100" w:type="dxa"/>
            <w:vAlign w:val="bottom"/>
            <w:shd w:val="clear" w:color="auto" w:fill="CCECFF"/>
          </w:tcPr>
          <w:p>
            <w:pPr>
              <w:spacing w:after="0"/>
              <w:rPr>
                <w:sz w:val="13"/>
                <w:szCs w:val="13"/>
                <w:color w:val="auto"/>
              </w:rPr>
            </w:pPr>
          </w:p>
        </w:tc>
      </w:tr>
      <w:tr>
        <w:trPr>
          <w:trHeight w:val="121"/>
        </w:trPr>
        <w:tc>
          <w:tcPr>
            <w:tcW w:w="2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12/11/202</w:t>
            </w:r>
          </w:p>
        </w:tc>
        <w:tc>
          <w:tcPr>
            <w:tcW w:w="18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560" w:type="dxa"/>
            <w:vAlign w:val="bottom"/>
            <w:gridSpan w:val="2"/>
          </w:tcPr>
          <w:p>
            <w:pPr>
              <w:jc w:val="center"/>
              <w:ind w:left="6"/>
              <w:spacing w:after="0"/>
              <w:rPr>
                <w:sz w:val="20"/>
                <w:szCs w:val="20"/>
                <w:color w:val="auto"/>
              </w:rPr>
            </w:pPr>
            <w:r>
              <w:rPr>
                <w:rFonts w:ascii="Times New Roman" w:cs="Times New Roman" w:eastAsia="Times New Roman" w:hAnsi="Times New Roman"/>
                <w:sz w:val="11"/>
                <w:szCs w:val="11"/>
                <w:color w:val="auto"/>
              </w:rPr>
              <w:t>6</w:t>
            </w:r>
          </w:p>
        </w:tc>
        <w:tc>
          <w:tcPr>
            <w:tcW w:w="180" w:type="dxa"/>
            <w:vAlign w:val="bottom"/>
          </w:tcPr>
          <w:p>
            <w:pPr>
              <w:spacing w:after="0"/>
              <w:rPr>
                <w:sz w:val="12"/>
                <w:szCs w:val="12"/>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Construction and Building</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8.37 %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9,075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8,985</w:t>
            </w:r>
          </w:p>
        </w:tc>
        <w:tc>
          <w:tcPr>
            <w:tcW w:w="100" w:type="dxa"/>
            <w:vAlign w:val="bottom"/>
          </w:tcPr>
          <w:p>
            <w:pPr>
              <w:spacing w:after="0"/>
              <w:rPr>
                <w:sz w:val="12"/>
                <w:szCs w:val="12"/>
                <w:color w:val="auto"/>
              </w:rPr>
            </w:pPr>
          </w:p>
        </w:tc>
      </w:tr>
      <w:tr>
        <w:trPr>
          <w:trHeight w:val="126"/>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System Planning and Analysis, Inc. (f/k/a Management Consulting &amp; Research,</w:t>
            </w:r>
          </w:p>
        </w:tc>
        <w:tc>
          <w:tcPr>
            <w:tcW w:w="4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290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r>
      <w:tr>
        <w:trPr>
          <w:trHeight w:val="149"/>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LLC)</w:t>
            </w:r>
          </w:p>
        </w:tc>
        <w:tc>
          <w:tcPr>
            <w:tcW w:w="5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8/16/2027</w:t>
            </w:r>
          </w:p>
        </w:tc>
        <w:tc>
          <w:tcPr>
            <w:tcW w:w="180" w:type="dxa"/>
            <w:vAlign w:val="bottom"/>
            <w:shd w:val="clear" w:color="auto" w:fill="CCECFF"/>
          </w:tcPr>
          <w:p>
            <w:pPr>
              <w:spacing w:after="0"/>
              <w:rPr>
                <w:sz w:val="12"/>
                <w:szCs w:val="12"/>
                <w:color w:val="auto"/>
              </w:rPr>
            </w:pPr>
          </w:p>
        </w:tc>
        <w:tc>
          <w:tcPr>
            <w:tcW w:w="2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8.73 %</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14,888</w:t>
            </w: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14,623</w:t>
            </w:r>
          </w:p>
        </w:tc>
        <w:tc>
          <w:tcPr>
            <w:tcW w:w="1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14,649</w:t>
            </w:r>
          </w:p>
        </w:tc>
        <w:tc>
          <w:tcPr>
            <w:tcW w:w="100" w:type="dxa"/>
            <w:vAlign w:val="bottom"/>
            <w:shd w:val="clear" w:color="auto" w:fill="CCECFF"/>
          </w:tcPr>
          <w:p>
            <w:pPr>
              <w:spacing w:after="0"/>
              <w:rPr>
                <w:sz w:val="12"/>
                <w:szCs w:val="12"/>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7/18/2025</w:t>
            </w:r>
          </w:p>
        </w:tc>
        <w:tc>
          <w:tcPr>
            <w:tcW w:w="180" w:type="dxa"/>
            <w:vAlign w:val="bottom"/>
          </w:tcPr>
          <w:p>
            <w:pPr>
              <w:spacing w:after="0"/>
              <w:rPr>
                <w:sz w:val="12"/>
                <w:szCs w:val="12"/>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8.38 %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2,786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2,623</w:t>
            </w:r>
          </w:p>
        </w:tc>
        <w:tc>
          <w:tcPr>
            <w:tcW w:w="100" w:type="dxa"/>
            <w:vAlign w:val="bottom"/>
          </w:tcPr>
          <w:p>
            <w:pPr>
              <w:spacing w:after="0"/>
              <w:rPr>
                <w:sz w:val="12"/>
                <w:szCs w:val="12"/>
                <w:color w:val="auto"/>
              </w:rPr>
            </w:pPr>
          </w:p>
        </w:tc>
      </w:tr>
      <w:tr>
        <w:trPr>
          <w:trHeight w:val="125"/>
        </w:trPr>
        <w:tc>
          <w:tcPr>
            <w:tcW w:w="3620" w:type="dxa"/>
            <w:vAlign w:val="bottom"/>
            <w:gridSpan w:val="2"/>
            <w:shd w:val="clear" w:color="auto" w:fill="CCECFF"/>
          </w:tcPr>
          <w:p>
            <w:pPr>
              <w:ind w:left="20"/>
              <w:spacing w:after="0" w:line="125" w:lineRule="exact"/>
              <w:rPr>
                <w:sz w:val="20"/>
                <w:szCs w:val="20"/>
                <w:color w:val="auto"/>
              </w:rPr>
            </w:pPr>
            <w:r>
              <w:rPr>
                <w:rFonts w:ascii="Times New Roman" w:cs="Times New Roman" w:eastAsia="Times New Roman" w:hAnsi="Times New Roman"/>
                <w:sz w:val="11"/>
                <w:szCs w:val="11"/>
                <w:color w:val="auto"/>
              </w:rPr>
              <w:t>The Aegis Technologies Group, LLC</w:t>
            </w:r>
          </w:p>
        </w:tc>
        <w:tc>
          <w:tcPr>
            <w:tcW w:w="560" w:type="dxa"/>
            <w:vAlign w:val="bottom"/>
            <w:gridSpan w:val="2"/>
            <w:shd w:val="clear" w:color="auto" w:fill="CCECFF"/>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10/31/202</w:t>
            </w:r>
          </w:p>
        </w:tc>
        <w:tc>
          <w:tcPr>
            <w:tcW w:w="180" w:type="dxa"/>
            <w:vAlign w:val="bottom"/>
            <w:shd w:val="clear" w:color="auto" w:fill="CCECFF"/>
          </w:tcPr>
          <w:p>
            <w:pPr>
              <w:spacing w:after="0"/>
              <w:rPr>
                <w:sz w:val="10"/>
                <w:szCs w:val="10"/>
                <w:color w:val="auto"/>
              </w:rPr>
            </w:pPr>
          </w:p>
        </w:tc>
        <w:tc>
          <w:tcPr>
            <w:tcW w:w="290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r>
      <w:tr>
        <w:trPr>
          <w:trHeight w:val="149"/>
        </w:trPr>
        <w:tc>
          <w:tcPr>
            <w:tcW w:w="270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rPr>
              <w:t>5</w:t>
            </w:r>
          </w:p>
        </w:tc>
        <w:tc>
          <w:tcPr>
            <w:tcW w:w="180" w:type="dxa"/>
            <w:vAlign w:val="bottom"/>
            <w:shd w:val="clear" w:color="auto" w:fill="CCECFF"/>
          </w:tcPr>
          <w:p>
            <w:pPr>
              <w:spacing w:after="0"/>
              <w:rPr>
                <w:sz w:val="12"/>
                <w:szCs w:val="12"/>
                <w:color w:val="auto"/>
              </w:rPr>
            </w:pPr>
          </w:p>
        </w:tc>
        <w:tc>
          <w:tcPr>
            <w:tcW w:w="2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9.55 %</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5,659</w:t>
            </w: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5,600</w:t>
            </w:r>
          </w:p>
        </w:tc>
        <w:tc>
          <w:tcPr>
            <w:tcW w:w="1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5,603</w:t>
            </w:r>
          </w:p>
        </w:tc>
        <w:tc>
          <w:tcPr>
            <w:tcW w:w="100" w:type="dxa"/>
            <w:vAlign w:val="bottom"/>
            <w:shd w:val="clear" w:color="auto" w:fill="CCECFF"/>
          </w:tcPr>
          <w:p>
            <w:pPr>
              <w:spacing w:after="0"/>
              <w:rPr>
                <w:sz w:val="12"/>
                <w:szCs w:val="12"/>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7/27/2026</w:t>
            </w:r>
          </w:p>
        </w:tc>
        <w:tc>
          <w:tcPr>
            <w:tcW w:w="180" w:type="dxa"/>
            <w:vAlign w:val="bottom"/>
          </w:tcPr>
          <w:p>
            <w:pPr>
              <w:spacing w:after="0"/>
              <w:rPr>
                <w:sz w:val="12"/>
                <w:szCs w:val="12"/>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Professional Services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10.67 %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1,707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1,724</w:t>
            </w:r>
          </w:p>
        </w:tc>
        <w:tc>
          <w:tcPr>
            <w:tcW w:w="100" w:type="dxa"/>
            <w:vAlign w:val="bottom"/>
          </w:tcPr>
          <w:p>
            <w:pPr>
              <w:spacing w:after="0"/>
              <w:rPr>
                <w:sz w:val="12"/>
                <w:szCs w:val="12"/>
                <w:color w:val="auto"/>
              </w:rPr>
            </w:pPr>
          </w:p>
        </w:tc>
      </w:tr>
      <w:tr>
        <w:trPr>
          <w:trHeight w:val="153"/>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Infosoft Group, LLC</w:t>
            </w:r>
          </w:p>
        </w:tc>
        <w:tc>
          <w:tcPr>
            <w:tcW w:w="5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9/16/2024</w:t>
            </w:r>
          </w:p>
        </w:tc>
        <w:tc>
          <w:tcPr>
            <w:tcW w:w="180" w:type="dxa"/>
            <w:vAlign w:val="bottom"/>
            <w:shd w:val="clear" w:color="auto" w:fill="CCECFF"/>
          </w:tcPr>
          <w:p>
            <w:pPr>
              <w:spacing w:after="0"/>
              <w:rPr>
                <w:sz w:val="13"/>
                <w:szCs w:val="13"/>
                <w:color w:val="auto"/>
              </w:rPr>
            </w:pPr>
          </w:p>
        </w:tc>
        <w:tc>
          <w:tcPr>
            <w:tcW w:w="2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Media: Broadcasting and Subscription</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8.47 %</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12,957</w:t>
            </w:r>
          </w:p>
        </w:tc>
        <w:tc>
          <w:tcPr>
            <w:tcW w:w="1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12,952</w:t>
            </w: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12,859</w:t>
            </w:r>
          </w:p>
        </w:tc>
        <w:tc>
          <w:tcPr>
            <w:tcW w:w="100" w:type="dxa"/>
            <w:vAlign w:val="bottom"/>
            <w:shd w:val="clear" w:color="auto" w:fill="CCECFF"/>
          </w:tcPr>
          <w:p>
            <w:pPr>
              <w:spacing w:after="0"/>
              <w:rPr>
                <w:sz w:val="13"/>
                <w:szCs w:val="13"/>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8/30/2027</w:t>
            </w:r>
          </w:p>
        </w:tc>
        <w:tc>
          <w:tcPr>
            <w:tcW w:w="180" w:type="dxa"/>
            <w:vAlign w:val="bottom"/>
          </w:tcPr>
          <w:p>
            <w:pPr>
              <w:spacing w:after="0"/>
              <w:rPr>
                <w:sz w:val="12"/>
                <w:szCs w:val="12"/>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Construction and Engineering</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8.62 %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5,578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5,550</w:t>
            </w:r>
          </w:p>
        </w:tc>
        <w:tc>
          <w:tcPr>
            <w:tcW w:w="100" w:type="dxa"/>
            <w:vAlign w:val="bottom"/>
          </w:tcPr>
          <w:p>
            <w:pPr>
              <w:spacing w:after="0"/>
              <w:rPr>
                <w:sz w:val="12"/>
                <w:szCs w:val="12"/>
                <w:color w:val="auto"/>
              </w:rPr>
            </w:pPr>
          </w:p>
        </w:tc>
      </w:tr>
      <w:tr>
        <w:trPr>
          <w:trHeight w:val="125"/>
        </w:trPr>
        <w:tc>
          <w:tcPr>
            <w:tcW w:w="270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560" w:type="dxa"/>
            <w:vAlign w:val="bottom"/>
            <w:gridSpan w:val="2"/>
            <w:shd w:val="clear" w:color="auto" w:fill="CCECFF"/>
          </w:tcPr>
          <w:p>
            <w:pPr>
              <w:jc w:val="center"/>
              <w:spacing w:after="0" w:line="125" w:lineRule="exact"/>
              <w:rPr>
                <w:sz w:val="20"/>
                <w:szCs w:val="20"/>
                <w:color w:val="auto"/>
              </w:rPr>
            </w:pPr>
            <w:r>
              <w:rPr>
                <w:rFonts w:ascii="Times New Roman" w:cs="Times New Roman" w:eastAsia="Times New Roman" w:hAnsi="Times New Roman"/>
                <w:sz w:val="11"/>
                <w:szCs w:val="11"/>
                <w:color w:val="auto"/>
                <w:w w:val="98"/>
              </w:rPr>
              <w:t>11/24/202</w:t>
            </w:r>
          </w:p>
        </w:tc>
        <w:tc>
          <w:tcPr>
            <w:tcW w:w="180" w:type="dxa"/>
            <w:vAlign w:val="bottom"/>
            <w:shd w:val="clear" w:color="auto" w:fill="CCECFF"/>
          </w:tcPr>
          <w:p>
            <w:pPr>
              <w:spacing w:after="0"/>
              <w:rPr>
                <w:sz w:val="10"/>
                <w:szCs w:val="10"/>
                <w:color w:val="auto"/>
              </w:rPr>
            </w:pPr>
          </w:p>
        </w:tc>
        <w:tc>
          <w:tcPr>
            <w:tcW w:w="290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8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46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r>
      <w:tr>
        <w:trPr>
          <w:trHeight w:val="149"/>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560" w:type="dxa"/>
            <w:vAlign w:val="bottom"/>
            <w:gridSpan w:val="2"/>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rPr>
              <w:t>5</w:t>
            </w:r>
          </w:p>
        </w:tc>
        <w:tc>
          <w:tcPr>
            <w:tcW w:w="180" w:type="dxa"/>
            <w:vAlign w:val="bottom"/>
            <w:shd w:val="clear" w:color="auto" w:fill="CCECFF"/>
          </w:tcPr>
          <w:p>
            <w:pPr>
              <w:spacing w:after="0"/>
              <w:rPr>
                <w:sz w:val="12"/>
                <w:szCs w:val="12"/>
                <w:color w:val="auto"/>
              </w:rPr>
            </w:pPr>
          </w:p>
        </w:tc>
        <w:tc>
          <w:tcPr>
            <w:tcW w:w="2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Non-Durable</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8.30 %</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8,744</w:t>
            </w: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8,604</w:t>
            </w:r>
          </w:p>
        </w:tc>
        <w:tc>
          <w:tcPr>
            <w:tcW w:w="1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8,482</w:t>
            </w:r>
          </w:p>
        </w:tc>
        <w:tc>
          <w:tcPr>
            <w:tcW w:w="100" w:type="dxa"/>
            <w:vAlign w:val="bottom"/>
            <w:shd w:val="clear" w:color="auto" w:fill="CCECFF"/>
          </w:tcPr>
          <w:p>
            <w:pPr>
              <w:spacing w:after="0"/>
              <w:rPr>
                <w:sz w:val="12"/>
                <w:szCs w:val="12"/>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3/26/2026</w:t>
            </w:r>
          </w:p>
        </w:tc>
        <w:tc>
          <w:tcPr>
            <w:tcW w:w="180" w:type="dxa"/>
            <w:vAlign w:val="bottom"/>
          </w:tcPr>
          <w:p>
            <w:pPr>
              <w:spacing w:after="0"/>
              <w:rPr>
                <w:sz w:val="12"/>
                <w:szCs w:val="12"/>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8.87 %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14,952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14,871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14,578</w:t>
            </w:r>
          </w:p>
        </w:tc>
        <w:tc>
          <w:tcPr>
            <w:tcW w:w="100" w:type="dxa"/>
            <w:vAlign w:val="bottom"/>
          </w:tcPr>
          <w:p>
            <w:pPr>
              <w:spacing w:after="0"/>
              <w:rPr>
                <w:sz w:val="12"/>
                <w:szCs w:val="12"/>
                <w:color w:val="auto"/>
              </w:rPr>
            </w:pPr>
          </w:p>
        </w:tc>
      </w:tr>
      <w:tr>
        <w:trPr>
          <w:trHeight w:val="153"/>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5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6/16/2025</w:t>
            </w:r>
          </w:p>
        </w:tc>
        <w:tc>
          <w:tcPr>
            <w:tcW w:w="180" w:type="dxa"/>
            <w:vAlign w:val="bottom"/>
            <w:shd w:val="clear" w:color="auto" w:fill="CCECFF"/>
          </w:tcPr>
          <w:p>
            <w:pPr>
              <w:spacing w:after="0"/>
              <w:rPr>
                <w:sz w:val="13"/>
                <w:szCs w:val="13"/>
                <w:color w:val="auto"/>
              </w:rPr>
            </w:pPr>
          </w:p>
        </w:tc>
        <w:tc>
          <w:tcPr>
            <w:tcW w:w="2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Diversified Consumer Services</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8.76 %</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5,468</w:t>
            </w:r>
          </w:p>
        </w:tc>
        <w:tc>
          <w:tcPr>
            <w:tcW w:w="1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5,450</w:t>
            </w: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5,441</w:t>
            </w:r>
          </w:p>
        </w:tc>
        <w:tc>
          <w:tcPr>
            <w:tcW w:w="100" w:type="dxa"/>
            <w:vAlign w:val="bottom"/>
            <w:shd w:val="clear" w:color="auto" w:fill="CCECFF"/>
          </w:tcPr>
          <w:p>
            <w:pPr>
              <w:spacing w:after="0"/>
              <w:rPr>
                <w:sz w:val="13"/>
                <w:szCs w:val="13"/>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Tyto Athene, LLC (New Issue)</w:t>
            </w:r>
          </w:p>
        </w:tc>
        <w:tc>
          <w:tcPr>
            <w:tcW w:w="560" w:type="dxa"/>
            <w:vAlign w:val="bottom"/>
            <w:gridSpan w:val="2"/>
          </w:tcPr>
          <w:p>
            <w:pPr>
              <w:jc w:val="center"/>
              <w:ind w:left="6"/>
              <w:spacing w:after="0"/>
              <w:rPr>
                <w:sz w:val="20"/>
                <w:szCs w:val="20"/>
                <w:color w:val="auto"/>
              </w:rPr>
            </w:pPr>
            <w:r>
              <w:rPr>
                <w:rFonts w:ascii="Times New Roman" w:cs="Times New Roman" w:eastAsia="Times New Roman" w:hAnsi="Times New Roman"/>
                <w:sz w:val="11"/>
                <w:szCs w:val="11"/>
                <w:color w:val="auto"/>
                <w:w w:val="97"/>
              </w:rPr>
              <w:t>4/1/2028</w:t>
            </w:r>
          </w:p>
        </w:tc>
        <w:tc>
          <w:tcPr>
            <w:tcW w:w="180" w:type="dxa"/>
            <w:vAlign w:val="bottom"/>
          </w:tcPr>
          <w:p>
            <w:pPr>
              <w:spacing w:after="0"/>
              <w:rPr>
                <w:sz w:val="12"/>
                <w:szCs w:val="12"/>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IT Services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7.76 %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15,550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15,421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14,446</w:t>
            </w:r>
          </w:p>
        </w:tc>
        <w:tc>
          <w:tcPr>
            <w:tcW w:w="100" w:type="dxa"/>
            <w:vAlign w:val="bottom"/>
          </w:tcPr>
          <w:p>
            <w:pPr>
              <w:spacing w:after="0"/>
              <w:rPr>
                <w:sz w:val="12"/>
                <w:szCs w:val="12"/>
                <w:color w:val="auto"/>
              </w:rPr>
            </w:pPr>
          </w:p>
        </w:tc>
      </w:tr>
      <w:tr>
        <w:trPr>
          <w:trHeight w:val="153"/>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560" w:type="dxa"/>
            <w:vAlign w:val="bottom"/>
            <w:gridSpan w:val="2"/>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7"/>
              </w:rPr>
              <w:t>4/3/2024</w:t>
            </w:r>
          </w:p>
        </w:tc>
        <w:tc>
          <w:tcPr>
            <w:tcW w:w="180" w:type="dxa"/>
            <w:vAlign w:val="bottom"/>
            <w:shd w:val="clear" w:color="auto" w:fill="CCECFF"/>
          </w:tcPr>
          <w:p>
            <w:pPr>
              <w:spacing w:after="0"/>
              <w:rPr>
                <w:sz w:val="13"/>
                <w:szCs w:val="13"/>
                <w:color w:val="auto"/>
              </w:rPr>
            </w:pPr>
          </w:p>
        </w:tc>
        <w:tc>
          <w:tcPr>
            <w:tcW w:w="2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Capital Equipment</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8.17 %</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17,390</w:t>
            </w:r>
          </w:p>
        </w:tc>
        <w:tc>
          <w:tcPr>
            <w:tcW w:w="1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17,305</w:t>
            </w: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17,129</w:t>
            </w:r>
          </w:p>
        </w:tc>
        <w:tc>
          <w:tcPr>
            <w:tcW w:w="100" w:type="dxa"/>
            <w:vAlign w:val="bottom"/>
            <w:shd w:val="clear" w:color="auto" w:fill="CCECFF"/>
          </w:tcPr>
          <w:p>
            <w:pPr>
              <w:spacing w:after="0"/>
              <w:rPr>
                <w:sz w:val="13"/>
                <w:szCs w:val="13"/>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Unique Indoor Comfort, LLC</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5/24/2027</w:t>
            </w:r>
          </w:p>
        </w:tc>
        <w:tc>
          <w:tcPr>
            <w:tcW w:w="180" w:type="dxa"/>
            <w:vAlign w:val="bottom"/>
          </w:tcPr>
          <w:p>
            <w:pPr>
              <w:spacing w:after="0"/>
              <w:rPr>
                <w:sz w:val="12"/>
                <w:szCs w:val="12"/>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 Housewares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8.95 %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SOFR+525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4,866</w:t>
            </w:r>
          </w:p>
        </w:tc>
        <w:tc>
          <w:tcPr>
            <w:tcW w:w="100" w:type="dxa"/>
            <w:vAlign w:val="bottom"/>
          </w:tcPr>
          <w:p>
            <w:pPr>
              <w:spacing w:after="0"/>
              <w:rPr>
                <w:sz w:val="12"/>
                <w:szCs w:val="12"/>
                <w:color w:val="auto"/>
              </w:rPr>
            </w:pPr>
          </w:p>
        </w:tc>
      </w:tr>
      <w:tr>
        <w:trPr>
          <w:trHeight w:val="144"/>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560" w:type="dxa"/>
            <w:vAlign w:val="bottom"/>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3/31/2027</w:t>
            </w:r>
          </w:p>
        </w:tc>
        <w:tc>
          <w:tcPr>
            <w:tcW w:w="180" w:type="dxa"/>
            <w:vAlign w:val="bottom"/>
            <w:shd w:val="clear" w:color="auto" w:fill="CCECFF"/>
          </w:tcPr>
          <w:p>
            <w:pPr>
              <w:spacing w:after="0"/>
              <w:rPr>
                <w:sz w:val="12"/>
                <w:szCs w:val="12"/>
                <w:color w:val="auto"/>
              </w:rPr>
            </w:pPr>
          </w:p>
        </w:tc>
        <w:tc>
          <w:tcPr>
            <w:tcW w:w="2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Wholesale</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12.42 %</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12,684</w:t>
            </w: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12,438</w:t>
            </w:r>
          </w:p>
        </w:tc>
        <w:tc>
          <w:tcPr>
            <w:tcW w:w="1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8,473</w:t>
            </w:r>
          </w:p>
        </w:tc>
        <w:tc>
          <w:tcPr>
            <w:tcW w:w="100" w:type="dxa"/>
            <w:vAlign w:val="bottom"/>
            <w:shd w:val="clear" w:color="auto" w:fill="CCECFF"/>
          </w:tcPr>
          <w:p>
            <w:pPr>
              <w:spacing w:after="0"/>
              <w:rPr>
                <w:sz w:val="12"/>
                <w:szCs w:val="12"/>
                <w:color w:val="auto"/>
              </w:rPr>
            </w:pPr>
          </w:p>
        </w:tc>
      </w:tr>
      <w:tr>
        <w:trPr>
          <w:trHeight w:val="157"/>
        </w:trPr>
        <w:tc>
          <w:tcPr>
            <w:tcW w:w="270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900" w:type="dxa"/>
            <w:vAlign w:val="bottom"/>
            <w:shd w:val="clear" w:color="auto" w:fill="CCECFF"/>
          </w:tcPr>
          <w:p>
            <w:pPr>
              <w:spacing w:after="0"/>
              <w:rPr>
                <w:sz w:val="13"/>
                <w:szCs w:val="13"/>
                <w:color w:val="auto"/>
              </w:rPr>
            </w:pPr>
          </w:p>
        </w:tc>
        <w:tc>
          <w:tcPr>
            <w:tcW w:w="40" w:type="dxa"/>
            <w:vAlign w:val="bottom"/>
            <w:shd w:val="clear" w:color="auto" w:fill="CCECFF"/>
          </w:tcPr>
          <w:p>
            <w:pPr>
              <w:spacing w:after="0"/>
              <w:rPr>
                <w:sz w:val="13"/>
                <w:szCs w:val="13"/>
                <w:color w:val="auto"/>
              </w:rPr>
            </w:pPr>
          </w:p>
        </w:tc>
        <w:tc>
          <w:tcPr>
            <w:tcW w:w="920" w:type="dxa"/>
            <w:vAlign w:val="bottom"/>
            <w:gridSpan w:val="2"/>
            <w:shd w:val="clear" w:color="auto" w:fill="CCECFF"/>
          </w:tcPr>
          <w:p>
            <w:pPr>
              <w:jc w:val="right"/>
              <w:ind w:right="86"/>
              <w:spacing w:after="0"/>
              <w:rPr>
                <w:sz w:val="20"/>
                <w:szCs w:val="20"/>
                <w:color w:val="auto"/>
              </w:rPr>
            </w:pPr>
            <w:r>
              <w:rPr>
                <w:rFonts w:ascii="Times New Roman" w:cs="Times New Roman" w:eastAsia="Times New Roman" w:hAnsi="Times New Roman"/>
                <w:sz w:val="11"/>
                <w:szCs w:val="11"/>
                <w:color w:val="auto"/>
              </w:rPr>
              <w:t>(PIK 3.0%)</w:t>
            </w:r>
          </w:p>
        </w:tc>
        <w:tc>
          <w:tcPr>
            <w:tcW w:w="5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4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2/27/2026</w:t>
            </w:r>
          </w:p>
        </w:tc>
        <w:tc>
          <w:tcPr>
            <w:tcW w:w="180" w:type="dxa"/>
            <w:vAlign w:val="bottom"/>
          </w:tcPr>
          <w:p>
            <w:pPr>
              <w:spacing w:after="0"/>
              <w:rPr>
                <w:sz w:val="12"/>
                <w:szCs w:val="12"/>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Electronic Equipment, Instruments, and Components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9.45 %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8,546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8,261</w:t>
            </w:r>
          </w:p>
        </w:tc>
        <w:tc>
          <w:tcPr>
            <w:tcW w:w="100" w:type="dxa"/>
            <w:vAlign w:val="bottom"/>
          </w:tcPr>
          <w:p>
            <w:pPr>
              <w:spacing w:after="0"/>
              <w:rPr>
                <w:sz w:val="12"/>
                <w:szCs w:val="12"/>
                <w:color w:val="auto"/>
              </w:rPr>
            </w:pPr>
          </w:p>
        </w:tc>
      </w:tr>
      <w:tr>
        <w:trPr>
          <w:trHeight w:val="153"/>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560" w:type="dxa"/>
            <w:vAlign w:val="bottom"/>
            <w:gridSpan w:val="2"/>
            <w:shd w:val="clear" w:color="auto" w:fill="CCECFF"/>
          </w:tcPr>
          <w:p>
            <w:pPr>
              <w:jc w:val="center"/>
              <w:ind w:left="6"/>
              <w:spacing w:after="0"/>
              <w:rPr>
                <w:sz w:val="20"/>
                <w:szCs w:val="20"/>
                <w:color w:val="auto"/>
              </w:rPr>
            </w:pPr>
            <w:r>
              <w:rPr>
                <w:rFonts w:ascii="Times New Roman" w:cs="Times New Roman" w:eastAsia="Times New Roman" w:hAnsi="Times New Roman"/>
                <w:sz w:val="11"/>
                <w:szCs w:val="11"/>
                <w:color w:val="auto"/>
                <w:w w:val="97"/>
              </w:rPr>
              <w:t>3/1/2024</w:t>
            </w:r>
          </w:p>
        </w:tc>
        <w:tc>
          <w:tcPr>
            <w:tcW w:w="180" w:type="dxa"/>
            <w:vAlign w:val="bottom"/>
            <w:shd w:val="clear" w:color="auto" w:fill="CCECFF"/>
          </w:tcPr>
          <w:p>
            <w:pPr>
              <w:spacing w:after="0"/>
              <w:rPr>
                <w:sz w:val="13"/>
                <w:szCs w:val="13"/>
                <w:color w:val="auto"/>
              </w:rPr>
            </w:pPr>
          </w:p>
        </w:tc>
        <w:tc>
          <w:tcPr>
            <w:tcW w:w="29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Automobiles</w:t>
            </w:r>
          </w:p>
        </w:tc>
        <w:tc>
          <w:tcPr>
            <w:tcW w:w="96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10.35 %</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16,957</w:t>
            </w:r>
          </w:p>
        </w:tc>
        <w:tc>
          <w:tcPr>
            <w:tcW w:w="1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16,711</w:t>
            </w: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16,533</w:t>
            </w:r>
          </w:p>
        </w:tc>
        <w:tc>
          <w:tcPr>
            <w:tcW w:w="100" w:type="dxa"/>
            <w:vAlign w:val="bottom"/>
            <w:shd w:val="clear" w:color="auto" w:fill="CCECFF"/>
          </w:tcPr>
          <w:p>
            <w:pPr>
              <w:spacing w:after="0"/>
              <w:rPr>
                <w:sz w:val="13"/>
                <w:szCs w:val="13"/>
                <w:color w:val="auto"/>
              </w:rPr>
            </w:pPr>
          </w:p>
        </w:tc>
      </w:tr>
      <w:tr>
        <w:trPr>
          <w:trHeight w:val="148"/>
        </w:trPr>
        <w:tc>
          <w:tcPr>
            <w:tcW w:w="36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6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40" w:type="dxa"/>
            <w:vAlign w:val="bottom"/>
            <w:tcBorders>
              <w:bottom w:val="single" w:sz="8" w:color="CCECFF"/>
            </w:tcBorders>
            <w:shd w:val="clear" w:color="auto" w:fill="CCECFF"/>
          </w:tcPr>
          <w:p>
            <w:pPr>
              <w:spacing w:after="0"/>
              <w:rPr>
                <w:sz w:val="12"/>
                <w:szCs w:val="12"/>
                <w:color w:val="auto"/>
              </w:rPr>
            </w:pPr>
          </w:p>
        </w:tc>
        <w:tc>
          <w:tcPr>
            <w:tcW w:w="5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290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767,316</w:t>
            </w:r>
          </w:p>
        </w:tc>
        <w:tc>
          <w:tcPr>
            <w:tcW w:w="14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751,627</w:t>
            </w:r>
          </w:p>
        </w:tc>
        <w:tc>
          <w:tcPr>
            <w:tcW w:w="100" w:type="dxa"/>
            <w:vAlign w:val="bottom"/>
            <w:tcBorders>
              <w:bottom w:val="single" w:sz="8" w:color="CCECFF"/>
            </w:tcBorders>
            <w:shd w:val="clear" w:color="auto" w:fill="CCECFF"/>
          </w:tcPr>
          <w:p>
            <w:pPr>
              <w:spacing w:after="0"/>
              <w:rPr>
                <w:sz w:val="12"/>
                <w:szCs w:val="12"/>
                <w:color w:val="auto"/>
              </w:rPr>
            </w:pPr>
          </w:p>
        </w:tc>
      </w:tr>
      <w:tr>
        <w:trPr>
          <w:trHeight w:val="13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 - 5.0%</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3620" w:type="dxa"/>
            <w:vAlign w:val="bottom"/>
            <w:gridSpan w:val="2"/>
            <w:shd w:val="clear" w:color="auto" w:fill="CCECFF"/>
          </w:tcPr>
          <w:p>
            <w:pPr>
              <w:spacing w:after="0"/>
              <w:rPr>
                <w:sz w:val="13"/>
                <w:szCs w:val="13"/>
                <w:color w:val="auto"/>
              </w:rPr>
            </w:pPr>
          </w:p>
        </w:tc>
        <w:tc>
          <w:tcPr>
            <w:tcW w:w="560" w:type="dxa"/>
            <w:vAlign w:val="bottom"/>
            <w:gridSpan w:val="2"/>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900" w:type="dxa"/>
            <w:vAlign w:val="bottom"/>
            <w:shd w:val="clear" w:color="auto" w:fill="CCECFF"/>
          </w:tcPr>
          <w:p>
            <w:pPr>
              <w:spacing w:after="0"/>
              <w:rPr>
                <w:sz w:val="13"/>
                <w:szCs w:val="13"/>
                <w:color w:val="auto"/>
              </w:rPr>
            </w:pPr>
          </w:p>
        </w:tc>
        <w:tc>
          <w:tcPr>
            <w:tcW w:w="960" w:type="dxa"/>
            <w:vAlign w:val="bottom"/>
            <w:gridSpan w:val="3"/>
            <w:shd w:val="clear" w:color="auto" w:fill="CCECFF"/>
          </w:tcPr>
          <w:p>
            <w:pPr>
              <w:spacing w:after="0"/>
              <w:rPr>
                <w:sz w:val="13"/>
                <w:szCs w:val="13"/>
                <w:color w:val="auto"/>
              </w:rPr>
            </w:pPr>
          </w:p>
        </w:tc>
        <w:tc>
          <w:tcPr>
            <w:tcW w:w="560" w:type="dxa"/>
            <w:vAlign w:val="bottom"/>
            <w:shd w:val="clear" w:color="auto" w:fill="CCECFF"/>
          </w:tcPr>
          <w:p>
            <w:pPr>
              <w:spacing w:after="0"/>
              <w:rPr>
                <w:sz w:val="13"/>
                <w:szCs w:val="13"/>
                <w:color w:val="auto"/>
              </w:rPr>
            </w:pPr>
          </w:p>
        </w:tc>
        <w:tc>
          <w:tcPr>
            <w:tcW w:w="780" w:type="dxa"/>
            <w:vAlign w:val="bottom"/>
            <w:gridSpan w:val="2"/>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48"/>
        </w:trPr>
        <w:tc>
          <w:tcPr>
            <w:tcW w:w="3620" w:type="dxa"/>
            <w:vAlign w:val="bottom"/>
            <w:gridSpan w:val="2"/>
          </w:tcPr>
          <w:p>
            <w:pPr>
              <w:spacing w:after="0"/>
              <w:rPr>
                <w:sz w:val="12"/>
                <w:szCs w:val="12"/>
                <w:color w:val="auto"/>
              </w:rPr>
            </w:pPr>
          </w:p>
        </w:tc>
        <w:tc>
          <w:tcPr>
            <w:tcW w:w="5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60" w:type="dxa"/>
            <w:vAlign w:val="bottom"/>
            <w:gridSpan w:val="3"/>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6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560" w:type="dxa"/>
            <w:vAlign w:val="bottom"/>
            <w:tcBorders>
              <w:bottom w:val="single" w:sz="8" w:color="CCECFF"/>
            </w:tcBorders>
            <w:gridSpan w:val="2"/>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9/29/2024</w:t>
            </w:r>
          </w:p>
        </w:tc>
        <w:tc>
          <w:tcPr>
            <w:tcW w:w="180" w:type="dxa"/>
            <w:vAlign w:val="bottom"/>
            <w:tcBorders>
              <w:bottom w:val="single" w:sz="8" w:color="CCECFF"/>
            </w:tcBorders>
            <w:shd w:val="clear" w:color="auto" w:fill="CCECFF"/>
          </w:tcPr>
          <w:p>
            <w:pPr>
              <w:spacing w:after="0"/>
              <w:rPr>
                <w:sz w:val="12"/>
                <w:szCs w:val="12"/>
                <w:color w:val="auto"/>
              </w:rPr>
            </w:pPr>
          </w:p>
        </w:tc>
        <w:tc>
          <w:tcPr>
            <w:tcW w:w="29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Consumer Goods: Durable</w:t>
            </w:r>
          </w:p>
        </w:tc>
        <w:tc>
          <w:tcPr>
            <w:tcW w:w="960" w:type="dxa"/>
            <w:vAlign w:val="bottom"/>
            <w:tcBorders>
              <w:bottom w:val="single" w:sz="8" w:color="CCECFF"/>
            </w:tcBorders>
            <w:gridSpan w:val="3"/>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12.17 %</w:t>
            </w: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78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1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2,963</w:t>
            </w:r>
          </w:p>
        </w:tc>
        <w:tc>
          <w:tcPr>
            <w:tcW w:w="14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2,955</w:t>
            </w:r>
          </w:p>
        </w:tc>
        <w:tc>
          <w:tcPr>
            <w:tcW w:w="100" w:type="dxa"/>
            <w:vAlign w:val="bottom"/>
            <w:tcBorders>
              <w:bottom w:val="single" w:sz="8" w:color="CCECFF"/>
            </w:tcBorders>
            <w:shd w:val="clear" w:color="auto" w:fill="CCECFF"/>
          </w:tcPr>
          <w:p>
            <w:pPr>
              <w:spacing w:after="0"/>
              <w:rPr>
                <w:sz w:val="12"/>
                <w:szCs w:val="12"/>
                <w:color w:val="auto"/>
              </w:rPr>
            </w:pPr>
          </w:p>
        </w:tc>
      </w:tr>
      <w:tr>
        <w:trPr>
          <w:trHeight w:val="14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2,963</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2,955</w:t>
            </w:r>
          </w:p>
        </w:tc>
        <w:tc>
          <w:tcPr>
            <w:tcW w:w="100" w:type="dxa"/>
            <w:vAlign w:val="bottom"/>
          </w:tcPr>
          <w:p>
            <w:pPr>
              <w:spacing w:after="0"/>
              <w:rPr>
                <w:sz w:val="12"/>
                <w:szCs w:val="12"/>
                <w:color w:val="auto"/>
              </w:rPr>
            </w:pPr>
          </w:p>
        </w:tc>
      </w:tr>
      <w:tr>
        <w:trPr>
          <w:trHeight w:val="142"/>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Equity Securities - 0.4%</w:t>
            </w:r>
          </w:p>
        </w:tc>
        <w:tc>
          <w:tcPr>
            <w:tcW w:w="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90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New MPE Holdings, LLC</w:t>
            </w:r>
          </w:p>
        </w:tc>
        <w:tc>
          <w:tcPr>
            <w:tcW w:w="40" w:type="dxa"/>
            <w:vAlign w:val="bottom"/>
          </w:tcPr>
          <w:p>
            <w:pPr>
              <w:spacing w:after="0"/>
              <w:rPr>
                <w:sz w:val="12"/>
                <w:szCs w:val="12"/>
                <w:color w:val="auto"/>
              </w:rPr>
            </w:pPr>
          </w:p>
        </w:tc>
        <w:tc>
          <w:tcPr>
            <w:tcW w:w="520" w:type="dxa"/>
            <w:vAlign w:val="bottom"/>
          </w:tcPr>
          <w:p>
            <w:pPr>
              <w:ind w:left="400"/>
              <w:spacing w:after="0"/>
              <w:rPr>
                <w:sz w:val="20"/>
                <w:szCs w:val="20"/>
                <w:color w:val="auto"/>
              </w:rPr>
            </w:pPr>
            <w:r>
              <w:rPr>
                <w:rFonts w:ascii="Times New Roman" w:cs="Times New Roman" w:eastAsia="Times New Roman" w:hAnsi="Times New Roman"/>
                <w:sz w:val="11"/>
                <w:szCs w:val="11"/>
                <w:color w:val="auto"/>
                <w:w w:val="90"/>
              </w:rPr>
              <w:t>—</w:t>
            </w:r>
          </w:p>
        </w:tc>
        <w:tc>
          <w:tcPr>
            <w:tcW w:w="180" w:type="dxa"/>
            <w:vAlign w:val="bottom"/>
          </w:tcPr>
          <w:p>
            <w:pPr>
              <w:spacing w:after="0"/>
              <w:rPr>
                <w:sz w:val="12"/>
                <w:szCs w:val="12"/>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Media: Diversified and Production</w:t>
            </w:r>
          </w:p>
        </w:tc>
        <w:tc>
          <w:tcPr>
            <w:tcW w:w="40" w:type="dxa"/>
            <w:vAlign w:val="bottom"/>
          </w:tcPr>
          <w:p>
            <w:pPr>
              <w:spacing w:after="0"/>
              <w:rPr>
                <w:sz w:val="12"/>
                <w:szCs w:val="12"/>
                <w:color w:val="auto"/>
              </w:rPr>
            </w:pPr>
          </w:p>
        </w:tc>
        <w:tc>
          <w:tcPr>
            <w:tcW w:w="9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100" w:type="dxa"/>
            <w:vAlign w:val="bottom"/>
          </w:tcPr>
          <w:p>
            <w:pPr>
              <w:spacing w:after="0"/>
              <w:rPr>
                <w:sz w:val="12"/>
                <w:szCs w:val="12"/>
                <w:color w:val="auto"/>
              </w:rPr>
            </w:pPr>
          </w:p>
        </w:tc>
      </w:tr>
      <w:tr>
        <w:trPr>
          <w:trHeight w:val="142"/>
        </w:trPr>
        <w:tc>
          <w:tcPr>
            <w:tcW w:w="36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Equity Securities</w:t>
            </w:r>
          </w:p>
        </w:tc>
        <w:tc>
          <w:tcPr>
            <w:tcW w:w="40" w:type="dxa"/>
            <w:vAlign w:val="bottom"/>
            <w:tcBorders>
              <w:bottom w:val="single" w:sz="8" w:color="CCECFF"/>
            </w:tcBorders>
            <w:shd w:val="clear" w:color="auto" w:fill="CCECFF"/>
          </w:tcPr>
          <w:p>
            <w:pPr>
              <w:spacing w:after="0"/>
              <w:rPr>
                <w:sz w:val="12"/>
                <w:szCs w:val="12"/>
                <w:color w:val="auto"/>
              </w:rPr>
            </w:pPr>
          </w:p>
        </w:tc>
        <w:tc>
          <w:tcPr>
            <w:tcW w:w="5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290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100" w:type="dxa"/>
            <w:vAlign w:val="bottom"/>
            <w:tcBorders>
              <w:bottom w:val="single" w:sz="8" w:color="CCECFF"/>
            </w:tcBorders>
            <w:shd w:val="clear" w:color="auto" w:fill="CCECFF"/>
          </w:tcPr>
          <w:p>
            <w:pPr>
              <w:spacing w:after="0"/>
              <w:rPr>
                <w:sz w:val="12"/>
                <w:szCs w:val="12"/>
                <w:color w:val="auto"/>
              </w:rPr>
            </w:pPr>
          </w:p>
        </w:tc>
      </w:tr>
      <w:tr>
        <w:trPr>
          <w:trHeight w:val="14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- 1,335.9%</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770,280</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754,722</w:t>
            </w:r>
          </w:p>
        </w:tc>
        <w:tc>
          <w:tcPr>
            <w:tcW w:w="100" w:type="dxa"/>
            <w:vAlign w:val="bottom"/>
          </w:tcPr>
          <w:p>
            <w:pPr>
              <w:spacing w:after="0"/>
              <w:rPr>
                <w:sz w:val="12"/>
                <w:szCs w:val="12"/>
                <w:color w:val="auto"/>
              </w:rPr>
            </w:pPr>
          </w:p>
        </w:tc>
      </w:tr>
      <w:tr>
        <w:trPr>
          <w:trHeight w:val="142"/>
        </w:trPr>
        <w:tc>
          <w:tcPr>
            <w:tcW w:w="362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- 59.7%</w:t>
            </w:r>
          </w:p>
        </w:tc>
        <w:tc>
          <w:tcPr>
            <w:tcW w:w="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90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33,725</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33,705</w:t>
            </w:r>
          </w:p>
        </w:tc>
        <w:tc>
          <w:tcPr>
            <w:tcW w:w="100" w:type="dxa"/>
            <w:vAlign w:val="bottom"/>
          </w:tcPr>
          <w:p>
            <w:pPr>
              <w:spacing w:after="0"/>
              <w:rPr>
                <w:sz w:val="12"/>
                <w:szCs w:val="12"/>
                <w:color w:val="auto"/>
              </w:rPr>
            </w:pPr>
          </w:p>
        </w:tc>
      </w:tr>
      <w:tr>
        <w:trPr>
          <w:trHeight w:val="142"/>
        </w:trPr>
        <w:tc>
          <w:tcPr>
            <w:tcW w:w="36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40" w:type="dxa"/>
            <w:vAlign w:val="bottom"/>
            <w:tcBorders>
              <w:bottom w:val="single" w:sz="8" w:color="CCECFF"/>
            </w:tcBorders>
            <w:shd w:val="clear" w:color="auto" w:fill="CCECFF"/>
          </w:tcPr>
          <w:p>
            <w:pPr>
              <w:spacing w:after="0"/>
              <w:rPr>
                <w:sz w:val="12"/>
                <w:szCs w:val="12"/>
                <w:color w:val="auto"/>
              </w:rPr>
            </w:pPr>
          </w:p>
        </w:tc>
        <w:tc>
          <w:tcPr>
            <w:tcW w:w="5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CCECFF"/>
            </w:tcBorders>
            <w:shd w:val="clear" w:color="auto" w:fill="CCECFF"/>
          </w:tcPr>
          <w:p>
            <w:pPr>
              <w:spacing w:after="0"/>
              <w:rPr>
                <w:sz w:val="12"/>
                <w:szCs w:val="12"/>
                <w:color w:val="auto"/>
              </w:rPr>
            </w:pPr>
          </w:p>
        </w:tc>
        <w:tc>
          <w:tcPr>
            <w:tcW w:w="2900" w:type="dxa"/>
            <w:vAlign w:val="bottom"/>
            <w:tcBorders>
              <w:bottom w:val="single" w:sz="8" w:color="CCECFF"/>
            </w:tcBorders>
            <w:shd w:val="clear" w:color="auto" w:fill="CCECFF"/>
          </w:tcPr>
          <w:p>
            <w:pPr>
              <w:spacing w:after="0"/>
              <w:rPr>
                <w:sz w:val="12"/>
                <w:szCs w:val="12"/>
                <w:color w:val="auto"/>
              </w:rPr>
            </w:pPr>
          </w:p>
        </w:tc>
        <w:tc>
          <w:tcPr>
            <w:tcW w:w="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33,725</w:t>
            </w:r>
          </w:p>
        </w:tc>
        <w:tc>
          <w:tcPr>
            <w:tcW w:w="14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33,705</w:t>
            </w:r>
          </w:p>
        </w:tc>
        <w:tc>
          <w:tcPr>
            <w:tcW w:w="100" w:type="dxa"/>
            <w:vAlign w:val="bottom"/>
            <w:tcBorders>
              <w:bottom w:val="single" w:sz="8" w:color="CCECFF"/>
            </w:tcBorders>
            <w:shd w:val="clear" w:color="auto" w:fill="CCECFF"/>
          </w:tcPr>
          <w:p>
            <w:pPr>
              <w:spacing w:after="0"/>
              <w:rPr>
                <w:sz w:val="12"/>
                <w:szCs w:val="12"/>
                <w:color w:val="auto"/>
              </w:rPr>
            </w:pPr>
          </w:p>
        </w:tc>
      </w:tr>
      <w:tr>
        <w:trPr>
          <w:trHeight w:val="14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—1,329.0%</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804,005</w:t>
            </w:r>
          </w:p>
        </w:tc>
        <w:tc>
          <w:tcPr>
            <w:tcW w:w="140" w:type="dxa"/>
            <w:vAlign w:val="bottom"/>
          </w:tcPr>
          <w:p>
            <w:pPr>
              <w:spacing w:after="0"/>
              <w:rPr>
                <w:sz w:val="12"/>
                <w:szCs w:val="12"/>
                <w:color w:val="auto"/>
              </w:rPr>
            </w:pPr>
          </w:p>
        </w:tc>
        <w:tc>
          <w:tcPr>
            <w:tcW w:w="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788,427</w:t>
            </w:r>
          </w:p>
        </w:tc>
        <w:tc>
          <w:tcPr>
            <w:tcW w:w="100" w:type="dxa"/>
            <w:vAlign w:val="bottom"/>
          </w:tcPr>
          <w:p>
            <w:pPr>
              <w:spacing w:after="0"/>
              <w:rPr>
                <w:sz w:val="12"/>
                <w:szCs w:val="12"/>
                <w:color w:val="auto"/>
              </w:rPr>
            </w:pPr>
          </w:p>
        </w:tc>
      </w:tr>
      <w:tr>
        <w:trPr>
          <w:trHeight w:val="20"/>
        </w:trPr>
        <w:tc>
          <w:tcPr>
            <w:tcW w:w="3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129"/>
        </w:trPr>
        <w:tc>
          <w:tcPr>
            <w:tcW w:w="362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in Excess of Other Assets — (1,229.0)%</w:t>
            </w:r>
          </w:p>
        </w:tc>
        <w:tc>
          <w:tcPr>
            <w:tcW w:w="40" w:type="dxa"/>
            <w:vAlign w:val="bottom"/>
            <w:tcBorders>
              <w:bottom w:val="single" w:sz="8" w:color="CCECFF"/>
            </w:tcBorders>
            <w:shd w:val="clear" w:color="auto" w:fill="CCECFF"/>
          </w:tcPr>
          <w:p>
            <w:pPr>
              <w:spacing w:after="0"/>
              <w:rPr>
                <w:sz w:val="11"/>
                <w:szCs w:val="11"/>
                <w:color w:val="auto"/>
              </w:rPr>
            </w:pPr>
          </w:p>
        </w:tc>
        <w:tc>
          <w:tcPr>
            <w:tcW w:w="5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900" w:type="dxa"/>
            <w:vAlign w:val="bottom"/>
            <w:tcBorders>
              <w:bottom w:val="single" w:sz="8" w:color="CCECFF"/>
            </w:tcBorders>
            <w:shd w:val="clear" w:color="auto" w:fill="CCECFF"/>
          </w:tcPr>
          <w:p>
            <w:pPr>
              <w:spacing w:after="0"/>
              <w:rPr>
                <w:sz w:val="11"/>
                <w:szCs w:val="11"/>
                <w:color w:val="auto"/>
              </w:rPr>
            </w:pPr>
          </w:p>
        </w:tc>
        <w:tc>
          <w:tcPr>
            <w:tcW w:w="40" w:type="dxa"/>
            <w:vAlign w:val="bottom"/>
            <w:tcBorders>
              <w:bottom w:val="single" w:sz="8" w:color="CCECFF"/>
            </w:tcBorders>
            <w:shd w:val="clear" w:color="auto" w:fill="CCECFF"/>
          </w:tcPr>
          <w:p>
            <w:pPr>
              <w:spacing w:after="0"/>
              <w:rPr>
                <w:sz w:val="11"/>
                <w:szCs w:val="11"/>
                <w:color w:val="auto"/>
              </w:rPr>
            </w:pPr>
          </w:p>
        </w:tc>
        <w:tc>
          <w:tcPr>
            <w:tcW w:w="8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top w:val="single" w:sz="8" w:color="auto"/>
              <w:bottom w:val="single" w:sz="8" w:color="CCECFF"/>
            </w:tcBorders>
            <w:shd w:val="clear" w:color="auto" w:fill="CCECFF"/>
          </w:tcPr>
          <w:p>
            <w:pPr>
              <w:spacing w:after="0"/>
              <w:rPr>
                <w:sz w:val="11"/>
                <w:szCs w:val="11"/>
                <w:color w:val="auto"/>
              </w:rPr>
            </w:pPr>
          </w:p>
        </w:tc>
        <w:tc>
          <w:tcPr>
            <w:tcW w:w="460" w:type="dxa"/>
            <w:vAlign w:val="bottom"/>
            <w:tcBorders>
              <w:top w:val="single" w:sz="8" w:color="auto"/>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top w:val="single" w:sz="8" w:color="auto"/>
              <w:bottom w:val="single" w:sz="8" w:color="auto"/>
            </w:tcBorders>
            <w:shd w:val="clear" w:color="auto" w:fill="CCECFF"/>
          </w:tcPr>
          <w:p>
            <w:pPr>
              <w:spacing w:after="0"/>
              <w:rPr>
                <w:sz w:val="11"/>
                <w:szCs w:val="11"/>
                <w:color w:val="auto"/>
              </w:rPr>
            </w:pP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(731,931</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4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56,496</w:t>
            </w:r>
          </w:p>
        </w:tc>
        <w:tc>
          <w:tcPr>
            <w:tcW w:w="100" w:type="dxa"/>
            <w:vAlign w:val="bottom"/>
          </w:tcPr>
          <w:p>
            <w:pPr>
              <w:spacing w:after="0"/>
              <w:rPr>
                <w:sz w:val="12"/>
                <w:szCs w:val="12"/>
                <w:color w:val="auto"/>
              </w:rPr>
            </w:pPr>
          </w:p>
        </w:tc>
      </w:tr>
      <w:tr>
        <w:trPr>
          <w:trHeight w:val="20"/>
        </w:trPr>
        <w:tc>
          <w:tcPr>
            <w:tcW w:w="2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
        </w:trPr>
        <w:tc>
          <w:tcPr>
            <w:tcW w:w="270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-1593850</wp:posOffset>
            </wp:positionV>
            <wp:extent cx="68580" cy="1028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1028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-1208405</wp:posOffset>
            </wp:positionV>
            <wp:extent cx="68580" cy="1117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-1208405</wp:posOffset>
            </wp:positionV>
            <wp:extent cx="68580" cy="1117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-805180</wp:posOffset>
            </wp:positionV>
            <wp:extent cx="68580" cy="1111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1111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-402590</wp:posOffset>
            </wp:positionV>
            <wp:extent cx="68580" cy="128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1289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289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28905"/>
                    </a:xfrm>
                    <a:prstGeom prst="rect">
                      <a:avLst/>
                    </a:prstGeom>
                    <a:noFill/>
                  </pic:spPr>
                </pic:pic>
              </a:graphicData>
            </a:graphic>
          </wp:anchor>
        </w:drawing>
      </w:r>
    </w:p>
    <w:p>
      <w:pPr>
        <w:ind w:left="380" w:right="20" w:hanging="372"/>
        <w:spacing w:after="0" w:line="218" w:lineRule="auto"/>
        <w:tabs>
          <w:tab w:leader="none" w:pos="380" w:val="left"/>
        </w:tabs>
        <w:numPr>
          <w:ilvl w:val="0"/>
          <w:numId w:val="2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181" w:lineRule="auto"/>
        <w:tabs>
          <w:tab w:leader="none" w:pos="380" w:val="left"/>
        </w:tabs>
        <w:numPr>
          <w:ilvl w:val="0"/>
          <w:numId w:val="2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Valued based on PSSL’s accounting policy.</w:t>
      </w:r>
    </w:p>
    <w:p>
      <w:pPr>
        <w:ind w:left="380" w:hanging="372"/>
        <w:spacing w:after="0" w:line="181" w:lineRule="auto"/>
        <w:tabs>
          <w:tab w:leader="none" w:pos="380" w:val="left"/>
        </w:tabs>
        <w:numPr>
          <w:ilvl w:val="0"/>
          <w:numId w:val="2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Non-U.S. company or principal place of business outside the United States.</w:t>
      </w:r>
    </w:p>
    <w:p>
      <w:pPr>
        <w:ind w:left="380" w:hanging="372"/>
        <w:spacing w:after="0" w:line="181" w:lineRule="auto"/>
        <w:tabs>
          <w:tab w:leader="none" w:pos="380" w:val="left"/>
        </w:tabs>
        <w:numPr>
          <w:ilvl w:val="0"/>
          <w:numId w:val="2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Non-income producing security.</w:t>
      </w:r>
    </w:p>
    <w:p>
      <w:pPr>
        <w:ind w:left="380" w:hanging="372"/>
        <w:spacing w:after="0" w:line="191" w:lineRule="auto"/>
        <w:tabs>
          <w:tab w:leader="none" w:pos="380" w:val="left"/>
        </w:tabs>
        <w:numPr>
          <w:ilvl w:val="0"/>
          <w:numId w:val="2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are the consolidated statements of assets and liabilities for PSSL ($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4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Borders>
              <w:bottom w:val="single" w:sz="8" w:color="auto"/>
            </w:tcBorders>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r>
      <w:tr>
        <w:trPr>
          <w:trHeight w:val="169"/>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94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8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 (cost—$772,064 and $770,280, respectively)</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750,692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754,722</w:t>
            </w:r>
          </w:p>
        </w:tc>
        <w:tc>
          <w:tcPr>
            <w:tcW w:w="100" w:type="dxa"/>
            <w:vAlign w:val="bottom"/>
          </w:tcPr>
          <w:p>
            <w:pPr>
              <w:spacing w:after="0"/>
              <w:rPr>
                <w:sz w:val="15"/>
                <w:szCs w:val="15"/>
                <w:color w:val="auto"/>
              </w:rPr>
            </w:pPr>
          </w:p>
        </w:tc>
      </w:tr>
      <w:tr>
        <w:trPr>
          <w:trHeight w:val="175"/>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(cost—$41,692 and $33,725, respectively)</w:t>
            </w:r>
          </w:p>
        </w:tc>
        <w:tc>
          <w:tcPr>
            <w:tcW w:w="1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94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41,692</w:t>
            </w:r>
          </w:p>
        </w:tc>
        <w:tc>
          <w:tcPr>
            <w:tcW w:w="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33,705</w:t>
            </w:r>
          </w:p>
        </w:tc>
        <w:tc>
          <w:tcPr>
            <w:tcW w:w="100" w:type="dxa"/>
            <w:vAlign w:val="bottom"/>
            <w:shd w:val="clear" w:color="auto" w:fill="CCECFF"/>
          </w:tcPr>
          <w:p>
            <w:pPr>
              <w:spacing w:after="0"/>
              <w:rPr>
                <w:sz w:val="15"/>
                <w:szCs w:val="15"/>
                <w:color w:val="auto"/>
              </w:rPr>
            </w:pPr>
          </w:p>
        </w:tc>
      </w:tr>
      <w:tr>
        <w:trPr>
          <w:trHeight w:val="175"/>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100" w:type="dxa"/>
            <w:vAlign w:val="bottom"/>
          </w:tcPr>
          <w:p>
            <w:pPr>
              <w:spacing w:after="0"/>
              <w:rPr>
                <w:sz w:val="15"/>
                <w:szCs w:val="15"/>
                <w:color w:val="auto"/>
              </w:rPr>
            </w:pPr>
          </w:p>
        </w:tc>
      </w:tr>
      <w:tr>
        <w:trPr>
          <w:trHeight w:val="175"/>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Receivable for investment sold</w:t>
            </w:r>
          </w:p>
        </w:tc>
        <w:tc>
          <w:tcPr>
            <w:tcW w:w="1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94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shd w:val="clear" w:color="auto" w:fill="CCECFF"/>
          </w:tcPr>
          <w:p>
            <w:pPr>
              <w:spacing w:after="0"/>
              <w:rPr>
                <w:sz w:val="15"/>
                <w:szCs w:val="15"/>
                <w:color w:val="auto"/>
              </w:rPr>
            </w:pPr>
          </w:p>
        </w:tc>
      </w:tr>
      <w:tr>
        <w:trPr>
          <w:trHeight w:val="175"/>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100" w:type="dxa"/>
            <w:vAlign w:val="bottom"/>
          </w:tcPr>
          <w:p>
            <w:pPr>
              <w:spacing w:after="0"/>
              <w:rPr>
                <w:sz w:val="15"/>
                <w:szCs w:val="15"/>
                <w:color w:val="auto"/>
              </w:rPr>
            </w:pPr>
          </w:p>
        </w:tc>
      </w:tr>
      <w:tr>
        <w:trPr>
          <w:trHeight w:val="169"/>
        </w:trPr>
        <w:tc>
          <w:tcPr>
            <w:tcW w:w="484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30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940" w:type="dxa"/>
            <w:vAlign w:val="bottom"/>
            <w:tcBorders>
              <w:bottom w:val="single" w:sz="8" w:color="auto"/>
            </w:tcBorders>
            <w:shd w:val="clear" w:color="auto" w:fill="CCECFF"/>
          </w:tcPr>
          <w:p>
            <w:pPr>
              <w:spacing w:after="0"/>
              <w:rPr>
                <w:sz w:val="14"/>
                <w:szCs w:val="14"/>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797,386</w:t>
            </w:r>
          </w:p>
        </w:tc>
        <w:tc>
          <w:tcPr>
            <w:tcW w:w="30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796,811</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Credit facility payable</w:t>
            </w:r>
          </w:p>
        </w:tc>
        <w:tc>
          <w:tcPr>
            <w:tcW w:w="1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94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244,800</w:t>
            </w:r>
          </w:p>
        </w:tc>
        <w:tc>
          <w:tcPr>
            <w:tcW w:w="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259,500</w:t>
            </w:r>
          </w:p>
        </w:tc>
        <w:tc>
          <w:tcPr>
            <w:tcW w:w="100" w:type="dxa"/>
            <w:vAlign w:val="bottom"/>
            <w:shd w:val="clear" w:color="auto" w:fill="CCECFF"/>
          </w:tcPr>
          <w:p>
            <w:pPr>
              <w:spacing w:after="0"/>
              <w:rPr>
                <w:sz w:val="15"/>
                <w:szCs w:val="15"/>
                <w:color w:val="auto"/>
              </w:rPr>
            </w:pPr>
          </w:p>
        </w:tc>
      </w:tr>
      <w:tr>
        <w:trPr>
          <w:trHeight w:val="176"/>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 Asset-backed debt, net (par—$246,000)</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243,517</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243,365</w:t>
            </w:r>
          </w:p>
        </w:tc>
        <w:tc>
          <w:tcPr>
            <w:tcW w:w="100" w:type="dxa"/>
            <w:vAlign w:val="bottom"/>
          </w:tcPr>
          <w:p>
            <w:pPr>
              <w:spacing w:after="0"/>
              <w:rPr>
                <w:sz w:val="15"/>
                <w:szCs w:val="15"/>
                <w:color w:val="auto"/>
              </w:rPr>
            </w:pPr>
          </w:p>
        </w:tc>
      </w:tr>
      <w:tr>
        <w:trPr>
          <w:trHeight w:val="176"/>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Notes payable to members</w:t>
            </w:r>
          </w:p>
        </w:tc>
        <w:tc>
          <w:tcPr>
            <w:tcW w:w="1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94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227,850</w:t>
            </w:r>
          </w:p>
        </w:tc>
        <w:tc>
          <w:tcPr>
            <w:tcW w:w="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217,350</w:t>
            </w:r>
          </w:p>
        </w:tc>
        <w:tc>
          <w:tcPr>
            <w:tcW w:w="100" w:type="dxa"/>
            <w:vAlign w:val="bottom"/>
            <w:shd w:val="clear" w:color="auto" w:fill="CCECFF"/>
          </w:tcPr>
          <w:p>
            <w:pPr>
              <w:spacing w:after="0"/>
              <w:rPr>
                <w:sz w:val="15"/>
                <w:szCs w:val="15"/>
                <w:color w:val="auto"/>
              </w:rPr>
            </w:pPr>
          </w:p>
        </w:tc>
      </w:tr>
      <w:tr>
        <w:trPr>
          <w:trHeight w:val="175"/>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14,973</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10,414</w:t>
            </w:r>
          </w:p>
        </w:tc>
        <w:tc>
          <w:tcPr>
            <w:tcW w:w="100" w:type="dxa"/>
            <w:vAlign w:val="bottom"/>
          </w:tcPr>
          <w:p>
            <w:pPr>
              <w:spacing w:after="0"/>
              <w:rPr>
                <w:sz w:val="15"/>
                <w:szCs w:val="15"/>
                <w:color w:val="auto"/>
              </w:rPr>
            </w:pPr>
          </w:p>
        </w:tc>
      </w:tr>
      <w:tr>
        <w:trPr>
          <w:trHeight w:val="175"/>
        </w:trPr>
        <w:tc>
          <w:tcPr>
            <w:tcW w:w="4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notes to members</w:t>
            </w:r>
          </w:p>
        </w:tc>
        <w:tc>
          <w:tcPr>
            <w:tcW w:w="1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94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5,581</w:t>
            </w:r>
          </w:p>
        </w:tc>
        <w:tc>
          <w:tcPr>
            <w:tcW w:w="3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4,719</w:t>
            </w:r>
          </w:p>
        </w:tc>
        <w:tc>
          <w:tcPr>
            <w:tcW w:w="100" w:type="dxa"/>
            <w:vAlign w:val="bottom"/>
            <w:shd w:val="clear" w:color="auto" w:fill="CCECFF"/>
          </w:tcPr>
          <w:p>
            <w:pPr>
              <w:spacing w:after="0"/>
              <w:rPr>
                <w:sz w:val="15"/>
                <w:szCs w:val="15"/>
                <w:color w:val="auto"/>
              </w:rPr>
            </w:pPr>
          </w:p>
        </w:tc>
      </w:tr>
      <w:tr>
        <w:trPr>
          <w:trHeight w:val="176"/>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payable on Credit Facility and asset backed debt</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4,831</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3,817</w:t>
            </w:r>
          </w:p>
        </w:tc>
        <w:tc>
          <w:tcPr>
            <w:tcW w:w="100" w:type="dxa"/>
            <w:vAlign w:val="bottom"/>
          </w:tcPr>
          <w:p>
            <w:pPr>
              <w:spacing w:after="0"/>
              <w:rPr>
                <w:sz w:val="15"/>
                <w:szCs w:val="15"/>
                <w:color w:val="auto"/>
              </w:rPr>
            </w:pPr>
          </w:p>
        </w:tc>
      </w:tr>
      <w:tr>
        <w:trPr>
          <w:trHeight w:val="175"/>
        </w:trPr>
        <w:tc>
          <w:tcPr>
            <w:tcW w:w="4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130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spacing w:after="0"/>
              <w:rPr>
                <w:sz w:val="15"/>
                <w:szCs w:val="15"/>
                <w:color w:val="auto"/>
              </w:rPr>
            </w:pPr>
          </w:p>
        </w:tc>
        <w:tc>
          <w:tcPr>
            <w:tcW w:w="1940" w:type="dxa"/>
            <w:vAlign w:val="bottom"/>
            <w:tcBorders>
              <w:bottom w:val="single" w:sz="8" w:color="auto"/>
            </w:tcBorders>
            <w:shd w:val="clear" w:color="auto" w:fill="CCECFF"/>
          </w:tcPr>
          <w:p>
            <w:pPr>
              <w:spacing w:after="0"/>
              <w:rPr>
                <w:sz w:val="15"/>
                <w:szCs w:val="15"/>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30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spacing w:after="0"/>
              <w:rPr>
                <w:sz w:val="15"/>
                <w:szCs w:val="15"/>
                <w:color w:val="auto"/>
              </w:rPr>
            </w:pPr>
          </w:p>
        </w:tc>
        <w:tc>
          <w:tcPr>
            <w:tcW w:w="1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48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742,191</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740,315</w:t>
            </w:r>
          </w:p>
        </w:tc>
        <w:tc>
          <w:tcPr>
            <w:tcW w:w="100" w:type="dxa"/>
            <w:vAlign w:val="bottom"/>
          </w:tcPr>
          <w:p>
            <w:pPr>
              <w:spacing w:after="0"/>
              <w:rPr>
                <w:sz w:val="14"/>
                <w:szCs w:val="14"/>
                <w:color w:val="auto"/>
              </w:rPr>
            </w:pPr>
          </w:p>
        </w:tc>
      </w:tr>
      <w:tr>
        <w:trPr>
          <w:trHeight w:val="169"/>
        </w:trPr>
        <w:tc>
          <w:tcPr>
            <w:tcW w:w="4840" w:type="dxa"/>
            <w:vAlign w:val="bottom"/>
            <w:tcBorders>
              <w:bottom w:val="single" w:sz="8" w:color="CCECFF"/>
            </w:tcBorders>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Commitments and contingencies </w:t>
            </w:r>
            <w:r>
              <w:rPr>
                <w:rFonts w:ascii="Times New Roman" w:cs="Times New Roman" w:eastAsia="Times New Roman" w:hAnsi="Times New Roman"/>
                <w:sz w:val="19"/>
                <w:szCs w:val="19"/>
                <w:color w:val="auto"/>
                <w:vertAlign w:val="superscript"/>
              </w:rPr>
              <w:t>(1)</w:t>
            </w:r>
          </w:p>
        </w:tc>
        <w:tc>
          <w:tcPr>
            <w:tcW w:w="130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1940" w:type="dxa"/>
            <w:vAlign w:val="bottom"/>
            <w:tcBorders>
              <w:bottom w:val="single" w:sz="8" w:color="auto"/>
            </w:tcBorders>
            <w:shd w:val="clear" w:color="auto" w:fill="CCECFF"/>
          </w:tcPr>
          <w:p>
            <w:pPr>
              <w:spacing w:after="0"/>
              <w:rPr>
                <w:sz w:val="14"/>
                <w:szCs w:val="14"/>
                <w:color w:val="auto"/>
              </w:rPr>
            </w:pPr>
          </w:p>
        </w:tc>
        <w:tc>
          <w:tcPr>
            <w:tcW w:w="580" w:type="dxa"/>
            <w:vAlign w:val="bottom"/>
            <w:tcBorders>
              <w:bottom w:val="single" w:sz="8" w:color="auto"/>
            </w:tcBorders>
            <w:shd w:val="clear" w:color="auto" w:fill="CCECFF"/>
          </w:tcPr>
          <w:p>
            <w:pPr>
              <w:spacing w:after="0"/>
              <w:rPr>
                <w:sz w:val="14"/>
                <w:szCs w:val="14"/>
                <w:color w:val="auto"/>
              </w:rPr>
            </w:pPr>
          </w:p>
        </w:tc>
        <w:tc>
          <w:tcPr>
            <w:tcW w:w="30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CCECFF"/>
            </w:tcBorders>
            <w:shd w:val="clear" w:color="auto" w:fill="CCECFF"/>
          </w:tcPr>
          <w:p>
            <w:pPr>
              <w:spacing w:after="0"/>
              <w:rPr>
                <w:sz w:val="14"/>
                <w:szCs w:val="14"/>
                <w:color w:val="auto"/>
              </w:rPr>
            </w:pPr>
          </w:p>
        </w:tc>
        <w:tc>
          <w:tcPr>
            <w:tcW w:w="1860" w:type="dxa"/>
            <w:vAlign w:val="bottom"/>
            <w:tcBorders>
              <w:bottom w:val="single" w:sz="8" w:color="auto"/>
            </w:tcBorders>
            <w:shd w:val="clear" w:color="auto" w:fill="CCECFF"/>
          </w:tcPr>
          <w:p>
            <w:pPr>
              <w:spacing w:after="0"/>
              <w:rPr>
                <w:sz w:val="14"/>
                <w:szCs w:val="14"/>
                <w:color w:val="auto"/>
              </w:rPr>
            </w:pP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48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55,195</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56,496</w:t>
            </w:r>
          </w:p>
        </w:tc>
        <w:tc>
          <w:tcPr>
            <w:tcW w:w="100" w:type="dxa"/>
            <w:vAlign w:val="bottom"/>
          </w:tcPr>
          <w:p>
            <w:pPr>
              <w:spacing w:after="0"/>
              <w:rPr>
                <w:sz w:val="14"/>
                <w:szCs w:val="14"/>
                <w:color w:val="auto"/>
              </w:rPr>
            </w:pPr>
          </w:p>
        </w:tc>
      </w:tr>
      <w:tr>
        <w:trPr>
          <w:trHeight w:val="209"/>
        </w:trPr>
        <w:tc>
          <w:tcPr>
            <w:tcW w:w="484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130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Borders>
              <w:bottom w:val="single" w:sz="8" w:color="auto"/>
            </w:tcBorders>
            <w:shd w:val="clear" w:color="auto" w:fill="CCECFF"/>
          </w:tcPr>
          <w:p>
            <w:pPr>
              <w:spacing w:after="0"/>
              <w:rPr>
                <w:sz w:val="18"/>
                <w:szCs w:val="18"/>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797,386</w:t>
            </w:r>
          </w:p>
        </w:tc>
        <w:tc>
          <w:tcPr>
            <w:tcW w:w="30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796,811</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362"/>
        </w:trPr>
        <w:tc>
          <w:tcPr>
            <w:tcW w:w="4840" w:type="dxa"/>
            <w:vAlign w:val="bottom"/>
          </w:tcPr>
          <w:p>
            <w:pPr>
              <w:spacing w:after="0"/>
              <w:rPr>
                <w:sz w:val="24"/>
                <w:szCs w:val="24"/>
                <w:color w:val="auto"/>
              </w:rPr>
            </w:pPr>
          </w:p>
        </w:tc>
        <w:tc>
          <w:tcPr>
            <w:tcW w:w="13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51</w:t>
            </w: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8"/>
        </w:trPr>
        <w:tc>
          <w:tcPr>
            <w:tcW w:w="48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-1722120</wp:posOffset>
            </wp:positionV>
            <wp:extent cx="68580" cy="1200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1200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-822325</wp:posOffset>
            </wp:positionV>
            <wp:extent cx="68580" cy="128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1289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-582295</wp:posOffset>
            </wp:positionV>
            <wp:extent cx="68580"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-342265</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-325120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3" w:right="339" w:bottom="1440" w:gutter="0" w:footer="0" w:header="0"/>
        </w:sectPr>
      </w:pPr>
    </w:p>
    <w:bookmarkStart w:id="51" w:name="page52"/>
    <w:bookmarkEnd w:id="51"/>
    <w:p>
      <w:pPr>
        <w:ind w:left="160" w:hanging="152"/>
        <w:spacing w:after="0"/>
        <w:tabs>
          <w:tab w:leader="none" w:pos="160" w:val="left"/>
        </w:tabs>
        <w:numPr>
          <w:ilvl w:val="0"/>
          <w:numId w:val="26"/>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11"/>
          <w:szCs w:val="11"/>
          <w:color w:val="auto"/>
        </w:rPr>
        <w:t>As of December 31, 2022 and September 30, 2022, PSSL had unfunded commitments to fund investments of $3.9 million and $0.6 million, respectively.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consolidated statements of operations for PSSL ($ in thousands):</w:t>
            </w:r>
          </w:p>
        </w:tc>
        <w:tc>
          <w:tcPr>
            <w:tcW w:w="3500" w:type="dxa"/>
            <w:vAlign w:val="bottom"/>
            <w:gridSpan w:val="4"/>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040" w:type="dxa"/>
            <w:vAlign w:val="bottom"/>
          </w:tcPr>
          <w:p>
            <w:pPr>
              <w:spacing w:after="0"/>
              <w:rPr>
                <w:sz w:val="12"/>
                <w:szCs w:val="12"/>
                <w:color w:val="auto"/>
              </w:rPr>
            </w:pPr>
          </w:p>
        </w:tc>
        <w:tc>
          <w:tcPr>
            <w:tcW w:w="350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040" w:type="dxa"/>
            <w:vAlign w:val="bottom"/>
          </w:tcPr>
          <w:p>
            <w:pPr>
              <w:spacing w:after="0"/>
              <w:rPr>
                <w:sz w:val="16"/>
                <w:szCs w:val="16"/>
                <w:color w:val="auto"/>
              </w:rPr>
            </w:pPr>
          </w:p>
        </w:tc>
        <w:tc>
          <w:tcPr>
            <w:tcW w:w="13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134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13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19,617</w:t>
            </w:r>
          </w:p>
        </w:tc>
        <w:tc>
          <w:tcPr>
            <w:tcW w:w="280" w:type="dxa"/>
            <w:vAlign w:val="bottom"/>
          </w:tcPr>
          <w:p>
            <w:pPr>
              <w:spacing w:after="0"/>
              <w:rPr>
                <w:sz w:val="15"/>
                <w:szCs w:val="15"/>
                <w:color w:val="auto"/>
              </w:rPr>
            </w:pPr>
          </w:p>
        </w:tc>
        <w:tc>
          <w:tcPr>
            <w:tcW w:w="124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1340" w:type="dxa"/>
            <w:vAlign w:val="bottom"/>
            <w:tcBorders>
              <w:bottom w:val="single" w:sz="8" w:color="auto"/>
            </w:tcBorders>
            <w:shd w:val="clear" w:color="auto" w:fill="CCECFF"/>
          </w:tcPr>
          <w:p>
            <w:pPr>
              <w:spacing w:after="0"/>
              <w:rPr>
                <w:sz w:val="15"/>
                <w:szCs w:val="15"/>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80" w:type="dxa"/>
            <w:vAlign w:val="bottom"/>
            <w:tcBorders>
              <w:bottom w:val="single" w:sz="8" w:color="CCECFF"/>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spacing w:after="0"/>
              <w:rPr>
                <w:sz w:val="15"/>
                <w:szCs w:val="15"/>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1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19,727</w:t>
            </w:r>
          </w:p>
        </w:tc>
        <w:tc>
          <w:tcPr>
            <w:tcW w:w="2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340" w:type="dxa"/>
            <w:vAlign w:val="bottom"/>
            <w:shd w:val="clear" w:color="auto" w:fill="CCECFF"/>
          </w:tcPr>
          <w:p>
            <w:pPr>
              <w:spacing w:after="0"/>
              <w:rPr>
                <w:sz w:val="14"/>
                <w:szCs w:val="14"/>
                <w:color w:val="auto"/>
              </w:rPr>
            </w:pPr>
          </w:p>
        </w:tc>
        <w:tc>
          <w:tcPr>
            <w:tcW w:w="6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and expense on credit facility and asset-backed debt</w:t>
            </w:r>
          </w:p>
        </w:tc>
        <w:tc>
          <w:tcPr>
            <w:tcW w:w="1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8,641</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 expense on notes to members</w:t>
            </w:r>
          </w:p>
        </w:tc>
        <w:tc>
          <w:tcPr>
            <w:tcW w:w="1340" w:type="dxa"/>
            <w:vAlign w:val="bottom"/>
            <w:shd w:val="clear" w:color="auto" w:fill="CCECFF"/>
          </w:tcPr>
          <w:p>
            <w:pPr>
              <w:spacing w:after="0"/>
              <w:rPr>
                <w:sz w:val="15"/>
                <w:szCs w:val="15"/>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6,810</w:t>
            </w:r>
          </w:p>
        </w:tc>
        <w:tc>
          <w:tcPr>
            <w:tcW w:w="280" w:type="dxa"/>
            <w:vAlign w:val="bottom"/>
            <w:shd w:val="clear" w:color="auto" w:fill="CCECFF"/>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3,554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1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340" w:type="dxa"/>
            <w:vAlign w:val="bottom"/>
            <w:tcBorders>
              <w:bottom w:val="single" w:sz="8" w:color="auto"/>
            </w:tcBorders>
            <w:shd w:val="clear" w:color="auto" w:fill="CCECFF"/>
          </w:tcPr>
          <w:p>
            <w:pPr>
              <w:spacing w:after="0"/>
              <w:rPr>
                <w:sz w:val="15"/>
                <w:szCs w:val="15"/>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80" w:type="dxa"/>
            <w:vAlign w:val="bottom"/>
            <w:tcBorders>
              <w:bottom w:val="single" w:sz="8" w:color="CCECFF"/>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spacing w:after="0"/>
              <w:rPr>
                <w:sz w:val="15"/>
                <w:szCs w:val="15"/>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1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16,259</w:t>
            </w:r>
          </w:p>
        </w:tc>
        <w:tc>
          <w:tcPr>
            <w:tcW w:w="2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340" w:type="dxa"/>
            <w:vAlign w:val="bottom"/>
            <w:tcBorders>
              <w:bottom w:val="single" w:sz="8" w:color="auto"/>
            </w:tcBorders>
            <w:shd w:val="clear" w:color="auto" w:fill="CCECFF"/>
          </w:tcPr>
          <w:p>
            <w:pPr>
              <w:spacing w:after="0"/>
              <w:rPr>
                <w:sz w:val="14"/>
                <w:szCs w:val="14"/>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3,468</w:t>
            </w:r>
          </w:p>
        </w:tc>
        <w:tc>
          <w:tcPr>
            <w:tcW w:w="280" w:type="dxa"/>
            <w:vAlign w:val="bottom"/>
            <w:tcBorders>
              <w:bottom w:val="single" w:sz="8" w:color="CCECFF"/>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spacing w:after="0"/>
              <w:rPr>
                <w:sz w:val="14"/>
                <w:szCs w:val="14"/>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4,505</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unrealized gain (loss) on investments and credit facility foreign currency translation:</w:t>
            </w: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realized gain (loss) on:</w:t>
            </w:r>
          </w:p>
        </w:tc>
        <w:tc>
          <w:tcPr>
            <w:tcW w:w="1340" w:type="dxa"/>
            <w:vAlign w:val="bottom"/>
            <w:shd w:val="clear" w:color="auto" w:fill="CCECFF"/>
          </w:tcPr>
          <w:p>
            <w:pPr>
              <w:spacing w:after="0"/>
              <w:rPr>
                <w:sz w:val="15"/>
                <w:szCs w:val="15"/>
                <w:color w:val="auto"/>
              </w:rPr>
            </w:pPr>
          </w:p>
        </w:tc>
        <w:tc>
          <w:tcPr>
            <w:tcW w:w="6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Investments</w:t>
            </w:r>
          </w:p>
        </w:tc>
        <w:tc>
          <w:tcPr>
            <w:tcW w:w="1340" w:type="dxa"/>
            <w:vAlign w:val="bottom"/>
          </w:tcPr>
          <w:p>
            <w:pPr>
              <w:spacing w:after="0"/>
              <w:rPr>
                <w:sz w:val="15"/>
                <w:szCs w:val="15"/>
                <w:color w:val="auto"/>
              </w:rPr>
            </w:pP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(60 )</w:t>
            </w:r>
          </w:p>
        </w:tc>
        <w:tc>
          <w:tcPr>
            <w:tcW w:w="124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(348 )</w:t>
            </w:r>
          </w:p>
        </w:tc>
        <w:tc>
          <w:tcPr>
            <w:tcW w:w="0" w:type="dxa"/>
            <w:vAlign w:val="bottom"/>
          </w:tcPr>
          <w:p>
            <w:pPr>
              <w:spacing w:after="0"/>
              <w:rPr>
                <w:sz w:val="1"/>
                <w:szCs w:val="1"/>
                <w:color w:val="auto"/>
              </w:rPr>
            </w:pPr>
          </w:p>
        </w:tc>
      </w:tr>
      <w:tr>
        <w:trPr>
          <w:trHeight w:val="176"/>
        </w:trPr>
        <w:tc>
          <w:tcPr>
            <w:tcW w:w="70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Credit facility foreign currency translation</w:t>
            </w:r>
          </w:p>
        </w:tc>
        <w:tc>
          <w:tcPr>
            <w:tcW w:w="1340" w:type="dxa"/>
            <w:vAlign w:val="bottom"/>
            <w:shd w:val="clear" w:color="auto" w:fill="CCECFF"/>
          </w:tcPr>
          <w:p>
            <w:pPr>
              <w:spacing w:after="0"/>
              <w:rPr>
                <w:sz w:val="15"/>
                <w:szCs w:val="15"/>
                <w:color w:val="auto"/>
              </w:rPr>
            </w:pPr>
          </w:p>
        </w:tc>
        <w:tc>
          <w:tcPr>
            <w:tcW w:w="92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(10 )</w:t>
            </w:r>
          </w:p>
        </w:tc>
        <w:tc>
          <w:tcPr>
            <w:tcW w:w="124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w:t>
            </w: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Investments</w:t>
            </w:r>
          </w:p>
        </w:tc>
        <w:tc>
          <w:tcPr>
            <w:tcW w:w="1340" w:type="dxa"/>
            <w:vAlign w:val="bottom"/>
            <w:shd w:val="clear" w:color="auto" w:fill="CCECFF"/>
          </w:tcPr>
          <w:p>
            <w:pPr>
              <w:spacing w:after="0"/>
              <w:rPr>
                <w:sz w:val="15"/>
                <w:szCs w:val="15"/>
                <w:color w:val="auto"/>
              </w:rPr>
            </w:pPr>
          </w:p>
        </w:tc>
        <w:tc>
          <w:tcPr>
            <w:tcW w:w="92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(5,800 )</w:t>
            </w:r>
          </w:p>
        </w:tc>
        <w:tc>
          <w:tcPr>
            <w:tcW w:w="124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(3,204 )</w:t>
            </w:r>
          </w:p>
        </w:tc>
        <w:tc>
          <w:tcPr>
            <w:tcW w:w="0" w:type="dxa"/>
            <w:vAlign w:val="bottom"/>
          </w:tcPr>
          <w:p>
            <w:pPr>
              <w:spacing w:after="0"/>
              <w:rPr>
                <w:sz w:val="1"/>
                <w:szCs w:val="1"/>
                <w:color w:val="auto"/>
              </w:rPr>
            </w:pPr>
          </w:p>
        </w:tc>
      </w:tr>
      <w:tr>
        <w:trPr>
          <w:trHeight w:val="176"/>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Credit facility foreign currency translation</w:t>
            </w:r>
          </w:p>
        </w:tc>
        <w:tc>
          <w:tcPr>
            <w:tcW w:w="1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7040" w:type="dxa"/>
            <w:vAlign w:val="bottom"/>
            <w:shd w:val="clear" w:color="auto" w:fill="CCECFF"/>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 investments and credit facility foreign currency</w:t>
            </w:r>
          </w:p>
        </w:tc>
        <w:tc>
          <w:tcPr>
            <w:tcW w:w="1340" w:type="dxa"/>
            <w:vAlign w:val="bottom"/>
            <w:shd w:val="clear" w:color="auto" w:fill="CCECFF"/>
          </w:tcPr>
          <w:p>
            <w:pPr>
              <w:spacing w:after="0"/>
              <w:rPr>
                <w:sz w:val="11"/>
                <w:szCs w:val="11"/>
                <w:color w:val="auto"/>
              </w:rPr>
            </w:pPr>
          </w:p>
        </w:tc>
        <w:tc>
          <w:tcPr>
            <w:tcW w:w="920" w:type="dxa"/>
            <w:vAlign w:val="bottom"/>
            <w:gridSpan w:val="2"/>
            <w:vMerge w:val="restart"/>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(5,800 )</w:t>
            </w:r>
          </w:p>
        </w:tc>
        <w:tc>
          <w:tcPr>
            <w:tcW w:w="1240" w:type="dxa"/>
            <w:vAlign w:val="bottom"/>
            <w:shd w:val="clear" w:color="auto" w:fill="CCECFF"/>
          </w:tcPr>
          <w:p>
            <w:pPr>
              <w:spacing w:after="0"/>
              <w:rPr>
                <w:sz w:val="11"/>
                <w:szCs w:val="11"/>
                <w:color w:val="auto"/>
              </w:rPr>
            </w:pPr>
          </w:p>
        </w:tc>
        <w:tc>
          <w:tcPr>
            <w:tcW w:w="700" w:type="dxa"/>
            <w:vAlign w:val="bottom"/>
            <w:gridSpan w:val="2"/>
            <w:vMerge w:val="restart"/>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(3,204 )</w:t>
            </w:r>
          </w:p>
        </w:tc>
        <w:tc>
          <w:tcPr>
            <w:tcW w:w="0" w:type="dxa"/>
            <w:vAlign w:val="bottom"/>
          </w:tcPr>
          <w:p>
            <w:pPr>
              <w:spacing w:after="0"/>
              <w:rPr>
                <w:sz w:val="1"/>
                <w:szCs w:val="1"/>
                <w:color w:val="auto"/>
              </w:rPr>
            </w:pPr>
          </w:p>
        </w:tc>
      </w:tr>
      <w:tr>
        <w:trPr>
          <w:trHeight w:val="173"/>
        </w:trPr>
        <w:tc>
          <w:tcPr>
            <w:tcW w:w="70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translations</w:t>
            </w:r>
          </w:p>
        </w:tc>
        <w:tc>
          <w:tcPr>
            <w:tcW w:w="1340" w:type="dxa"/>
            <w:vAlign w:val="bottom"/>
            <w:shd w:val="clear" w:color="auto" w:fill="CCECFF"/>
          </w:tcPr>
          <w:p>
            <w:pPr>
              <w:spacing w:after="0"/>
              <w:rPr>
                <w:sz w:val="15"/>
                <w:szCs w:val="15"/>
                <w:color w:val="auto"/>
              </w:rPr>
            </w:pPr>
          </w:p>
        </w:tc>
        <w:tc>
          <w:tcPr>
            <w:tcW w:w="920" w:type="dxa"/>
            <w:vAlign w:val="bottom"/>
            <w:gridSpan w:val="2"/>
            <w:vMerge w:val="continue"/>
            <w:shd w:val="clear" w:color="auto" w:fill="CCECFF"/>
          </w:tcPr>
          <w:p>
            <w:pPr>
              <w:spacing w:after="0"/>
              <w:rPr>
                <w:sz w:val="15"/>
                <w:szCs w:val="15"/>
                <w:color w:val="auto"/>
              </w:rPr>
            </w:pPr>
          </w:p>
        </w:tc>
        <w:tc>
          <w:tcPr>
            <w:tcW w:w="1240" w:type="dxa"/>
            <w:vAlign w:val="bottom"/>
            <w:shd w:val="clear" w:color="auto" w:fill="CCECFF"/>
          </w:tcPr>
          <w:p>
            <w:pPr>
              <w:spacing w:after="0"/>
              <w:rPr>
                <w:sz w:val="15"/>
                <w:szCs w:val="15"/>
                <w:color w:val="auto"/>
              </w:rPr>
            </w:pPr>
          </w:p>
        </w:tc>
        <w:tc>
          <w:tcPr>
            <w:tcW w:w="700" w:type="dxa"/>
            <w:vAlign w:val="bottom"/>
            <w:gridSpan w:val="2"/>
            <w:vMerge w:val="continue"/>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40" w:type="dxa"/>
            <w:vAlign w:val="bottom"/>
            <w:shd w:val="clear" w:color="auto" w:fill="CCEC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realized and unrealized gain (loss) from investments and credit facility foreign currency translations</w:t>
            </w:r>
          </w:p>
        </w:tc>
        <w:tc>
          <w:tcPr>
            <w:tcW w:w="1340" w:type="dxa"/>
            <w:vAlign w:val="bottom"/>
          </w:tcPr>
          <w:p>
            <w:pPr>
              <w:spacing w:after="0"/>
              <w:rPr>
                <w:sz w:val="14"/>
                <w:szCs w:val="14"/>
                <w:color w:val="auto"/>
              </w:rPr>
            </w:pP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(5,870 )</w:t>
            </w:r>
          </w:p>
        </w:tc>
        <w:tc>
          <w:tcPr>
            <w:tcW w:w="12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(3,552 )</w:t>
            </w:r>
          </w:p>
        </w:tc>
        <w:tc>
          <w:tcPr>
            <w:tcW w:w="0" w:type="dxa"/>
            <w:vAlign w:val="bottom"/>
          </w:tcPr>
          <w:p>
            <w:pPr>
              <w:spacing w:after="0"/>
              <w:rPr>
                <w:sz w:val="1"/>
                <w:szCs w:val="1"/>
                <w:color w:val="auto"/>
              </w:rPr>
            </w:pPr>
          </w:p>
        </w:tc>
      </w:tr>
      <w:tr>
        <w:trPr>
          <w:trHeight w:val="182"/>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members' equity resulting from operations</w:t>
            </w:r>
          </w:p>
        </w:tc>
        <w:tc>
          <w:tcPr>
            <w:tcW w:w="1340" w:type="dxa"/>
            <w:vAlign w:val="bottom"/>
            <w:tcBorders>
              <w:top w:val="single" w:sz="8" w:color="auto"/>
            </w:tcBorders>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4"/>
              </w:rPr>
              <w:t>)</w:t>
            </w:r>
          </w:p>
        </w:tc>
        <w:tc>
          <w:tcPr>
            <w:tcW w:w="1240" w:type="dxa"/>
            <w:vAlign w:val="bottom"/>
            <w:tcBorders>
              <w:top w:val="single" w:sz="8" w:color="auto"/>
            </w:tcBorders>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-2167890</wp:posOffset>
            </wp:positionV>
            <wp:extent cx="68580"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-1482090</wp:posOffset>
            </wp:positionV>
            <wp:extent cx="68580" cy="1289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128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-1242060</wp:posOffset>
            </wp:positionV>
            <wp:extent cx="68580" cy="1200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1200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2654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380" w:hanging="372"/>
        <w:spacing w:after="0" w:line="229" w:lineRule="auto"/>
        <w:tabs>
          <w:tab w:leader="none" w:pos="380" w:val="left"/>
        </w:tabs>
        <w:numPr>
          <w:ilvl w:val="0"/>
          <w:numId w:val="2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Currently, no management or incentive fees are payable by PSSL. If any fees were to be charged, they would be separately disclosed in the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Arrangements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currently engage in no off-balance sheet arrangements other than our funding requirements for the unfunded investments described above.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w:t>
      </w:r>
    </w:p>
    <w:p>
      <w:pPr>
        <w:spacing w:after="0" w:line="140"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09"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federal excise tax imposed on RICs, we must distribute dividends for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0" w:lineRule="exact"/>
        <w:rPr>
          <w:sz w:val="20"/>
          <w:szCs w:val="20"/>
          <w:color w:val="auto"/>
        </w:rPr>
      </w:pPr>
    </w:p>
    <w:p>
      <w:pPr>
        <w:jc w:val="both"/>
        <w:ind w:firstLine="449"/>
        <w:spacing w:after="0"/>
        <w:rPr>
          <w:sz w:val="20"/>
          <w:szCs w:val="20"/>
          <w:color w:val="auto"/>
        </w:rPr>
      </w:pPr>
      <w:r>
        <w:rPr>
          <w:rFonts w:ascii="Times New Roman" w:cs="Times New Roman" w:eastAsia="Times New Roman" w:hAnsi="Times New Roman"/>
          <w:sz w:val="14"/>
          <w:szCs w:val="14"/>
          <w:color w:val="auto"/>
        </w:rPr>
        <w:t>During the three months ended December 31, 2022 and 2021, we declared distributions of $0.285 per share for total distributions of $12.9 million and $0.285 per share for total distributions of $11.1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intend to continue to make monthly distributions to our stockholders. Our monthly distributions, if any, are determined by our board of directors quarterly.</w:t>
      </w:r>
    </w:p>
    <w:p>
      <w:pPr>
        <w:spacing w:after="0" w:line="136"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40"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utilized the optional expedients and exceptions provided by ASU 2020-04 during the year ended September 30, 2022, the effect of which was not material to the consolidated financial statements and the notes thereto.</w:t>
      </w:r>
    </w:p>
    <w:p>
      <w:pPr>
        <w:spacing w:after="0" w:line="177" w:lineRule="exact"/>
        <w:rPr>
          <w:sz w:val="20"/>
          <w:szCs w:val="20"/>
          <w:color w:val="auto"/>
        </w:rPr>
      </w:pPr>
    </w:p>
    <w:p>
      <w:pPr>
        <w:jc w:val="both"/>
        <w:ind w:firstLine="449"/>
        <w:spacing w:after="0" w:line="225" w:lineRule="auto"/>
        <w:rPr>
          <w:sz w:val="20"/>
          <w:szCs w:val="20"/>
          <w:color w:val="auto"/>
        </w:rPr>
      </w:pPr>
      <w:r>
        <w:rPr>
          <w:rFonts w:ascii="Times New Roman" w:cs="Times New Roman" w:eastAsia="Times New Roman" w:hAnsi="Times New Roman"/>
          <w:sz w:val="14"/>
          <w:szCs w:val="14"/>
          <w:color w:val="auto"/>
        </w:rPr>
        <w:t>In March 2022, the FASB issued ASU No.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is currently evaluating the impact the adoption of this new accounting standard will have on its consolidated financial statements, but the impact of the adoption is not expected to be material.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2" w:name="page53"/>
    <w:bookmarkEnd w:id="52"/>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In June 2022, the FASB issued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38" w:lineRule="exact"/>
        <w:rPr>
          <w:sz w:val="20"/>
          <w:szCs w:val="20"/>
          <w:color w:val="auto"/>
        </w:rPr>
      </w:pPr>
    </w:p>
    <w:p>
      <w:pPr>
        <w:ind w:right="360" w:firstLine="449"/>
        <w:spacing w:after="0" w:line="261" w:lineRule="auto"/>
        <w:rPr>
          <w:sz w:val="20"/>
          <w:szCs w:val="20"/>
          <w:color w:val="auto"/>
        </w:rPr>
      </w:pPr>
      <w:r>
        <w:rPr>
          <w:rFonts w:ascii="Times New Roman" w:cs="Times New Roman" w:eastAsia="Times New Roman" w:hAnsi="Times New Roman"/>
          <w:sz w:val="14"/>
          <w:szCs w:val="14"/>
          <w:color w:val="auto"/>
        </w:rPr>
        <w:t>In connection with our January 23, 2023 public offering, we issued approximately 4.3 million shares of common stock resulting in net proceeds exclusive of offering expenses to the Company of approximately $47.6 million, or $11.20 per share.</w:t>
      </w:r>
    </w:p>
    <w:p>
      <w:pPr>
        <w:spacing w:after="0" w:line="163" w:lineRule="exact"/>
        <w:rPr>
          <w:sz w:val="20"/>
          <w:szCs w:val="20"/>
          <w:color w:val="auto"/>
        </w:rPr>
      </w:pPr>
    </w:p>
    <w:p>
      <w:pPr>
        <w:jc w:val="both"/>
        <w:ind w:right="60" w:firstLine="449"/>
        <w:spacing w:after="0" w:line="241" w:lineRule="auto"/>
        <w:rPr>
          <w:sz w:val="20"/>
          <w:szCs w:val="20"/>
          <w:color w:val="auto"/>
        </w:rPr>
      </w:pPr>
      <w:r>
        <w:rPr>
          <w:rFonts w:ascii="Times New Roman" w:cs="Times New Roman" w:eastAsia="Times New Roman" w:hAnsi="Times New Roman"/>
          <w:sz w:val="14"/>
          <w:szCs w:val="14"/>
          <w:color w:val="auto"/>
        </w:rPr>
        <w:t>The Adviser, has agreed to pay the underwriters a supplemental payment of $0.10 per share, which reflects the difference between the public offering price of $11.10 and the net proceeds of $11.20 per share received by the Company in this offering. In addition, the Adviser has agreed to bear the sales load payable to the underwriters. The Company is not obligated to repay either the supplemental payment or the sales load paid by the Adviser.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38" w:lineRule="exact"/>
        <w:rPr>
          <w:sz w:val="20"/>
          <w:szCs w:val="20"/>
          <w:color w:val="auto"/>
        </w:rPr>
      </w:pPr>
    </w:p>
    <w:p>
      <w:pPr>
        <w:jc w:val="both"/>
        <w:ind w:firstLine="449"/>
        <w:spacing w:after="0" w:line="233" w:lineRule="auto"/>
        <w:rPr>
          <w:sz w:val="20"/>
          <w:szCs w:val="20"/>
          <w:color w:val="auto"/>
        </w:rPr>
      </w:pPr>
      <w:r>
        <w:rPr>
          <w:rFonts w:ascii="Times New Roman" w:cs="Times New Roman" w:eastAsia="Times New Roman" w:hAnsi="Times New Roman"/>
          <w:sz w:val="14"/>
          <w:szCs w:val="14"/>
          <w:color w:val="auto"/>
        </w:rPr>
        <w:t>We are subject to financial market risks, including changes in interest rates. As of December 31, 2022, our debt portfolio consisted of 100.0% variable-rate investments. The variable-rate loans are usually based on a SOFR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0"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2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80" w:type="dxa"/>
            <w:vAlign w:val="bottom"/>
            <w:gridSpan w:val="2"/>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c>
          <w:tcPr>
            <w:tcW w:w="0" w:type="dxa"/>
            <w:vAlign w:val="bottom"/>
          </w:tcPr>
          <w:p>
            <w:pPr>
              <w:spacing w:after="0"/>
              <w:rPr>
                <w:sz w:val="1"/>
                <w:szCs w:val="1"/>
                <w:color w:val="auto"/>
              </w:rPr>
            </w:pPr>
          </w:p>
        </w:tc>
      </w:tr>
      <w:tr>
        <w:trPr>
          <w:trHeight w:val="148"/>
        </w:trPr>
        <w:tc>
          <w:tcPr>
            <w:tcW w:w="3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Interest Rates</w:t>
            </w:r>
          </w:p>
        </w:tc>
        <w:tc>
          <w:tcPr>
            <w:tcW w:w="240" w:type="dxa"/>
            <w:vAlign w:val="bottom"/>
          </w:tcPr>
          <w:p>
            <w:pPr>
              <w:spacing w:after="0"/>
              <w:rPr>
                <w:sz w:val="12"/>
                <w:szCs w:val="12"/>
                <w:color w:val="auto"/>
              </w:rPr>
            </w:pPr>
          </w:p>
        </w:tc>
        <w:tc>
          <w:tcPr>
            <w:tcW w:w="2820" w:type="dxa"/>
            <w:vAlign w:val="bottom"/>
          </w:tcPr>
          <w:p>
            <w:pPr>
              <w:jc w:val="center"/>
              <w:ind w:left="608"/>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 Expense</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80" w:type="dxa"/>
            <w:vAlign w:val="bottom"/>
            <w:gridSpan w:val="2"/>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w:t>
            </w:r>
          </w:p>
        </w:tc>
        <w:tc>
          <w:tcPr>
            <w:tcW w:w="0" w:type="dxa"/>
            <w:vAlign w:val="bottom"/>
          </w:tcPr>
          <w:p>
            <w:pPr>
              <w:spacing w:after="0"/>
              <w:rPr>
                <w:sz w:val="1"/>
                <w:szCs w:val="1"/>
                <w:color w:val="auto"/>
              </w:rPr>
            </w:pPr>
          </w:p>
        </w:tc>
      </w:tr>
      <w:tr>
        <w:trPr>
          <w:trHeight w:val="187"/>
        </w:trPr>
        <w:tc>
          <w:tcPr>
            <w:tcW w:w="3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80" w:type="dxa"/>
            <w:vAlign w:val="bottom"/>
            <w:gridSpan w:val="2"/>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Expense Per Share</w:t>
            </w:r>
          </w:p>
        </w:tc>
        <w:tc>
          <w:tcPr>
            <w:tcW w:w="0" w:type="dxa"/>
            <w:vAlign w:val="bottom"/>
          </w:tcPr>
          <w:p>
            <w:pPr>
              <w:spacing w:after="0"/>
              <w:rPr>
                <w:sz w:val="1"/>
                <w:szCs w:val="1"/>
                <w:color w:val="auto"/>
              </w:rPr>
            </w:pPr>
          </w:p>
        </w:tc>
      </w:tr>
      <w:tr>
        <w:trPr>
          <w:trHeight w:val="169"/>
        </w:trPr>
        <w:tc>
          <w:tcPr>
            <w:tcW w:w="35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Down 1%</w:t>
            </w:r>
          </w:p>
        </w:tc>
        <w:tc>
          <w:tcPr>
            <w:tcW w:w="240" w:type="dxa"/>
            <w:vAlign w:val="bottom"/>
            <w:shd w:val="clear" w:color="auto" w:fill="CCECFF"/>
          </w:tcPr>
          <w:p>
            <w:pPr>
              <w:spacing w:after="0"/>
              <w:rPr>
                <w:sz w:val="14"/>
                <w:szCs w:val="14"/>
                <w:color w:val="auto"/>
              </w:rPr>
            </w:pPr>
          </w:p>
        </w:tc>
        <w:tc>
          <w:tcPr>
            <w:tcW w:w="2820" w:type="dxa"/>
            <w:vAlign w:val="bottom"/>
            <w:tcBorders>
              <w:top w:val="single" w:sz="8" w:color="auto"/>
            </w:tcBorders>
            <w:shd w:val="clear" w:color="auto" w:fill="CCECFF"/>
          </w:tcPr>
          <w:p>
            <w:pPr>
              <w:jc w:val="right"/>
              <w:ind w:right="26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(6,141</w:t>
            </w:r>
          </w:p>
        </w:tc>
        <w:tc>
          <w:tcPr>
            <w:tcW w:w="36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Borders>
              <w:top w:val="single" w:sz="8" w:color="auto"/>
            </w:tcBorders>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29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5"/>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1%</w:t>
            </w:r>
          </w:p>
        </w:tc>
        <w:tc>
          <w:tcPr>
            <w:tcW w:w="2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6,457</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Up 2%</w:t>
            </w:r>
          </w:p>
        </w:tc>
        <w:tc>
          <w:tcPr>
            <w:tcW w:w="240" w:type="dxa"/>
            <w:vAlign w:val="bottom"/>
            <w:shd w:val="clear" w:color="auto" w:fill="CCECFF"/>
          </w:tcPr>
          <w:p>
            <w:pPr>
              <w:spacing w:after="0"/>
              <w:rPr>
                <w:sz w:val="15"/>
                <w:szCs w:val="15"/>
                <w:color w:val="auto"/>
              </w:rPr>
            </w:pPr>
          </w:p>
        </w:tc>
        <w:tc>
          <w:tcPr>
            <w:tcW w:w="282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12,756</w:t>
            </w:r>
          </w:p>
        </w:tc>
        <w:tc>
          <w:tcPr>
            <w:tcW w:w="36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3%</w:t>
            </w:r>
          </w:p>
        </w:tc>
        <w:tc>
          <w:tcPr>
            <w:tcW w:w="2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19,055</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Up 4%</w:t>
            </w:r>
          </w:p>
        </w:tc>
        <w:tc>
          <w:tcPr>
            <w:tcW w:w="240" w:type="dxa"/>
            <w:vAlign w:val="bottom"/>
            <w:shd w:val="clear" w:color="auto" w:fill="CCECFF"/>
          </w:tcPr>
          <w:p>
            <w:pPr>
              <w:spacing w:after="0"/>
              <w:rPr>
                <w:sz w:val="15"/>
                <w:szCs w:val="15"/>
                <w:color w:val="auto"/>
              </w:rPr>
            </w:pPr>
          </w:p>
        </w:tc>
        <w:tc>
          <w:tcPr>
            <w:tcW w:w="2820" w:type="dxa"/>
            <w:vAlign w:val="bottom"/>
            <w:shd w:val="clear" w:color="auto" w:fill="CCECFF"/>
          </w:tcPr>
          <w:p>
            <w:pPr>
              <w:spacing w:after="0"/>
              <w:rPr>
                <w:sz w:val="15"/>
                <w:szCs w:val="15"/>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25,354</w:t>
            </w:r>
          </w:p>
        </w:tc>
        <w:tc>
          <w:tcPr>
            <w:tcW w:w="36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2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09" w:lineRule="exact"/>
        <w:rPr>
          <w:sz w:val="20"/>
          <w:szCs w:val="20"/>
          <w:color w:val="auto"/>
        </w:rPr>
      </w:pPr>
    </w:p>
    <w:p>
      <w:pPr>
        <w:jc w:val="both"/>
        <w:ind w:firstLine="449"/>
        <w:spacing w:after="0" w:line="241" w:lineRule="auto"/>
        <w:rPr>
          <w:sz w:val="20"/>
          <w:szCs w:val="20"/>
          <w:color w:val="auto"/>
        </w:rPr>
      </w:pPr>
      <w:r>
        <w:rPr>
          <w:rFonts w:ascii="Times New Roman" w:cs="Times New Roman" w:eastAsia="Times New Roman" w:hAnsi="Times New Roman"/>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09" w:lineRule="exact"/>
        <w:rPr>
          <w:sz w:val="20"/>
          <w:szCs w:val="20"/>
          <w:color w:val="auto"/>
        </w:rPr>
      </w:pPr>
    </w:p>
    <w:p>
      <w:pPr>
        <w:jc w:val="both"/>
        <w:ind w:firstLine="449"/>
        <w:spacing w:after="0" w:line="236" w:lineRule="auto"/>
        <w:rPr>
          <w:sz w:val="20"/>
          <w:szCs w:val="20"/>
          <w:color w:val="auto"/>
        </w:rPr>
      </w:pPr>
      <w:r>
        <w:rPr>
          <w:rFonts w:ascii="Times New Roman" w:cs="Times New Roman" w:eastAsia="Times New Roman" w:hAnsi="Times New Roman"/>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38"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As disclosed in our Annual Report on Form 10-K for the fiscal year ended September 30, 2022, a material weakness was previously identified in connection with our internal control over financial reporting relating to procedures ensuring the timely transmission of portfolio company financial information to our independent valuation service providers. We have taken steps to remediate this material weakness, which stepshave included (i) enhancing existing controls to ensure the timely transmission of all relevant portfolio company financial information to our independent service providers and (ii) enhancing policies and procedures to demonstrate a commitment to improving our overall control environment.</w:t>
      </w:r>
    </w:p>
    <w:p>
      <w:pPr>
        <w:spacing w:after="0" w:line="110" w:lineRule="exact"/>
        <w:rPr>
          <w:sz w:val="20"/>
          <w:szCs w:val="20"/>
          <w:color w:val="auto"/>
        </w:rPr>
      </w:pPr>
    </w:p>
    <w:p>
      <w:pPr>
        <w:jc w:val="both"/>
        <w:ind w:firstLine="449"/>
        <w:spacing w:after="0" w:line="231" w:lineRule="auto"/>
        <w:rPr>
          <w:sz w:val="20"/>
          <w:szCs w:val="20"/>
          <w:color w:val="auto"/>
        </w:rPr>
      </w:pPr>
      <w:r>
        <w:rPr>
          <w:rFonts w:ascii="Times New Roman" w:cs="Times New Roman" w:eastAsia="Times New Roman" w:hAnsi="Times New Roman"/>
          <w:sz w:val="14"/>
          <w:szCs w:val="14"/>
          <w:color w:val="auto"/>
        </w:rPr>
        <w:t>Taking the above efforts into consideration, our management, including the Chief Executive Officer and Chief Financial Officer, concluded that our disclosure controls and procedures for the quarter ended December 31, 2022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0"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4"/>
          <w:szCs w:val="14"/>
          <w:color w:val="auto"/>
        </w:rPr>
        <w:t>Other than disclosed in this Item 4, there have been no changes in our internal control over financial reporting that occurred during the quarter ended December 31, 2022 that have materially affected, or are reasonably likely to materially affect, our internal control over financial reporting.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38" w:lineRule="exact"/>
        <w:rPr>
          <w:sz w:val="20"/>
          <w:szCs w:val="20"/>
          <w:color w:val="auto"/>
        </w:rPr>
      </w:pPr>
    </w:p>
    <w:p>
      <w:pPr>
        <w:ind w:right="60" w:firstLine="449"/>
        <w:spacing w:after="0" w:line="236" w:lineRule="auto"/>
        <w:rPr>
          <w:sz w:val="20"/>
          <w:szCs w:val="20"/>
          <w:color w:val="auto"/>
        </w:rPr>
      </w:pPr>
      <w:r>
        <w:rPr>
          <w:rFonts w:ascii="Times New Roman" w:cs="Times New Roman" w:eastAsia="Times New Roman" w:hAnsi="Times New Roman"/>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38" w:lineRule="exact"/>
        <w:rPr>
          <w:sz w:val="20"/>
          <w:szCs w:val="20"/>
          <w:color w:val="auto"/>
        </w:rPr>
      </w:pPr>
    </w:p>
    <w:p>
      <w:pPr>
        <w:jc w:val="both"/>
        <w:ind w:right="20" w:firstLine="449"/>
        <w:spacing w:after="0" w:line="236"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2022 filed on November 17, 2022, which could materially affect our business, financial condition and/or operating results. The risks described below, as well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Legislation enacted in 2018 allows us to incur additional leverage.</w:t>
      </w:r>
    </w:p>
    <w:p>
      <w:pPr>
        <w:spacing w:after="0" w:line="140" w:lineRule="exact"/>
        <w:rPr>
          <w:sz w:val="20"/>
          <w:szCs w:val="20"/>
          <w:color w:val="auto"/>
        </w:rPr>
      </w:pPr>
    </w:p>
    <w:p>
      <w:pPr>
        <w:ind w:firstLine="449"/>
        <w:spacing w:after="0"/>
        <w:rPr>
          <w:sz w:val="20"/>
          <w:szCs w:val="20"/>
          <w:color w:val="auto"/>
        </w:rPr>
      </w:pPr>
      <w:r>
        <w:rPr>
          <w:rFonts w:ascii="Times New Roman" w:cs="Times New Roman" w:eastAsia="Times New Roman" w:hAnsi="Times New Roman"/>
          <w:sz w:val="14"/>
          <w:szCs w:val="14"/>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April 5, 2018, our board of directors approved such reduction. As of April 5, 2019, we are able to incur additional indebtedness so long as we comply with the applicable disclosure requirement,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81" w:lineRule="exact"/>
        <w:rPr>
          <w:sz w:val="20"/>
          <w:szCs w:val="20"/>
          <w:color w:val="auto"/>
        </w:rPr>
      </w:pPr>
    </w:p>
    <w:p>
      <w:pPr>
        <w:ind w:right="340" w:firstLine="44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91" w:lineRule="exact"/>
        <w:rPr>
          <w:sz w:val="20"/>
          <w:szCs w:val="20"/>
          <w:color w:val="auto"/>
        </w:rPr>
      </w:pPr>
    </w:p>
    <w:p>
      <w:pPr>
        <w:jc w:val="both"/>
        <w:ind w:right="100" w:firstLine="449"/>
        <w:spacing w:after="0" w:line="241" w:lineRule="auto"/>
        <w:rPr>
          <w:sz w:val="20"/>
          <w:szCs w:val="20"/>
          <w:color w:val="auto"/>
        </w:rPr>
      </w:pPr>
      <w:r>
        <w:rPr>
          <w:rFonts w:ascii="Times New Roman" w:cs="Times New Roman" w:eastAsia="Times New Roman" w:hAnsi="Times New Roman"/>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09" w:lineRule="exact"/>
        <w:rPr>
          <w:sz w:val="20"/>
          <w:szCs w:val="20"/>
          <w:color w:val="auto"/>
        </w:rPr>
      </w:pPr>
    </w:p>
    <w:p>
      <w:pPr>
        <w:ind w:right="80" w:firstLine="449"/>
        <w:spacing w:after="0" w:line="231" w:lineRule="auto"/>
        <w:rPr>
          <w:sz w:val="20"/>
          <w:szCs w:val="20"/>
          <w:color w:val="auto"/>
        </w:rPr>
      </w:pPr>
      <w:r>
        <w:rPr>
          <w:rFonts w:ascii="Times New Roman" w:cs="Times New Roman" w:eastAsia="Times New Roman" w:hAnsi="Times New Roman"/>
          <w:sz w:val="14"/>
          <w:szCs w:val="14"/>
          <w:color w:val="auto"/>
        </w:rPr>
        <w:t>As noted above, on April 5, 2018, our board of directors, including a “required majority” (as such term is defined in Section 57(o) of the 1940 Act), approved a reduction of our asset coverage ratio from 200% to 150%. As a result, as of April 5,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0" w:lineRule="exact"/>
        <w:rPr>
          <w:sz w:val="20"/>
          <w:szCs w:val="20"/>
          <w:color w:val="auto"/>
        </w:rPr>
      </w:pPr>
    </w:p>
    <w:p>
      <w:pPr>
        <w:jc w:val="both"/>
        <w:ind w:right="60" w:firstLine="449"/>
        <w:spacing w:after="0" w:line="236" w:lineRule="auto"/>
        <w:rPr>
          <w:sz w:val="20"/>
          <w:szCs w:val="20"/>
          <w:color w:val="auto"/>
        </w:rPr>
      </w:pPr>
      <w:r>
        <w:rPr>
          <w:rFonts w:ascii="Times New Roman" w:cs="Times New Roman" w:eastAsia="Times New Roman" w:hAnsi="Times New Roman"/>
          <w:sz w:val="14"/>
          <w:szCs w:val="14"/>
          <w:color w:val="auto"/>
        </w:rPr>
        <w:t>We are partially dependent on our subsidiary, Funding I, for cash distributions to enable us to meet the distribution requirements in order to permit us to be subject to tax as a RIC. In this regard, Funding I is limited by its covenants from making certain distributions to us that may be necessary to fulfill our requirements to be subject to tax as a RIC. In such case, we would need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If we incur additional debt, it could increase the risk of investing in our shares.</w:t>
      </w:r>
    </w:p>
    <w:p>
      <w:pPr>
        <w:spacing w:after="0" w:line="140" w:lineRule="exact"/>
        <w:rPr>
          <w:sz w:val="20"/>
          <w:szCs w:val="20"/>
          <w:color w:val="auto"/>
        </w:rPr>
      </w:pPr>
    </w:p>
    <w:p>
      <w:pPr>
        <w:ind w:right="140" w:firstLine="449"/>
        <w:spacing w:after="0" w:line="227" w:lineRule="auto"/>
        <w:rPr>
          <w:sz w:val="20"/>
          <w:szCs w:val="20"/>
          <w:color w:val="auto"/>
        </w:rPr>
      </w:pPr>
      <w:r>
        <w:rPr>
          <w:rFonts w:ascii="Times New Roman" w:cs="Times New Roman" w:eastAsia="Times New Roman" w:hAnsi="Times New Roman"/>
          <w:sz w:val="14"/>
          <w:szCs w:val="14"/>
          <w:color w:val="auto"/>
        </w:rPr>
        <w:t>We have indebtedness outstanding pursuant to our Credit Facility, 2023 Notes, 2026 Notes and the 2031 Asset-Backed Debt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the use of leverage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1" w:lineRule="exact"/>
        <w:rPr>
          <w:sz w:val="20"/>
          <w:szCs w:val="20"/>
          <w:color w:val="auto"/>
        </w:rPr>
      </w:pPr>
    </w:p>
    <w:p>
      <w:pPr>
        <w:ind w:right="320" w:firstLine="449"/>
        <w:spacing w:after="0" w:line="241" w:lineRule="auto"/>
        <w:rPr>
          <w:sz w:val="20"/>
          <w:szCs w:val="20"/>
          <w:color w:val="auto"/>
        </w:rPr>
      </w:pPr>
      <w:r>
        <w:rPr>
          <w:rFonts w:ascii="Times New Roman" w:cs="Times New Roman" w:eastAsia="Times New Roman" w:hAnsi="Times New Roman"/>
          <w:sz w:val="14"/>
          <w:szCs w:val="14"/>
          <w:color w:val="auto"/>
        </w:rPr>
        <w:t>As noted above, on April 5, 2018, our board of directors, including a “required majority” (as such term is defined in Section 57(o) of the 1940 Act), approved a reduction of our asset coverage ratio. As a result, as of April 5,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0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63"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1200" w:type="dxa"/>
            <w:vAlign w:val="bottom"/>
            <w:gridSpan w:val="14"/>
          </w:tcPr>
          <w:p>
            <w:pPr>
              <w:ind w:left="440"/>
              <w:spacing w:after="0"/>
              <w:rPr>
                <w:sz w:val="20"/>
                <w:szCs w:val="20"/>
                <w:color w:val="auto"/>
              </w:rPr>
            </w:pPr>
            <w:r>
              <w:rPr>
                <w:rFonts w:ascii="Times New Roman" w:cs="Times New Roman" w:eastAsia="Times New Roman" w:hAnsi="Times New Roman"/>
                <w:sz w:val="14"/>
                <w:szCs w:val="14"/>
                <w:color w:val="auto"/>
              </w:rPr>
              <w:t>Unless specifically indicated otherwise, the following exhibits are incorporated by reference to exhibits previously filed with the SEC:</w:t>
            </w:r>
          </w:p>
        </w:tc>
      </w:tr>
      <w:tr>
        <w:trPr>
          <w:trHeight w:val="280"/>
        </w:trPr>
        <w:tc>
          <w:tcPr>
            <w:tcW w:w="80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3.1</w:t>
            </w:r>
          </w:p>
        </w:tc>
        <w:tc>
          <w:tcPr>
            <w:tcW w:w="10400" w:type="dxa"/>
            <w:vAlign w:val="bottom"/>
            <w:gridSpan w:val="13"/>
          </w:tcPr>
          <w:p>
            <w:pPr>
              <w:spacing w:after="0"/>
              <w:rPr>
                <w:rFonts w:ascii="Times New Roman" w:cs="Times New Roman" w:eastAsia="Times New Roman" w:hAnsi="Times New Roman"/>
                <w:sz w:val="14"/>
                <w:szCs w:val="14"/>
                <w:color w:val="0000FF"/>
              </w:rPr>
            </w:pPr>
            <w:hyperlink r:id="rId308">
              <w:r>
                <w:rPr>
                  <w:rFonts w:ascii="Times New Roman" w:cs="Times New Roman" w:eastAsia="Times New Roman" w:hAnsi="Times New Roman"/>
                  <w:sz w:val="14"/>
                  <w:szCs w:val="14"/>
                  <w:color w:val="0000FF"/>
                </w:rPr>
                <w:t>Articles of Amendment and Restatement of the Registrant (Incorporated by reference to Exhibit 99(A) to the Registrant's Pre-Effective Amendment No. 3 to the Registration</w:t>
              </w:r>
            </w:hyperlink>
          </w:p>
        </w:tc>
      </w:tr>
      <w:tr>
        <w:trPr>
          <w:trHeight w:val="128"/>
        </w:trPr>
        <w:tc>
          <w:tcPr>
            <w:tcW w:w="800" w:type="dxa"/>
            <w:vAlign w:val="bottom"/>
          </w:tcPr>
          <w:p>
            <w:pPr>
              <w:spacing w:after="0"/>
              <w:rPr>
                <w:sz w:val="11"/>
                <w:szCs w:val="11"/>
                <w:color w:val="auto"/>
              </w:rPr>
            </w:pPr>
          </w:p>
        </w:tc>
        <w:tc>
          <w:tcPr>
            <w:tcW w:w="424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308">
              <w:r>
                <w:rPr>
                  <w:rFonts w:ascii="Times New Roman" w:cs="Times New Roman" w:eastAsia="Times New Roman" w:hAnsi="Times New Roman"/>
                  <w:sz w:val="14"/>
                  <w:szCs w:val="14"/>
                  <w:color w:val="0000FF"/>
                </w:rPr>
                <w:t>Statement on Form N-2 (File No. 333-170243), filed on March 29, 2011).</w:t>
              </w:r>
            </w:hyperlink>
          </w:p>
        </w:tc>
        <w:tc>
          <w:tcPr>
            <w:tcW w:w="20" w:type="dxa"/>
            <w:vAlign w:val="bottom"/>
            <w:tcBorders>
              <w:top w:val="single" w:sz="8" w:color="0000FF"/>
              <w:bottom w:val="single" w:sz="8" w:color="0000EE"/>
            </w:tcBorders>
          </w:tcPr>
          <w:p>
            <w:pPr>
              <w:spacing w:after="0"/>
              <w:rPr>
                <w:sz w:val="11"/>
                <w:szCs w:val="11"/>
                <w:color w:val="auto"/>
              </w:rPr>
            </w:pPr>
          </w:p>
        </w:tc>
        <w:tc>
          <w:tcPr>
            <w:tcW w:w="5740" w:type="dxa"/>
            <w:vAlign w:val="bottom"/>
            <w:tcBorders>
              <w:top w:val="single" w:sz="8" w:color="0000FF"/>
            </w:tcBorders>
            <w:gridSpan w:val="5"/>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304"/>
        </w:trPr>
        <w:tc>
          <w:tcPr>
            <w:tcW w:w="80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3.2</w:t>
            </w:r>
          </w:p>
        </w:tc>
        <w:tc>
          <w:tcPr>
            <w:tcW w:w="1040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309">
              <w:r>
                <w:rPr>
                  <w:rFonts w:ascii="Times New Roman" w:cs="Times New Roman" w:eastAsia="Times New Roman" w:hAnsi="Times New Roman"/>
                  <w:sz w:val="14"/>
                  <w:szCs w:val="14"/>
                  <w:color w:val="0000FF"/>
                </w:rPr>
                <w:t>Second Amended and Restated Bylaws of the Registrant (Incorporated by reference to Exhibit 3.2 to the Registrant's Quarterly Report on Form 10-Q (File No. 814-00891), filed on</w:t>
              </w:r>
            </w:hyperlink>
          </w:p>
        </w:tc>
      </w:tr>
      <w:tr>
        <w:trPr>
          <w:trHeight w:val="128"/>
        </w:trPr>
        <w:tc>
          <w:tcPr>
            <w:tcW w:w="800" w:type="dxa"/>
            <w:vAlign w:val="bottom"/>
          </w:tcPr>
          <w:p>
            <w:pPr>
              <w:spacing w:after="0"/>
              <w:rPr>
                <w:sz w:val="11"/>
                <w:szCs w:val="11"/>
                <w:color w:val="auto"/>
              </w:rPr>
            </w:pPr>
          </w:p>
        </w:tc>
        <w:tc>
          <w:tcPr>
            <w:tcW w:w="880" w:type="dxa"/>
            <w:vAlign w:val="bottom"/>
            <w:tcBorders>
              <w:bottom w:val="single" w:sz="8" w:color="0000FF"/>
            </w:tcBorders>
          </w:tcPr>
          <w:p>
            <w:pPr>
              <w:spacing w:after="0" w:line="129" w:lineRule="exact"/>
              <w:rPr>
                <w:rFonts w:ascii="Times New Roman" w:cs="Times New Roman" w:eastAsia="Times New Roman" w:hAnsi="Times New Roman"/>
                <w:sz w:val="14"/>
                <w:szCs w:val="14"/>
                <w:color w:val="0000FF"/>
                <w:w w:val="99"/>
              </w:rPr>
            </w:pPr>
            <w:hyperlink r:id="rId309">
              <w:r>
                <w:rPr>
                  <w:rFonts w:ascii="Times New Roman" w:cs="Times New Roman" w:eastAsia="Times New Roman" w:hAnsi="Times New Roman"/>
                  <w:sz w:val="14"/>
                  <w:szCs w:val="14"/>
                  <w:color w:val="0000FF"/>
                  <w:w w:val="99"/>
                </w:rPr>
                <w:t>May 11, 2020).</w:t>
              </w:r>
            </w:hyperlink>
          </w:p>
        </w:tc>
        <w:tc>
          <w:tcPr>
            <w:tcW w:w="20" w:type="dxa"/>
            <w:vAlign w:val="bottom"/>
            <w:tcBorders>
              <w:bottom w:val="single" w:sz="8" w:color="0000EE"/>
            </w:tcBorders>
          </w:tcPr>
          <w:p>
            <w:pPr>
              <w:spacing w:after="0"/>
              <w:rPr>
                <w:sz w:val="11"/>
                <w:szCs w:val="11"/>
                <w:color w:val="auto"/>
              </w:rPr>
            </w:pPr>
          </w:p>
        </w:tc>
        <w:tc>
          <w:tcPr>
            <w:tcW w:w="9500" w:type="dxa"/>
            <w:vAlign w:val="bottom"/>
            <w:gridSpan w:val="11"/>
          </w:tcPr>
          <w:p>
            <w:pPr>
              <w:spacing w:after="0"/>
              <w:rPr>
                <w:sz w:val="11"/>
                <w:szCs w:val="11"/>
                <w:color w:val="auto"/>
              </w:rPr>
            </w:pPr>
          </w:p>
        </w:tc>
      </w:tr>
      <w:tr>
        <w:trPr>
          <w:trHeight w:val="304"/>
        </w:trPr>
        <w:tc>
          <w:tcPr>
            <w:tcW w:w="80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4.1</w:t>
            </w:r>
          </w:p>
        </w:tc>
        <w:tc>
          <w:tcPr>
            <w:tcW w:w="10400" w:type="dxa"/>
            <w:vAlign w:val="bottom"/>
            <w:gridSpan w:val="13"/>
          </w:tcPr>
          <w:p>
            <w:pPr>
              <w:spacing w:after="0"/>
              <w:rPr>
                <w:rFonts w:ascii="Times New Roman" w:cs="Times New Roman" w:eastAsia="Times New Roman" w:hAnsi="Times New Roman"/>
                <w:sz w:val="14"/>
                <w:szCs w:val="14"/>
                <w:color w:val="0000FF"/>
              </w:rPr>
            </w:pPr>
            <w:hyperlink r:id="rId310">
              <w:r>
                <w:rPr>
                  <w:rFonts w:ascii="Times New Roman" w:cs="Times New Roman" w:eastAsia="Times New Roman" w:hAnsi="Times New Roman"/>
                  <w:sz w:val="14"/>
                  <w:szCs w:val="14"/>
                  <w:color w:val="0000FF"/>
                </w:rPr>
                <w:t>Form of Share Certificate (Incorporated by reference to Exhibit 99(D) to the Registrant's Pre-Effective Amendment No. 5 to the Registration Statement on Form N-2 (File No. 333-</w:t>
              </w:r>
            </w:hyperlink>
          </w:p>
        </w:tc>
      </w:tr>
      <w:tr>
        <w:trPr>
          <w:trHeight w:val="128"/>
        </w:trPr>
        <w:tc>
          <w:tcPr>
            <w:tcW w:w="800" w:type="dxa"/>
            <w:vAlign w:val="bottom"/>
          </w:tcPr>
          <w:p>
            <w:pPr>
              <w:spacing w:after="0"/>
              <w:rPr>
                <w:sz w:val="11"/>
                <w:szCs w:val="11"/>
                <w:color w:val="auto"/>
              </w:rPr>
            </w:pPr>
          </w:p>
        </w:tc>
        <w:tc>
          <w:tcPr>
            <w:tcW w:w="188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310">
              <w:r>
                <w:rPr>
                  <w:rFonts w:ascii="Times New Roman" w:cs="Times New Roman" w:eastAsia="Times New Roman" w:hAnsi="Times New Roman"/>
                  <w:sz w:val="14"/>
                  <w:szCs w:val="14"/>
                  <w:color w:val="0000FF"/>
                </w:rPr>
                <w:t>170243)</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 xml:space="preserve"> filed on April 5, 2011).</w:t>
              </w:r>
            </w:hyperlink>
          </w:p>
        </w:tc>
        <w:tc>
          <w:tcPr>
            <w:tcW w:w="8480" w:type="dxa"/>
            <w:vAlign w:val="bottom"/>
            <w:tcBorders>
              <w:top w:val="single" w:sz="8" w:color="0000FF"/>
            </w:tcBorders>
            <w:gridSpan w:val="9"/>
          </w:tcPr>
          <w:p>
            <w:pPr>
              <w:spacing w:after="0"/>
              <w:rPr>
                <w:sz w:val="11"/>
                <w:szCs w:val="11"/>
                <w:color w:val="auto"/>
              </w:rPr>
            </w:pPr>
          </w:p>
        </w:tc>
        <w:tc>
          <w:tcPr>
            <w:tcW w:w="40" w:type="dxa"/>
            <w:vAlign w:val="bottom"/>
          </w:tcPr>
          <w:p>
            <w:pPr>
              <w:spacing w:after="0"/>
              <w:rPr>
                <w:sz w:val="11"/>
                <w:szCs w:val="11"/>
                <w:color w:val="auto"/>
              </w:rPr>
            </w:pPr>
          </w:p>
        </w:tc>
      </w:tr>
      <w:tr>
        <w:trPr>
          <w:trHeight w:val="331"/>
        </w:trPr>
        <w:tc>
          <w:tcPr>
            <w:tcW w:w="8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95"/>
              </w:rPr>
              <w:t>31.1*</w:t>
            </w:r>
          </w:p>
        </w:tc>
        <w:tc>
          <w:tcPr>
            <w:tcW w:w="6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 of the Securities Exchange Act of 1934, as amended.</w:t>
            </w:r>
          </w:p>
        </w:tc>
        <w:tc>
          <w:tcPr>
            <w:tcW w:w="3600" w:type="dxa"/>
            <w:vAlign w:val="bottom"/>
            <w:gridSpan w:val="4"/>
          </w:tcPr>
          <w:p>
            <w:pPr>
              <w:spacing w:after="0"/>
              <w:rPr>
                <w:sz w:val="24"/>
                <w:szCs w:val="24"/>
                <w:color w:val="auto"/>
              </w:rPr>
            </w:pPr>
          </w:p>
        </w:tc>
      </w:tr>
      <w:tr>
        <w:trPr>
          <w:trHeight w:val="304"/>
        </w:trPr>
        <w:tc>
          <w:tcPr>
            <w:tcW w:w="8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95"/>
              </w:rPr>
              <w:t>31.2*</w:t>
            </w:r>
          </w:p>
        </w:tc>
        <w:tc>
          <w:tcPr>
            <w:tcW w:w="6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 of the Securities Exchange Act of 1934, as amended.</w:t>
            </w:r>
          </w:p>
        </w:tc>
        <w:tc>
          <w:tcPr>
            <w:tcW w:w="3640" w:type="dxa"/>
            <w:vAlign w:val="bottom"/>
            <w:gridSpan w:val="5"/>
          </w:tcPr>
          <w:p>
            <w:pPr>
              <w:spacing w:after="0"/>
              <w:rPr>
                <w:sz w:val="24"/>
                <w:szCs w:val="24"/>
                <w:color w:val="auto"/>
              </w:rPr>
            </w:pPr>
          </w:p>
        </w:tc>
      </w:tr>
      <w:tr>
        <w:trPr>
          <w:trHeight w:val="304"/>
        </w:trPr>
        <w:tc>
          <w:tcPr>
            <w:tcW w:w="8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95"/>
              </w:rPr>
              <w:t>32.1*</w:t>
            </w:r>
          </w:p>
        </w:tc>
        <w:tc>
          <w:tcPr>
            <w:tcW w:w="5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906 of The Sarbanes-Oxley Act of 2002.</w:t>
            </w:r>
          </w:p>
        </w:tc>
        <w:tc>
          <w:tcPr>
            <w:tcW w:w="4600" w:type="dxa"/>
            <w:vAlign w:val="bottom"/>
            <w:gridSpan w:val="6"/>
          </w:tcPr>
          <w:p>
            <w:pPr>
              <w:spacing w:after="0"/>
              <w:rPr>
                <w:sz w:val="24"/>
                <w:szCs w:val="24"/>
                <w:color w:val="auto"/>
              </w:rPr>
            </w:pPr>
          </w:p>
        </w:tc>
      </w:tr>
      <w:tr>
        <w:trPr>
          <w:trHeight w:val="304"/>
        </w:trPr>
        <w:tc>
          <w:tcPr>
            <w:tcW w:w="8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95"/>
              </w:rPr>
              <w:t>32.2*</w:t>
            </w:r>
          </w:p>
        </w:tc>
        <w:tc>
          <w:tcPr>
            <w:tcW w:w="1040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906 of The Sarbanes-Oxley Act of 2002.</w:t>
            </w:r>
          </w:p>
        </w:tc>
      </w:tr>
      <w:tr>
        <w:trPr>
          <w:trHeight w:val="20"/>
        </w:trPr>
        <w:tc>
          <w:tcPr>
            <w:tcW w:w="800" w:type="dxa"/>
            <w:vAlign w:val="bottom"/>
          </w:tcPr>
          <w:p>
            <w:pPr>
              <w:spacing w:after="0" w:line="20" w:lineRule="exact"/>
              <w:rPr>
                <w:sz w:val="1"/>
                <w:szCs w:val="1"/>
                <w:color w:val="auto"/>
              </w:rPr>
            </w:pPr>
          </w:p>
        </w:tc>
        <w:tc>
          <w:tcPr>
            <w:tcW w:w="5780" w:type="dxa"/>
            <w:vAlign w:val="bottom"/>
            <w:tcBorders>
              <w:right w:val="single" w:sz="8" w:color="0000EE"/>
            </w:tcBorders>
            <w:gridSpan w:val="6"/>
            <w:shd w:val="clear" w:color="auto" w:fill="0000FF"/>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04"/>
        </w:trPr>
        <w:tc>
          <w:tcPr>
            <w:tcW w:w="80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97"/>
              </w:rPr>
              <w:t>99.1</w:t>
            </w:r>
          </w:p>
        </w:tc>
        <w:tc>
          <w:tcPr>
            <w:tcW w:w="10400" w:type="dxa"/>
            <w:vAlign w:val="bottom"/>
            <w:gridSpan w:val="13"/>
          </w:tcPr>
          <w:p>
            <w:pPr>
              <w:spacing w:after="0"/>
              <w:rPr>
                <w:rFonts w:ascii="Times New Roman" w:cs="Times New Roman" w:eastAsia="Times New Roman" w:hAnsi="Times New Roman"/>
                <w:sz w:val="14"/>
                <w:szCs w:val="14"/>
                <w:color w:val="0000FF"/>
              </w:rPr>
            </w:pPr>
            <w:hyperlink r:id="rId311">
              <w:r>
                <w:rPr>
                  <w:rFonts w:ascii="Times New Roman" w:cs="Times New Roman" w:eastAsia="Times New Roman" w:hAnsi="Times New Roman"/>
                  <w:sz w:val="14"/>
                  <w:szCs w:val="14"/>
                  <w:color w:val="0000FF"/>
                </w:rPr>
                <w:t>Privacy Policy of the Registrant (Incorporated by reference to Exhibit 99.1 to the Registrant’s Annual Report on Form 10-K (File No. 814-00891), filed on November 17, 2011).</w:t>
              </w:r>
            </w:hyperlink>
          </w:p>
        </w:tc>
      </w:tr>
      <w:tr>
        <w:trPr>
          <w:trHeight w:val="335"/>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101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240" w:type="dxa"/>
            <w:vAlign w:val="bottom"/>
            <w:gridSpan w:val="2"/>
          </w:tcPr>
          <w:p>
            <w:pPr>
              <w:spacing w:after="0"/>
              <w:rPr>
                <w:sz w:val="24"/>
                <w:szCs w:val="24"/>
                <w:color w:val="auto"/>
              </w:rPr>
            </w:pP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104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Schema</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104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104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104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104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spacing w:after="0" w:line="136" w:lineRule="exact"/>
        <w:rPr>
          <w:sz w:val="20"/>
          <w:szCs w:val="20"/>
          <w:color w:val="auto"/>
        </w:rPr>
      </w:pPr>
    </w:p>
    <w:p>
      <w:pPr>
        <w:ind w:right="5180" w:firstLine="21"/>
        <w:spacing w:after="0" w:line="533" w:lineRule="auto"/>
        <w:tabs>
          <w:tab w:leader="none" w:pos="81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17145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3" w:right="35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73"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1220"/>
          </w:cols>
          <w:pgMar w:left="320" w:top="26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8, 2023</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8,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62230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PENNANTPARK FLOATING RATE CAPITAL LTD.</w:t>
      </w:r>
    </w:p>
    <w:p>
      <w:pPr>
        <w:spacing w:after="0" w:line="23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6350</wp:posOffset>
            </wp:positionV>
            <wp:extent cx="32232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Arthur H. Penn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Chief Executive Officer and Chairman of the Board of Directors</w:t>
      </w: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6350</wp:posOffset>
            </wp:positionV>
            <wp:extent cx="32232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Richard T. Allorto, Jr.</w:t>
      </w:r>
    </w:p>
    <w:p>
      <w:pPr>
        <w:spacing w:after="0" w:line="1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ectPr>
          <w:pgSz w:w="11900" w:h="16838" w:orient="portrait"/>
          <w:cols w:equalWidth="0" w:num="3">
            <w:col w:w="4840" w:space="720"/>
            <w:col w:w="460" w:space="700"/>
            <w:col w:w="4500"/>
          </w:cols>
          <w:pgMar w:left="320" w:top="263" w:right="359" w:bottom="1440" w:gutter="0" w:footer="0" w:header="0"/>
          <w:type w:val="continuous"/>
        </w:sectPr>
      </w:pPr>
    </w:p>
    <w:bookmarkStart w:id="57" w:name="page58"/>
    <w:bookmarkEnd w:id="57"/>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6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w:t>
      </w:r>
    </w:p>
    <w:p>
      <w:pPr>
        <w:spacing w:after="0" w:line="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CHIEF EXECUTIVE OFFICER CERTIFICATION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Arthur H. Penn, Chief Executive Officer of PennantPark Floating Rate Capital, Ltd., certify that:</w:t>
      </w:r>
    </w:p>
    <w:p>
      <w:pPr>
        <w:spacing w:after="0" w:line="163" w:lineRule="exact"/>
        <w:rPr>
          <w:sz w:val="20"/>
          <w:szCs w:val="20"/>
          <w:color w:val="auto"/>
        </w:rPr>
      </w:pPr>
    </w:p>
    <w:p>
      <w:pPr>
        <w:ind w:left="620" w:hanging="143"/>
        <w:spacing w:after="0"/>
        <w:tabs>
          <w:tab w:leader="none" w:pos="6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10-Q of PennantPark Floating Rate Capital, Ltd.;</w:t>
      </w:r>
    </w:p>
    <w:p>
      <w:pPr>
        <w:spacing w:after="0" w:line="163" w:lineRule="exact"/>
        <w:rPr>
          <w:rFonts w:ascii="Times New Roman" w:cs="Times New Roman" w:eastAsia="Times New Roman" w:hAnsi="Times New Roman"/>
          <w:sz w:val="14"/>
          <w:szCs w:val="14"/>
          <w:color w:val="auto"/>
        </w:rPr>
      </w:pPr>
    </w:p>
    <w:p>
      <w:pPr>
        <w:ind w:right="580" w:firstLine="477"/>
        <w:spacing w:after="0" w:line="261" w:lineRule="auto"/>
        <w:tabs>
          <w:tab w:leader="none" w:pos="61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4"/>
          <w:szCs w:val="14"/>
          <w:color w:val="auto"/>
        </w:rPr>
      </w:pPr>
    </w:p>
    <w:p>
      <w:pPr>
        <w:ind w:right="460" w:firstLine="477"/>
        <w:spacing w:after="0" w:line="261" w:lineRule="auto"/>
        <w:tabs>
          <w:tab w:leader="none" w:pos="61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4"/>
          <w:szCs w:val="14"/>
          <w:color w:val="auto"/>
        </w:rPr>
      </w:pPr>
    </w:p>
    <w:p>
      <w:pPr>
        <w:ind w:right="60" w:firstLine="477"/>
        <w:spacing w:after="0" w:line="261" w:lineRule="auto"/>
        <w:tabs>
          <w:tab w:leader="none" w:pos="61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4"/>
          <w:szCs w:val="14"/>
          <w:color w:val="auto"/>
        </w:rPr>
      </w:pPr>
    </w:p>
    <w:p>
      <w:pPr>
        <w:jc w:val="both"/>
        <w:ind w:right="480" w:firstLine="757"/>
        <w:spacing w:after="0" w:line="242" w:lineRule="auto"/>
        <w:tabs>
          <w:tab w:leader="none" w:pos="919"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6" w:lineRule="exact"/>
        <w:rPr>
          <w:rFonts w:ascii="Times New Roman" w:cs="Times New Roman" w:eastAsia="Times New Roman" w:hAnsi="Times New Roman"/>
          <w:sz w:val="14"/>
          <w:szCs w:val="14"/>
          <w:color w:val="auto"/>
        </w:rPr>
      </w:pPr>
    </w:p>
    <w:p>
      <w:pPr>
        <w:ind w:left="920" w:hanging="163"/>
        <w:spacing w:after="0"/>
        <w:tabs>
          <w:tab w:leader="none" w:pos="92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w:t>
      </w:r>
    </w:p>
    <w:p>
      <w:pPr>
        <w:spacing w:after="0" w:line="4" w:lineRule="exact"/>
        <w:rPr>
          <w:sz w:val="20"/>
          <w:szCs w:val="20"/>
          <w:color w:val="auto"/>
        </w:rPr>
      </w:pPr>
    </w:p>
    <w:p>
      <w:pPr>
        <w:ind w:right="740"/>
        <w:spacing w:after="0" w:line="239" w:lineRule="auto"/>
        <w:rPr>
          <w:sz w:val="20"/>
          <w:szCs w:val="20"/>
          <w:color w:val="auto"/>
        </w:rPr>
      </w:pPr>
      <w:r>
        <w:rPr>
          <w:rFonts w:ascii="Times New Roman" w:cs="Times New Roman" w:eastAsia="Times New Roman" w:hAnsi="Times New Roman"/>
          <w:sz w:val="14"/>
          <w:szCs w:val="14"/>
          <w:color w:val="auto"/>
        </w:rPr>
        <w:t>reasonable assurance regarding the reliability of financial reporting and the preparation of financial statements for external purposes in accordance with generally accepted accounting principles;</w:t>
      </w:r>
    </w:p>
    <w:p>
      <w:pPr>
        <w:spacing w:after="0" w:line="136" w:lineRule="exact"/>
        <w:rPr>
          <w:sz w:val="20"/>
          <w:szCs w:val="20"/>
          <w:color w:val="auto"/>
        </w:rPr>
      </w:pPr>
    </w:p>
    <w:p>
      <w:pPr>
        <w:ind w:right="260" w:firstLine="757"/>
        <w:spacing w:after="0" w:line="261" w:lineRule="auto"/>
        <w:tabs>
          <w:tab w:leader="none" w:pos="897"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4"/>
          <w:szCs w:val="14"/>
          <w:color w:val="auto"/>
        </w:rPr>
      </w:pPr>
    </w:p>
    <w:p>
      <w:pPr>
        <w:ind w:right="380" w:firstLine="757"/>
        <w:spacing w:after="0" w:line="261" w:lineRule="auto"/>
        <w:tabs>
          <w:tab w:leader="none" w:pos="905"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4"/>
          <w:szCs w:val="14"/>
          <w:color w:val="auto"/>
        </w:rPr>
      </w:pPr>
    </w:p>
    <w:p>
      <w:pPr>
        <w:ind w:right="540" w:firstLine="477"/>
        <w:spacing w:after="0" w:line="261" w:lineRule="auto"/>
        <w:tabs>
          <w:tab w:leader="none" w:pos="613"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4"/>
          <w:szCs w:val="14"/>
          <w:color w:val="auto"/>
        </w:rPr>
      </w:pPr>
    </w:p>
    <w:p>
      <w:pPr>
        <w:ind w:right="420" w:firstLine="757"/>
        <w:spacing w:after="0" w:line="261" w:lineRule="auto"/>
        <w:tabs>
          <w:tab w:leader="none" w:pos="897"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4"/>
          <w:szCs w:val="14"/>
          <w:color w:val="auto"/>
        </w:rPr>
      </w:pPr>
    </w:p>
    <w:p>
      <w:pPr>
        <w:ind w:right="620" w:firstLine="757"/>
        <w:spacing w:after="0" w:line="493" w:lineRule="auto"/>
        <w:tabs>
          <w:tab w:leader="none" w:pos="904"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 Dated: February 8, 2023</w:t>
      </w:r>
    </w:p>
    <w:p>
      <w:pPr>
        <w:ind w:left="20"/>
        <w:spacing w:after="0"/>
        <w:rPr>
          <w:sz w:val="20"/>
          <w:szCs w:val="20"/>
          <w:color w:val="auto"/>
        </w:rPr>
      </w:pPr>
      <w:r>
        <w:rPr>
          <w:rFonts w:ascii="Times New Roman" w:cs="Times New Roman" w:eastAsia="Times New Roman" w:hAnsi="Times New Roman"/>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8460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4"/>
          <w:szCs w:val="14"/>
          <w:color w:val="auto"/>
        </w:rPr>
        <w:t>Name:</w:t>
        <w:tab/>
        <w:t>Arthur H. Penn</w:t>
      </w:r>
    </w:p>
    <w:p>
      <w:pPr>
        <w:spacing w:after="0" w:line="2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6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CHIEF FINANCIAL OFFICER CERTIFICATION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Richard T. Allorto, Jr., Chief Financial Officer of PennantPark Floating Rate Capital, Ltd., certify that:</w:t>
      </w:r>
    </w:p>
    <w:p>
      <w:pPr>
        <w:spacing w:after="0" w:line="163" w:lineRule="exact"/>
        <w:rPr>
          <w:sz w:val="20"/>
          <w:szCs w:val="20"/>
          <w:color w:val="auto"/>
        </w:rPr>
      </w:pPr>
    </w:p>
    <w:p>
      <w:pPr>
        <w:ind w:left="620" w:hanging="143"/>
        <w:spacing w:after="0"/>
        <w:tabs>
          <w:tab w:leader="none" w:pos="6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10-Q of PennantPark Floating Rate Capital, Ltd.;</w:t>
      </w:r>
    </w:p>
    <w:p>
      <w:pPr>
        <w:spacing w:after="0" w:line="163" w:lineRule="exact"/>
        <w:rPr>
          <w:rFonts w:ascii="Times New Roman" w:cs="Times New Roman" w:eastAsia="Times New Roman" w:hAnsi="Times New Roman"/>
          <w:sz w:val="14"/>
          <w:szCs w:val="14"/>
          <w:color w:val="auto"/>
        </w:rPr>
      </w:pPr>
    </w:p>
    <w:p>
      <w:pPr>
        <w:ind w:right="580" w:firstLine="477"/>
        <w:spacing w:after="0" w:line="261" w:lineRule="auto"/>
        <w:tabs>
          <w:tab w:leader="none" w:pos="613"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4"/>
          <w:szCs w:val="14"/>
          <w:color w:val="auto"/>
        </w:rPr>
      </w:pPr>
    </w:p>
    <w:p>
      <w:pPr>
        <w:ind w:right="460" w:firstLine="477"/>
        <w:spacing w:after="0" w:line="261" w:lineRule="auto"/>
        <w:tabs>
          <w:tab w:leader="none" w:pos="613"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4"/>
          <w:szCs w:val="14"/>
          <w:color w:val="auto"/>
        </w:rPr>
      </w:pPr>
    </w:p>
    <w:p>
      <w:pPr>
        <w:ind w:right="600" w:firstLine="476"/>
        <w:spacing w:after="0" w:line="261" w:lineRule="auto"/>
        <w:tabs>
          <w:tab w:leader="none" w:pos="61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4"/>
          <w:szCs w:val="14"/>
          <w:color w:val="auto"/>
        </w:rPr>
      </w:pPr>
    </w:p>
    <w:p>
      <w:pPr>
        <w:jc w:val="both"/>
        <w:ind w:right="480" w:firstLine="757"/>
        <w:spacing w:after="0" w:line="242" w:lineRule="auto"/>
        <w:tabs>
          <w:tab w:leader="none" w:pos="919"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6" w:lineRule="exact"/>
        <w:rPr>
          <w:rFonts w:ascii="Times New Roman" w:cs="Times New Roman" w:eastAsia="Times New Roman" w:hAnsi="Times New Roman"/>
          <w:sz w:val="14"/>
          <w:szCs w:val="14"/>
          <w:color w:val="auto"/>
        </w:rPr>
      </w:pPr>
    </w:p>
    <w:p>
      <w:pPr>
        <w:ind w:right="740" w:firstLine="757"/>
        <w:spacing w:after="0" w:line="242" w:lineRule="auto"/>
        <w:tabs>
          <w:tab w:leader="none" w:pos="905"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6" w:lineRule="exact"/>
        <w:rPr>
          <w:rFonts w:ascii="Times New Roman" w:cs="Times New Roman" w:eastAsia="Times New Roman" w:hAnsi="Times New Roman"/>
          <w:sz w:val="14"/>
          <w:szCs w:val="14"/>
          <w:color w:val="auto"/>
        </w:rPr>
      </w:pPr>
    </w:p>
    <w:p>
      <w:pPr>
        <w:ind w:right="260" w:firstLine="757"/>
        <w:spacing w:after="0" w:line="261" w:lineRule="auto"/>
        <w:tabs>
          <w:tab w:leader="none" w:pos="897"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4"/>
          <w:szCs w:val="14"/>
          <w:color w:val="auto"/>
        </w:rPr>
      </w:pPr>
    </w:p>
    <w:p>
      <w:pPr>
        <w:ind w:right="380" w:firstLine="757"/>
        <w:spacing w:after="0" w:line="261" w:lineRule="auto"/>
        <w:tabs>
          <w:tab w:leader="none" w:pos="905"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4"/>
          <w:szCs w:val="14"/>
          <w:color w:val="auto"/>
        </w:rPr>
      </w:pPr>
    </w:p>
    <w:p>
      <w:pPr>
        <w:ind w:right="540" w:firstLine="477"/>
        <w:spacing w:after="0" w:line="261" w:lineRule="auto"/>
        <w:tabs>
          <w:tab w:leader="none" w:pos="613"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4"/>
          <w:szCs w:val="14"/>
          <w:color w:val="auto"/>
        </w:rPr>
      </w:pPr>
    </w:p>
    <w:p>
      <w:pPr>
        <w:ind w:right="420" w:firstLine="757"/>
        <w:spacing w:after="0" w:line="261" w:lineRule="auto"/>
        <w:tabs>
          <w:tab w:leader="none" w:pos="897"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4"/>
          <w:szCs w:val="14"/>
          <w:color w:val="auto"/>
        </w:rPr>
      </w:pPr>
    </w:p>
    <w:p>
      <w:pPr>
        <w:ind w:right="620" w:firstLine="757"/>
        <w:spacing w:after="0" w:line="493" w:lineRule="auto"/>
        <w:tabs>
          <w:tab w:leader="none" w:pos="904"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 Dated: February 8, 2023</w:t>
      </w:r>
    </w:p>
    <w:p>
      <w:pPr>
        <w:ind w:left="20"/>
        <w:spacing w:after="0"/>
        <w:rPr>
          <w:sz w:val="20"/>
          <w:szCs w:val="20"/>
          <w:color w:val="auto"/>
        </w:rPr>
      </w:pPr>
      <w:r>
        <w:rPr>
          <w:rFonts w:ascii="Times New Roman" w:cs="Times New Roman" w:eastAsia="Times New Roman" w:hAnsi="Times New Roman"/>
          <w:sz w:val="14"/>
          <w:szCs w:val="14"/>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8460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4"/>
          <w:szCs w:val="14"/>
          <w:color w:val="auto"/>
        </w:rPr>
        <w:t>Name:</w:t>
        <w:tab/>
        <w:t>Richard T. Allorto, Jr.</w:t>
      </w:r>
    </w:p>
    <w:p>
      <w:pPr>
        <w:spacing w:after="0" w:line="2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 (18 U.S.C. 1350)</w:t>
      </w:r>
    </w:p>
    <w:p>
      <w:pPr>
        <w:spacing w:after="0" w:line="147" w:lineRule="exact"/>
        <w:rPr>
          <w:sz w:val="20"/>
          <w:szCs w:val="20"/>
          <w:color w:val="auto"/>
        </w:rPr>
      </w:pPr>
    </w:p>
    <w:p>
      <w:pPr>
        <w:ind w:firstLine="488"/>
        <w:spacing w:after="0" w:line="261" w:lineRule="auto"/>
        <w:rPr>
          <w:sz w:val="20"/>
          <w:szCs w:val="20"/>
          <w:color w:val="auto"/>
        </w:rPr>
      </w:pPr>
      <w:r>
        <w:rPr>
          <w:rFonts w:ascii="Times New Roman" w:cs="Times New Roman" w:eastAsia="Times New Roman" w:hAnsi="Times New Roman"/>
          <w:sz w:val="14"/>
          <w:szCs w:val="14"/>
          <w:color w:val="auto"/>
        </w:rPr>
        <w:t>In connection with this Report on Form 10-Q for the three months ended December 31, 2022 (the “Report”) of PennantPark Floating Rate Capital, Ltd. (the “Registrant”), as filed with the Securities and Exchange Commission on the date hereof, I, Arthur H. Penn, Chief Executive Officer of the Registrant, hereby certify, to the best of my knowledge, that:</w:t>
      </w:r>
    </w:p>
    <w:p>
      <w:pPr>
        <w:spacing w:after="0" w:line="122" w:lineRule="exact"/>
        <w:rPr>
          <w:sz w:val="20"/>
          <w:szCs w:val="20"/>
          <w:color w:val="auto"/>
        </w:rPr>
      </w:pPr>
    </w:p>
    <w:p>
      <w:pPr>
        <w:ind w:left="780" w:hanging="284"/>
        <w:spacing w:after="0"/>
        <w:tabs>
          <w:tab w:leader="none" w:pos="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63" w:lineRule="exact"/>
        <w:rPr>
          <w:rFonts w:ascii="Times New Roman" w:cs="Times New Roman" w:eastAsia="Times New Roman" w:hAnsi="Times New Roman"/>
          <w:sz w:val="14"/>
          <w:szCs w:val="14"/>
          <w:color w:val="auto"/>
        </w:rPr>
      </w:pPr>
    </w:p>
    <w:p>
      <w:pPr>
        <w:ind w:left="780" w:hanging="284"/>
        <w:spacing w:after="0"/>
        <w:tabs>
          <w:tab w:leader="none" w:pos="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Arthur H. Penn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0" w:type="dxa"/>
            <w:vAlign w:val="bottom"/>
            <w:tcBorders>
              <w:top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Name:</w:t>
            </w:r>
          </w:p>
        </w:tc>
        <w:tc>
          <w:tcPr>
            <w:tcW w:w="3980" w:type="dxa"/>
            <w:vAlign w:val="bottom"/>
            <w:tcBorders>
              <w:top w:val="single" w:sz="8" w:color="auto"/>
            </w:tcBorders>
          </w:tcPr>
          <w:p>
            <w:pPr>
              <w:ind w:left="80"/>
              <w:spacing w:after="0" w:line="160" w:lineRule="exact"/>
              <w:rPr>
                <w:sz w:val="20"/>
                <w:szCs w:val="20"/>
                <w:color w:val="auto"/>
              </w:rPr>
            </w:pPr>
            <w:r>
              <w:rPr>
                <w:rFonts w:ascii="Times New Roman" w:cs="Times New Roman" w:eastAsia="Times New Roman" w:hAnsi="Times New Roman"/>
                <w:sz w:val="14"/>
                <w:szCs w:val="14"/>
                <w:color w:val="auto"/>
              </w:rPr>
              <w:t>Arthur H. Penn</w:t>
            </w:r>
          </w:p>
        </w:tc>
        <w:tc>
          <w:tcPr>
            <w:tcW w:w="6760" w:type="dxa"/>
            <w:vAlign w:val="bottom"/>
          </w:tcPr>
          <w:p>
            <w:pPr>
              <w:spacing w:after="0"/>
              <w:rPr>
                <w:sz w:val="13"/>
                <w:szCs w:val="13"/>
                <w:color w:val="auto"/>
              </w:rPr>
            </w:pPr>
          </w:p>
        </w:tc>
      </w:tr>
      <w:tr>
        <w:trPr>
          <w:trHeight w:val="175"/>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Executive Officer</w:t>
            </w:r>
          </w:p>
        </w:tc>
        <w:tc>
          <w:tcPr>
            <w:tcW w:w="6760" w:type="dxa"/>
            <w:vAlign w:val="bottom"/>
          </w:tcPr>
          <w:p>
            <w:pPr>
              <w:spacing w:after="0"/>
              <w:rPr>
                <w:sz w:val="15"/>
                <w:szCs w:val="15"/>
                <w:color w:val="auto"/>
              </w:rPr>
            </w:pPr>
          </w:p>
        </w:tc>
      </w:tr>
      <w:tr>
        <w:trPr>
          <w:trHeight w:val="188"/>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February 8, 2023</w:t>
            </w:r>
          </w:p>
        </w:tc>
        <w:tc>
          <w:tcPr>
            <w:tcW w:w="6760" w:type="dxa"/>
            <w:vAlign w:val="bottom"/>
          </w:tcPr>
          <w:p>
            <w:pPr>
              <w:spacing w:after="0"/>
              <w:rPr>
                <w:sz w:val="16"/>
                <w:szCs w:val="16"/>
                <w:color w:val="auto"/>
              </w:rPr>
            </w:pPr>
          </w:p>
        </w:tc>
      </w:tr>
      <w:tr>
        <w:trPr>
          <w:trHeight w:val="476"/>
        </w:trPr>
        <w:tc>
          <w:tcPr>
            <w:tcW w:w="5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 (18 U.S.C. 1350)</w:t>
      </w:r>
    </w:p>
    <w:p>
      <w:pPr>
        <w:spacing w:after="0" w:line="147" w:lineRule="exact"/>
        <w:rPr>
          <w:sz w:val="20"/>
          <w:szCs w:val="20"/>
          <w:color w:val="auto"/>
        </w:rPr>
      </w:pPr>
    </w:p>
    <w:p>
      <w:pPr>
        <w:ind w:firstLine="488"/>
        <w:spacing w:after="0" w:line="261" w:lineRule="auto"/>
        <w:rPr>
          <w:sz w:val="20"/>
          <w:szCs w:val="20"/>
          <w:color w:val="auto"/>
        </w:rPr>
      </w:pPr>
      <w:r>
        <w:rPr>
          <w:rFonts w:ascii="Times New Roman" w:cs="Times New Roman" w:eastAsia="Times New Roman" w:hAnsi="Times New Roman"/>
          <w:sz w:val="14"/>
          <w:szCs w:val="14"/>
          <w:color w:val="auto"/>
        </w:rPr>
        <w:t>In connection with this Report on Form 10-Q for the three months ended December 31, 2022 (the “Report”) of PennantPark Floating Rate Capital, Ltd. (the “Registrant”), as filed with the Securities and Exchange Commission on the date hereof, I, Richard T. Allorto, Jr., Chief Financial Officer of the Registrant, hereby certify, to the best of my knowledge, that:</w:t>
      </w:r>
    </w:p>
    <w:p>
      <w:pPr>
        <w:spacing w:after="0" w:line="95" w:lineRule="exact"/>
        <w:rPr>
          <w:sz w:val="20"/>
          <w:szCs w:val="20"/>
          <w:color w:val="auto"/>
        </w:rPr>
      </w:pPr>
    </w:p>
    <w:p>
      <w:pPr>
        <w:ind w:left="780" w:hanging="284"/>
        <w:spacing w:after="0"/>
        <w:tabs>
          <w:tab w:leader="none" w:pos="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63" w:lineRule="exact"/>
        <w:rPr>
          <w:rFonts w:ascii="Times New Roman" w:cs="Times New Roman" w:eastAsia="Times New Roman" w:hAnsi="Times New Roman"/>
          <w:sz w:val="14"/>
          <w:szCs w:val="14"/>
          <w:color w:val="auto"/>
        </w:rPr>
      </w:pPr>
    </w:p>
    <w:p>
      <w:pPr>
        <w:ind w:left="780" w:hanging="284"/>
        <w:spacing w:after="0"/>
        <w:tabs>
          <w:tab w:leader="none" w:pos="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Richard T. Allorto, Jr.</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60" w:type="dxa"/>
            <w:vAlign w:val="bottom"/>
            <w:tcBorders>
              <w:top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Name:</w:t>
            </w:r>
          </w:p>
        </w:tc>
        <w:tc>
          <w:tcPr>
            <w:tcW w:w="3920" w:type="dxa"/>
            <w:vAlign w:val="bottom"/>
            <w:tcBorders>
              <w:top w:val="single" w:sz="8" w:color="auto"/>
            </w:tcBorders>
          </w:tcPr>
          <w:p>
            <w:pPr>
              <w:ind w:left="140"/>
              <w:spacing w:after="0" w:line="160" w:lineRule="exact"/>
              <w:rPr>
                <w:sz w:val="20"/>
                <w:szCs w:val="20"/>
                <w:color w:val="auto"/>
              </w:rPr>
            </w:pPr>
            <w:r>
              <w:rPr>
                <w:rFonts w:ascii="Times New Roman" w:cs="Times New Roman" w:eastAsia="Times New Roman" w:hAnsi="Times New Roman"/>
                <w:sz w:val="14"/>
                <w:szCs w:val="14"/>
                <w:color w:val="auto"/>
              </w:rPr>
              <w:t>Richard T. Allorto, Jr.</w:t>
            </w:r>
          </w:p>
        </w:tc>
        <w:tc>
          <w:tcPr>
            <w:tcW w:w="6760" w:type="dxa"/>
            <w:vAlign w:val="bottom"/>
          </w:tcPr>
          <w:p>
            <w:pPr>
              <w:spacing w:after="0"/>
              <w:rPr>
                <w:sz w:val="13"/>
                <w:szCs w:val="13"/>
                <w:color w:val="auto"/>
              </w:rPr>
            </w:pPr>
          </w:p>
        </w:tc>
      </w:tr>
      <w:tr>
        <w:trPr>
          <w:trHeight w:val="176"/>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3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Chief Financial Officer</w:t>
            </w:r>
          </w:p>
        </w:tc>
        <w:tc>
          <w:tcPr>
            <w:tcW w:w="6760" w:type="dxa"/>
            <w:vAlign w:val="bottom"/>
          </w:tcPr>
          <w:p>
            <w:pPr>
              <w:spacing w:after="0"/>
              <w:rPr>
                <w:sz w:val="15"/>
                <w:szCs w:val="15"/>
                <w:color w:val="auto"/>
              </w:rPr>
            </w:pPr>
          </w:p>
        </w:tc>
      </w:tr>
      <w:tr>
        <w:trPr>
          <w:trHeight w:val="188"/>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3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8, 2023</w:t>
            </w:r>
          </w:p>
        </w:tc>
        <w:tc>
          <w:tcPr>
            <w:tcW w:w="6760" w:type="dxa"/>
            <w:vAlign w:val="bottom"/>
          </w:tcPr>
          <w:p>
            <w:pPr>
              <w:spacing w:after="0"/>
              <w:rPr>
                <w:sz w:val="16"/>
                <w:szCs w:val="16"/>
                <w:color w:val="auto"/>
              </w:rPr>
            </w:pPr>
          </w:p>
        </w:tc>
      </w:tr>
      <w:tr>
        <w:trPr>
          <w:trHeight w:val="476"/>
        </w:trPr>
        <w:tc>
          <w:tcPr>
            <w:tcW w:w="5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lowerLetter"/>
      <w:start w:val="5"/>
    </w:lvl>
    <w:lvl w:ilvl="1">
      <w:lvlJc w:val="left"/>
      <w:lvlText w:val="%2."/>
      <w:numFmt w:val="decimal"/>
      <w:start w:val="1"/>
    </w:lvl>
  </w:abstractNum>
  <w:abstractNum w:abstractNumId="6">
    <w:nsid w:val="436C6125"/>
    <w:multiLevelType w:val="hybridMultilevel"/>
    <w:lvl w:ilvl="0">
      <w:lvlJc w:val="left"/>
      <w:lvlText w:val="%1."/>
      <w:numFmt w:val="decimal"/>
      <w:start w:val="3"/>
    </w:lvl>
    <w:lvl w:ilvl="1">
      <w:lvlJc w:val="left"/>
      <w:lvlText w:val="(%2)"/>
      <w:numFmt w:val="lowerLetter"/>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
      <w:numFmt w:val="bullet"/>
      <w:start w:val="1"/>
    </w:lvl>
    <w:lvl w:ilvl="1">
      <w:lvlJc w:val="left"/>
      <w:lvlText w:val="%2"/>
      <w:numFmt w:val="decimal"/>
      <w:start w:val="104"/>
    </w:lvl>
  </w:abstractNum>
  <w:abstractNum w:abstractNumId="28">
    <w:nsid w:val="737B8DDC"/>
    <w:multiLevelType w:val="hybridMultilevel"/>
    <w:lvl w:ilvl="0">
      <w:lvlJc w:val="left"/>
      <w:lvlText w:val="%1."/>
      <w:numFmt w:val="decimal"/>
      <w:start w:val="1"/>
    </w:lvl>
    <w:lvl w:ilvl="1">
      <w:lvlJc w:val="left"/>
      <w:lvlText w:val="%2)"/>
      <w:numFmt w:val="lowerLetter"/>
      <w:start w:val="1"/>
    </w:lvl>
  </w:abstractNum>
  <w:abstractNum w:abstractNumId="29">
    <w:nsid w:val="6CEAF087"/>
    <w:multiLevelType w:val="hybridMultilevel"/>
    <w:lvl w:ilvl="0">
      <w:lvlJc w:val="left"/>
      <w:lvlText w:val="%1"/>
      <w:numFmt w:val="decimal"/>
      <w:start w:val="1"/>
    </w:lvl>
    <w:lvl w:ilvl="1">
      <w:lvlJc w:val="left"/>
      <w:lvlText w:val="%2)"/>
      <w:numFmt w:val="lowerLetter"/>
      <w:start w:val="3"/>
    </w:lvl>
  </w:abstractNum>
  <w:abstractNum w:abstractNumId="30">
    <w:nsid w:val="22221A70"/>
    <w:multiLevelType w:val="hybridMultilevel"/>
    <w:lvl w:ilvl="0">
      <w:lvlJc w:val="left"/>
      <w:lvlText w:val="%1."/>
      <w:numFmt w:val="decimal"/>
      <w:start w:val="5"/>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08" Type="http://schemas.openxmlformats.org/officeDocument/2006/relationships/hyperlink" Target="https://www.sec.gov/Archives/edgar/data/1504619/000119312511080862/dex99a.htm" TargetMode="External"/><Relationship Id="rId309" Type="http://schemas.openxmlformats.org/officeDocument/2006/relationships/hyperlink" Target="https://www.sec.gov/Archives/edgar/data/1504619/000156459020024167/pflt-ex32_144.htm" TargetMode="External"/><Relationship Id="rId310" Type="http://schemas.openxmlformats.org/officeDocument/2006/relationships/hyperlink" Target="https://www.sec.gov/Archives/edgar/data/1504619/000119312511088977/dex99d.htm" TargetMode="External"/><Relationship Id="rId311" Type="http://schemas.openxmlformats.org/officeDocument/2006/relationships/hyperlink" Target="https://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2023-02-08T17:48:55Z</dcterms:created>
  <dcterms:modified xsi:type="dcterms:W3CDTF">2023-02-08T17:48:55Z</dcterms:modified>
</cp:coreProperties>
</file>