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400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spacing w:after="0" w:line="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9" w:lineRule="exact"/>
        <w:rPr>
          <w:sz w:val="24"/>
          <w:szCs w:val="24"/>
          <w:color w:val="auto"/>
        </w:rPr>
      </w:pPr>
    </w:p>
    <w:p>
      <w:pPr>
        <w:jc w:val="center"/>
        <w:ind w:left="2280" w:right="280"/>
        <w:spacing w:after="0" w:line="272" w:lineRule="auto"/>
        <w:rPr>
          <w:sz w:val="20"/>
          <w:szCs w:val="20"/>
          <w:color w:val="auto"/>
        </w:rPr>
      </w:pPr>
      <w:r>
        <w:rPr>
          <w:rFonts w:ascii="Times New Roman" w:cs="Times New Roman" w:eastAsia="Times New Roman" w:hAnsi="Times New Roman"/>
          <w:sz w:val="32"/>
          <w:szCs w:val="32"/>
          <w:b w:val="1"/>
          <w:bCs w:val="1"/>
          <w:color w:val="auto"/>
        </w:rPr>
        <w:t>Proxy Statement Pursuant to Section 14(a) of the Securities Exchange Act of 1934 ——————————</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8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6"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989330</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1212215</wp:posOffset>
            </wp:positionV>
            <wp:extent cx="206565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“Annual Meeting”) of PennantPark Floating Rate Capital Ltd., a Maryland corporation (“PFLT” or the “Company”), to be held on February 4, 2025 at 9:45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www.virtualshareholdermeeting.com/PFLT2025 and using the Control Number included in the Notice of Internet Availability of Proxy Materials.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2025.</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786-297-9500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February 4, 2025</w:t>
      </w:r>
    </w:p>
    <w:p>
      <w:pPr>
        <w:spacing w:after="0" w:line="211"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6"/>
          <w:szCs w:val="16"/>
          <w:color w:val="auto"/>
        </w:rPr>
        <w:t>December 11, 2024</w:t>
      </w:r>
    </w:p>
    <w:p>
      <w:pPr>
        <w:spacing w:after="0" w:line="23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Floating Rate Capital Ltd., a Maryland corporation (“PFLT” or the “Company”), that: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2025 Annual Meeting of Stockholders of the Company (the “Annual Meeting”) will be held virtually on February 4, 2025 at 9:45 a.m., Eastern Time, at www.virtualshareholdermeeting.com/PFLT2025 for the following purposes:</w:t>
      </w:r>
    </w:p>
    <w:p>
      <w:pPr>
        <w:spacing w:after="0" w:line="54" w:lineRule="exact"/>
        <w:rPr>
          <w:sz w:val="20"/>
          <w:szCs w:val="20"/>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of Directors of the Company, who will each serve for a term of three years until the 2028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2025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www.virtualshareholdermeeting.com/PFLT2025.</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December 4, 2024.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6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7"/>
          <w:szCs w:val="17"/>
          <w:b w:val="1"/>
          <w:bCs w:val="1"/>
          <w:color w:val="auto"/>
        </w:rPr>
        <w:t>THE COMPANY’S BOARD OF DIRECTORS, INCLUDING EACH OF THE INDEPENDENT DIRECTORS, UNANIMOUSLY RECOMMENDS THAT YOU VOTE “FOR” EACH OF THE PROPOSALS.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9692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24892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J. Friedmann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Secretary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9" w:lineRule="exact"/>
        <w:rPr>
          <w:sz w:val="20"/>
          <w:szCs w:val="20"/>
          <w:color w:val="auto"/>
        </w:rPr>
      </w:pPr>
    </w:p>
    <w:p>
      <w:pPr>
        <w:ind w:left="160" w:right="160"/>
        <w:spacing w:after="0" w:line="286" w:lineRule="auto"/>
        <w:rPr>
          <w:sz w:val="20"/>
          <w:szCs w:val="20"/>
          <w:color w:val="auto"/>
        </w:rPr>
      </w:pPr>
      <w:r>
        <w:rPr>
          <w:rFonts w:ascii="Times New Roman" w:cs="Times New Roman" w:eastAsia="Times New Roman" w:hAnsi="Times New Roman"/>
          <w:sz w:val="17"/>
          <w:szCs w:val="17"/>
          <w:b w:val="1"/>
          <w:bCs w:val="1"/>
          <w:color w:val="auto"/>
        </w:rPr>
        <w:t>This is an important meeting. To ensure proper representation at the Annual Meeting, please follow the instructions on the Notice of Internet Availability of Proxy Materials to authorize your proxy via the Internet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136130" cy="278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78765"/>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160" w:right="160"/>
        <w:spacing w:after="0" w:line="267" w:lineRule="auto"/>
        <w:rPr>
          <w:sz w:val="20"/>
          <w:szCs w:val="20"/>
          <w:color w:val="auto"/>
        </w:rPr>
      </w:pPr>
      <w:r>
        <w:rPr>
          <w:rFonts w:ascii="Times New Roman" w:cs="Times New Roman" w:eastAsia="Times New Roman" w:hAnsi="Times New Roman"/>
          <w:sz w:val="17"/>
          <w:szCs w:val="17"/>
          <w:b w:val="1"/>
          <w:bCs w:val="1"/>
          <w:color w:val="auto"/>
        </w:rPr>
        <w:t>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136130" cy="407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0"/>
          <w:szCs w:val="20"/>
          <w:color w:val="auto"/>
        </w:rPr>
      </w:pPr>
    </w:p>
    <w:p>
      <w:pPr>
        <w:ind w:left="5480" w:hanging="441"/>
        <w:spacing w:after="0"/>
        <w:tabs>
          <w:tab w:leader="none" w:pos="5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297-9500</w:t>
      </w:r>
    </w:p>
    <w:p>
      <w:pPr>
        <w:spacing w:after="0" w:line="9" w:lineRule="exact"/>
        <w:rPr>
          <w:rFonts w:ascii="Times New Roman" w:cs="Times New Roman" w:eastAsia="Times New Roman" w:hAnsi="Times New Roman"/>
          <w:sz w:val="18"/>
          <w:szCs w:val="18"/>
          <w:b w:val="1"/>
          <w:bCs w:val="1"/>
          <w:color w:val="auto"/>
        </w:rPr>
      </w:pPr>
    </w:p>
    <w:p>
      <w:pPr>
        <w:ind w:left="4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rFonts w:ascii="Times New Roman" w:cs="Times New Roman" w:eastAsia="Times New Roman" w:hAnsi="Times New Roman"/>
          <w:sz w:val="18"/>
          <w:szCs w:val="18"/>
          <w:b w:val="1"/>
          <w:bCs w:val="1"/>
          <w:color w:val="auto"/>
        </w:rPr>
      </w:pPr>
    </w:p>
    <w:p>
      <w:pPr>
        <w:ind w:left="5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4, 2025</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786-297-9500.</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Floating Rate Capital Ltd., a Maryland corporation (“PFLT,” the “Company,” “we,” “us” or “our”) for use at the Company’s 2025 Virtual Annual Meeting of Stockholders (the “Annual Meeting”) to be held on Tuesday, February 4, 2025 at 9:45 a.m., Eastern Time, at www.virtualshareholdermeeting.com/PFLT2025,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2024 (the “Annual Report”) are being provided to the stockholders thereof (the “Stockholders”) via the Internet on or about December 26, 2024. In addition, a Notice of Annual Meeting and a Notice of Internet Availability of Proxy Materials are being sent to Stockholders of record of the Company as of the close of business on December 4, 2024 (the “Record Date”).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www.virtualshareholdermeeting.com/PFLT2025, type your question into the “Ask a Question” field, and click “Submit.”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4" w:name="page5"/>
    <w:bookmarkEnd w:id="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2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239" w:lineRule="exact"/>
        <w:rPr>
          <w:sz w:val="20"/>
          <w:szCs w:val="20"/>
          <w:color w:val="auto"/>
        </w:rPr>
      </w:pPr>
    </w:p>
    <w:p>
      <w:pPr>
        <w:ind w:left="1260" w:right="20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2028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260" w:right="24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2025 (“Proposal 2”); and</w:t>
      </w:r>
    </w:p>
    <w:p>
      <w:pPr>
        <w:spacing w:after="0" w:line="161"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www.virtualshareholdermeeting.com/PFLT2025</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3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83,229,896 shares of the Company’s common stock, par value $0.001 per share (the “Common Stock”), outstanding on the Record Date. Stockholders are entitled to one vote for each share of Common Stock held.</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cast for and against such nominee at the Annual Meeting in person (virtually) or by proxy. If you vote “Against” with respect to a nominee, your shares will be voted against the person indicated. Abstentions and Broker Non-Votes will have no effect on the result of the vote. Stockholders of the Company may not cumulate their votes.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permitted to exercise voting discretion with respect to Proposal 1.</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Beach, Florida 33139 or 786-297-9500. If, at any time, you no longer wish to participate in “householding” and would prefer to receive a separate Notice of Internet Availability of Proxy Materials or other communications, please notify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Beach, Florida 33139 .</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 Stockholder wishes to participate in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4160" w:type="dxa"/>
            <w:vAlign w:val="bottom"/>
          </w:tcPr>
          <w:p>
            <w:pPr>
              <w:spacing w:after="0"/>
              <w:rPr>
                <w:sz w:val="12"/>
                <w:szCs w:val="12"/>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 of ownership</w:t>
            </w:r>
            <w:r>
              <w:rPr>
                <w:rFonts w:ascii="Times New Roman" w:cs="Times New Roman" w:eastAsia="Times New Roman" w:hAnsi="Times New Roman"/>
                <w:sz w:val="19"/>
                <w:szCs w:val="19"/>
                <w:b w:val="1"/>
                <w:bCs w:val="1"/>
                <w:color w:val="auto"/>
                <w:w w:val="98"/>
                <w:vertAlign w:val="superscript"/>
              </w:rPr>
              <w:t>(3)</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00" w:type="dxa"/>
            <w:vAlign w:val="bottom"/>
            <w:tcBorders>
              <w:bottom w:val="single" w:sz="8" w:color="auto"/>
            </w:tcBorders>
            <w:vMerge w:val="continue"/>
          </w:tcPr>
          <w:p>
            <w:pPr>
              <w:spacing w:after="0"/>
              <w:rPr>
                <w:sz w:val="9"/>
                <w:szCs w:val="9"/>
                <w:color w:val="auto"/>
              </w:rPr>
            </w:pPr>
          </w:p>
        </w:tc>
        <w:tc>
          <w:tcPr>
            <w:tcW w:w="4160" w:type="dxa"/>
            <w:vAlign w:val="bottom"/>
            <w:vMerge w:val="restart"/>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276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Adam K. Bernstein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Marshall Brozost</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Jeffrey Flug</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Samuel L. Katz</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147,100</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00" w:type="dxa"/>
            <w:vAlign w:val="bottom"/>
            <w:gridSpan w:val="3"/>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344,009</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327,599</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Richard T. Allorto,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843,758</w:t>
            </w:r>
          </w:p>
        </w:tc>
        <w:tc>
          <w:tcPr>
            <w:tcW w:w="220" w:type="dxa"/>
            <w:vAlign w:val="bottom"/>
            <w:gridSpan w:val="2"/>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344,009 shares held by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3" w:right="2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Investment Corporation, a business development company managed by the Adviser (“PNNT”).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0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75"/>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060" w:type="dxa"/>
            <w:vAlign w:val="bottom"/>
          </w:tcPr>
          <w:p>
            <w:pPr>
              <w:jc w:val="right"/>
              <w:ind w:right="695"/>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$10,001 - $50,000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220" w:type="dxa"/>
            <w:vAlign w:val="bottom"/>
          </w:tcPr>
          <w:p>
            <w:pPr>
              <w:spacing w:after="0"/>
              <w:rPr>
                <w:sz w:val="18"/>
                <w:szCs w:val="18"/>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8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20" w:right="86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8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ind w:firstLine="8"/>
        <w:spacing w:after="0" w:line="260"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2027, 2028 and 2026, respectively. Each director will hold office for the term to which he is elected and until a successor is duly elected and qualifies.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284"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of Mr. Adam Bernstein and Mr. Jeffrey Flug has been nominated for election as a Class II director of PFLT for a three-year term expiring at the annual meeting of stockholders in 2028. Neither Mr. Bernstein nor Mr. Flug are being proposed for election pursuant to any agreement or understanding between either Mr. Bernstein nor Mr. Flug and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0" w:type="dxa"/>
            <w:vAlign w:val="bottom"/>
          </w:tcPr>
          <w:p>
            <w:pPr>
              <w:spacing w:after="0"/>
              <w:rPr>
                <w:sz w:val="1"/>
                <w:szCs w:val="1"/>
                <w:color w:val="auto"/>
              </w:rPr>
            </w:pPr>
          </w:p>
        </w:tc>
      </w:tr>
      <w:tr>
        <w:trPr>
          <w:trHeight w:val="148"/>
        </w:trPr>
        <w:tc>
          <w:tcPr>
            <w:tcW w:w="22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0" w:type="dxa"/>
            <w:vAlign w:val="bottom"/>
          </w:tcPr>
          <w:p>
            <w:pPr>
              <w:spacing w:after="0"/>
              <w:rPr>
                <w:sz w:val="1"/>
                <w:szCs w:val="1"/>
                <w:color w:val="auto"/>
              </w:rPr>
            </w:pPr>
          </w:p>
        </w:tc>
      </w:tr>
      <w:tr>
        <w:trPr>
          <w:trHeight w:val="173"/>
        </w:trPr>
        <w:tc>
          <w:tcPr>
            <w:tcW w:w="2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5 Years</w:t>
            </w:r>
          </w:p>
        </w:tc>
        <w:tc>
          <w:tcPr>
            <w:tcW w:w="0" w:type="dxa"/>
            <w:vAlign w:val="bottom"/>
          </w:tcPr>
          <w:p>
            <w:pPr>
              <w:spacing w:after="0"/>
              <w:rPr>
                <w:sz w:val="1"/>
                <w:szCs w:val="1"/>
                <w:color w:val="auto"/>
              </w:rPr>
            </w:pPr>
          </w:p>
        </w:tc>
      </w:tr>
      <w:tr>
        <w:trPr>
          <w:trHeight w:val="30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Adam K. Bernstein (61)</w:t>
            </w:r>
          </w:p>
        </w:tc>
        <w:tc>
          <w:tcPr>
            <w:tcW w:w="120" w:type="dxa"/>
            <w:vAlign w:val="bottom"/>
          </w:tcPr>
          <w:p>
            <w:pPr>
              <w:spacing w:after="0"/>
              <w:rPr>
                <w:sz w:val="22"/>
                <w:szCs w:val="22"/>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PFLT - Class II</w:t>
            </w:r>
          </w:p>
        </w:tc>
        <w:tc>
          <w:tcPr>
            <w:tcW w:w="120" w:type="dxa"/>
            <w:vAlign w:val="bottom"/>
          </w:tcPr>
          <w:p>
            <w:pPr>
              <w:spacing w:after="0"/>
              <w:rPr>
                <w:sz w:val="22"/>
                <w:szCs w:val="22"/>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President of The Bernstein Companies,</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Nominee</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 Washington, D.C.-based real estate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and development firm, since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expires, if elected</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1995 and President and Chief Executive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Officer of Consortium Atlantic Realty</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Inc., a private real estate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trust operating in the Mid-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Atlantic region, from 2006. Also, Mr.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Bernstein served on the Board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Overseers of the School of Arts and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Sciences at the University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Pennsylvania from 2012 to 2021 and the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Board of Trustees of the School of Arts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Sciences at the University of</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Pennsylvania from 2018 to 2022.</w:t>
            </w:r>
          </w:p>
        </w:tc>
        <w:tc>
          <w:tcPr>
            <w:tcW w:w="0" w:type="dxa"/>
            <w:vAlign w:val="bottom"/>
          </w:tcPr>
          <w:p>
            <w:pPr>
              <w:spacing w:after="0"/>
              <w:rPr>
                <w:sz w:val="1"/>
                <w:szCs w:val="1"/>
                <w:color w:val="auto"/>
              </w:rPr>
            </w:pPr>
          </w:p>
        </w:tc>
      </w:tr>
      <w:tr>
        <w:trPr>
          <w:trHeight w:val="257"/>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Marshall Brozost (57)</w:t>
            </w:r>
          </w:p>
        </w:tc>
        <w:tc>
          <w:tcPr>
            <w:tcW w:w="120" w:type="dxa"/>
            <w:vAlign w:val="bottom"/>
          </w:tcPr>
          <w:p>
            <w:pPr>
              <w:spacing w:after="0"/>
              <w:rPr>
                <w:sz w:val="22"/>
                <w:szCs w:val="22"/>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PFLT - Class I</w:t>
            </w:r>
          </w:p>
        </w:tc>
        <w:tc>
          <w:tcPr>
            <w:tcW w:w="120" w:type="dxa"/>
            <w:vAlign w:val="bottom"/>
          </w:tcPr>
          <w:p>
            <w:pPr>
              <w:spacing w:after="0"/>
              <w:rPr>
                <w:sz w:val="22"/>
                <w:szCs w:val="22"/>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Partner at Allen Matkins Leck Gamble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Mallory &amp; Natsis LLP, where he serves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 co-chair of the New York real estate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expires 2027</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group, since September 2023. Prior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Allen Matkins Leck Gamble Mallory &amp;</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Natsis LLP, Mr. Brozost practiced law</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McDermott Will &amp; Emery LLP, From</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April 2022 to September 2023; Orrick,</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Herrington &amp; Sutcliffe LLP, from July</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2016 to April 2022; at Schulte Roth &amp;</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Zabel LLP from May 2012 to July</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2016; and at Dewey &amp; LeBoeuf LLP</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from 2005 to 2012.</w:t>
            </w:r>
          </w:p>
        </w:tc>
        <w:tc>
          <w:tcPr>
            <w:tcW w:w="0" w:type="dxa"/>
            <w:vAlign w:val="bottom"/>
          </w:tcPr>
          <w:p>
            <w:pPr>
              <w:spacing w:after="0"/>
              <w:rPr>
                <w:sz w:val="1"/>
                <w:szCs w:val="1"/>
                <w:color w:val="auto"/>
              </w:rPr>
            </w:pPr>
          </w:p>
        </w:tc>
      </w:tr>
      <w:tr>
        <w:trPr>
          <w:trHeight w:val="257"/>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Jeffrey Flug (62)</w:t>
            </w:r>
          </w:p>
        </w:tc>
        <w:tc>
          <w:tcPr>
            <w:tcW w:w="120" w:type="dxa"/>
            <w:vAlign w:val="bottom"/>
          </w:tcPr>
          <w:p>
            <w:pPr>
              <w:spacing w:after="0"/>
              <w:rPr>
                <w:sz w:val="22"/>
                <w:szCs w:val="22"/>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PFLT - Class II</w:t>
            </w:r>
          </w:p>
        </w:tc>
        <w:tc>
          <w:tcPr>
            <w:tcW w:w="120" w:type="dxa"/>
            <w:vAlign w:val="bottom"/>
          </w:tcPr>
          <w:p>
            <w:pPr>
              <w:spacing w:after="0"/>
              <w:rPr>
                <w:sz w:val="22"/>
                <w:szCs w:val="22"/>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Mr. Flug was President of Union Square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Nominee</w:t>
            </w: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Hospitality Group, an exclusive chain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restaurants, from 2009 to June 2015.</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Mr. Flug served as Chief Executive</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elected, 2028</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Officer and Executive Director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Millennium Promise Alliance, Inc., a</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non-profit organization whose mission</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 to eradicate extreme global poverty,</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from 2006 to 2008. From 2000 to 2006,</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Mr. Flug was a Managing Director and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Head of North American Institutional</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Sales at JP Morgan’s Investment Bank.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6"/>
        </w:trPr>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2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5"/>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6"/>
              </w:rPr>
              <w:t>the Past 5 Years</w:t>
            </w:r>
            <w:r>
              <w:rPr>
                <w:rFonts w:ascii="Times New Roman" w:cs="Times New Roman" w:eastAsia="Times New Roman" w:hAnsi="Times New Roman"/>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565"/>
        </w:trPr>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Two</w:t>
            </w:r>
          </w:p>
        </w:tc>
        <w:tc>
          <w:tcPr>
            <w:tcW w:w="1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Advisory Board Member</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University Research</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Corporation since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spacing w:after="0"/>
        <w:tabs>
          <w:tab w:leader="none" w:pos="2520" w:val="left"/>
        </w:tabs>
        <w:rPr>
          <w:sz w:val="20"/>
          <w:szCs w:val="20"/>
          <w:color w:val="auto"/>
        </w:rPr>
      </w:pPr>
      <w:r>
        <w:rPr>
          <w:rFonts w:ascii="Times New Roman" w:cs="Times New Roman" w:eastAsia="Times New Roman" w:hAnsi="Times New Roman"/>
          <w:sz w:val="14"/>
          <w:szCs w:val="14"/>
          <w:color w:val="auto"/>
        </w:rPr>
        <w:t>Two</w:t>
      </w:r>
      <w:r>
        <w:rPr>
          <w:sz w:val="20"/>
          <w:szCs w:val="20"/>
          <w:color w:val="auto"/>
        </w:rPr>
        <w:tab/>
      </w: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80"/>
        <w:spacing w:after="0"/>
        <w:tabs>
          <w:tab w:leader="none" w:pos="1920" w:val="left"/>
        </w:tabs>
        <w:rPr>
          <w:sz w:val="20"/>
          <w:szCs w:val="20"/>
          <w:color w:val="auto"/>
        </w:rPr>
      </w:pPr>
      <w:r>
        <w:rPr>
          <w:rFonts w:ascii="Times New Roman" w:cs="Times New Roman" w:eastAsia="Times New Roman" w:hAnsi="Times New Roman"/>
          <w:sz w:val="14"/>
          <w:szCs w:val="14"/>
          <w:color w:val="auto"/>
        </w:rPr>
        <w:t>Two</w:t>
      </w:r>
      <w:r>
        <w:rPr>
          <w:sz w:val="20"/>
          <w:szCs w:val="20"/>
          <w:color w:val="auto"/>
        </w:rPr>
        <w:tab/>
      </w:r>
      <w:r>
        <w:rPr>
          <w:rFonts w:ascii="Times New Roman" w:cs="Times New Roman" w:eastAsia="Times New Roman" w:hAnsi="Times New Roman"/>
          <w:sz w:val="14"/>
          <w:szCs w:val="14"/>
          <w:color w:val="auto"/>
        </w:rPr>
        <w:t>Shake Shack Inc., since</w:t>
      </w:r>
    </w:p>
    <w:p>
      <w:pPr>
        <w:ind w:left="1940"/>
        <w:spacing w:after="0" w:line="226" w:lineRule="auto"/>
        <w:rPr>
          <w:sz w:val="20"/>
          <w:szCs w:val="20"/>
          <w:color w:val="auto"/>
        </w:rPr>
      </w:pPr>
      <w:r>
        <w:rPr>
          <w:rFonts w:ascii="Times New Roman" w:cs="Times New Roman" w:eastAsia="Times New Roman" w:hAnsi="Times New Roman"/>
          <w:sz w:val="14"/>
          <w:szCs w:val="14"/>
          <w:color w:val="auto"/>
        </w:rPr>
        <w:t>September 2014; Tender</w:t>
      </w:r>
    </w:p>
    <w:p>
      <w:pPr>
        <w:ind w:left="1940"/>
        <w:spacing w:after="0" w:line="222" w:lineRule="auto"/>
        <w:rPr>
          <w:sz w:val="20"/>
          <w:szCs w:val="20"/>
          <w:color w:val="auto"/>
        </w:rPr>
      </w:pPr>
      <w:r>
        <w:rPr>
          <w:rFonts w:ascii="Times New Roman" w:cs="Times New Roman" w:eastAsia="Times New Roman" w:hAnsi="Times New Roman"/>
          <w:sz w:val="14"/>
          <w:szCs w:val="14"/>
          <w:color w:val="auto"/>
        </w:rPr>
        <w:t>Greens, a private</w:t>
      </w:r>
    </w:p>
    <w:p>
      <w:pPr>
        <w:ind w:left="1940"/>
        <w:spacing w:after="0" w:line="221" w:lineRule="auto"/>
        <w:rPr>
          <w:sz w:val="20"/>
          <w:szCs w:val="20"/>
          <w:color w:val="auto"/>
        </w:rPr>
      </w:pPr>
      <w:r>
        <w:rPr>
          <w:rFonts w:ascii="Times New Roman" w:cs="Times New Roman" w:eastAsia="Times New Roman" w:hAnsi="Times New Roman"/>
          <w:sz w:val="14"/>
          <w:szCs w:val="14"/>
          <w:color w:val="auto"/>
        </w:rPr>
        <w:t>company, since 2015;</w:t>
      </w:r>
    </w:p>
    <w:p>
      <w:pPr>
        <w:ind w:left="1940"/>
        <w:spacing w:after="0" w:line="221" w:lineRule="auto"/>
        <w:rPr>
          <w:sz w:val="20"/>
          <w:szCs w:val="20"/>
          <w:color w:val="auto"/>
        </w:rPr>
      </w:pPr>
      <w:r>
        <w:rPr>
          <w:rFonts w:ascii="Times New Roman" w:cs="Times New Roman" w:eastAsia="Times New Roman" w:hAnsi="Times New Roman"/>
          <w:sz w:val="14"/>
          <w:szCs w:val="14"/>
          <w:color w:val="auto"/>
        </w:rPr>
        <w:t>Sears Hometown and</w:t>
      </w:r>
    </w:p>
    <w:p>
      <w:pPr>
        <w:ind w:left="1940"/>
        <w:spacing w:after="0" w:line="222" w:lineRule="auto"/>
        <w:rPr>
          <w:sz w:val="20"/>
          <w:szCs w:val="20"/>
          <w:color w:val="auto"/>
        </w:rPr>
      </w:pPr>
      <w:r>
        <w:rPr>
          <w:rFonts w:ascii="Times New Roman" w:cs="Times New Roman" w:eastAsia="Times New Roman" w:hAnsi="Times New Roman"/>
          <w:sz w:val="14"/>
          <w:szCs w:val="14"/>
          <w:color w:val="auto"/>
        </w:rPr>
        <w:t>Outlet Stores, Inc., from</w:t>
      </w:r>
    </w:p>
    <w:p>
      <w:pPr>
        <w:ind w:left="1940"/>
        <w:spacing w:after="0" w:line="221" w:lineRule="auto"/>
        <w:rPr>
          <w:sz w:val="20"/>
          <w:szCs w:val="20"/>
          <w:color w:val="auto"/>
        </w:rPr>
      </w:pPr>
      <w:r>
        <w:rPr>
          <w:rFonts w:ascii="Times New Roman" w:cs="Times New Roman" w:eastAsia="Times New Roman" w:hAnsi="Times New Roman"/>
          <w:sz w:val="14"/>
          <w:szCs w:val="14"/>
          <w:color w:val="auto"/>
        </w:rPr>
        <w:t>October 2012 to</w:t>
      </w:r>
    </w:p>
    <w:p>
      <w:pPr>
        <w:ind w:left="1940"/>
        <w:spacing w:after="0"/>
        <w:rPr>
          <w:sz w:val="20"/>
          <w:szCs w:val="20"/>
          <w:color w:val="auto"/>
        </w:rPr>
      </w:pPr>
      <w:r>
        <w:rPr>
          <w:rFonts w:ascii="Times New Roman" w:cs="Times New Roman" w:eastAsia="Times New Roman" w:hAnsi="Times New Roman"/>
          <w:sz w:val="14"/>
          <w:szCs w:val="14"/>
          <w:color w:val="auto"/>
        </w:rPr>
        <w:t>September 2015.</w:t>
      </w:r>
    </w:p>
    <w:p>
      <w:pPr>
        <w:sectPr>
          <w:pgSz w:w="11900" w:h="16838" w:orient="portrait"/>
          <w:cols w:equalWidth="0" w:num="2">
            <w:col w:w="7680" w:space="100"/>
            <w:col w:w="3460"/>
          </w:cols>
          <w:pgMar w:left="320" w:top="1440" w:right="339" w:bottom="1440" w:gutter="0" w:footer="0" w:header="0"/>
        </w:sectPr>
      </w:pPr>
    </w:p>
    <w:bookmarkStart w:id="10" w:name="page11"/>
    <w:bookmarkEnd w:id="10"/>
    <w:p>
      <w:pPr>
        <w:spacing w:after="0"/>
        <w:tabs>
          <w:tab w:leader="none" w:pos="2320" w:val="left"/>
          <w:tab w:leader="none" w:pos="3780" w:val="left"/>
          <w:tab w:leader="none" w:pos="5280" w:val="left"/>
        </w:tabs>
        <w:rPr>
          <w:sz w:val="20"/>
          <w:szCs w:val="20"/>
          <w:color w:val="auto"/>
        </w:rPr>
      </w:pPr>
      <w:r>
        <w:rPr>
          <w:rFonts w:ascii="Times New Roman" w:cs="Times New Roman" w:eastAsia="Times New Roman" w:hAnsi="Times New Roman"/>
          <w:sz w:val="14"/>
          <w:szCs w:val="14"/>
          <w:color w:val="auto"/>
        </w:rPr>
        <w:t>Samuel L. Katz (59)</w:t>
      </w:r>
      <w:r>
        <w:rPr>
          <w:sz w:val="20"/>
          <w:szCs w:val="20"/>
          <w:color w:val="auto"/>
        </w:rPr>
        <w:tab/>
      </w: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PFLT - Class I</w:t>
      </w:r>
      <w:r>
        <w:rPr>
          <w:sz w:val="20"/>
          <w:szCs w:val="20"/>
          <w:color w:val="auto"/>
        </w:rPr>
        <w:tab/>
      </w:r>
      <w:r>
        <w:rPr>
          <w:rFonts w:ascii="Times New Roman" w:cs="Times New Roman" w:eastAsia="Times New Roman" w:hAnsi="Times New Roman"/>
          <w:sz w:val="14"/>
          <w:szCs w:val="14"/>
          <w:color w:val="auto"/>
        </w:rPr>
        <w:t>Managing Partner of TZP Group LLC, a</w:t>
      </w:r>
    </w:p>
    <w:p>
      <w:pPr>
        <w:ind w:left="3800"/>
        <w:spacing w:after="0" w:line="226" w:lineRule="auto"/>
        <w:tabs>
          <w:tab w:leader="none" w:pos="5280" w:val="left"/>
        </w:tabs>
        <w:rPr>
          <w:sz w:val="20"/>
          <w:szCs w:val="20"/>
          <w:color w:val="auto"/>
        </w:rPr>
      </w:pPr>
      <w:r>
        <w:rPr>
          <w:rFonts w:ascii="Times New Roman" w:cs="Times New Roman" w:eastAsia="Times New Roman" w:hAnsi="Times New Roman"/>
          <w:sz w:val="14"/>
          <w:szCs w:val="14"/>
          <w:color w:val="auto"/>
        </w:rPr>
        <w:t>Director since</w:t>
      </w:r>
      <w:r>
        <w:rPr>
          <w:sz w:val="20"/>
          <w:szCs w:val="20"/>
          <w:color w:val="auto"/>
        </w:rPr>
        <w:tab/>
      </w:r>
      <w:r>
        <w:rPr>
          <w:rFonts w:ascii="Times New Roman" w:cs="Times New Roman" w:eastAsia="Times New Roman" w:hAnsi="Times New Roman"/>
          <w:sz w:val="14"/>
          <w:szCs w:val="14"/>
          <w:color w:val="auto"/>
        </w:rPr>
        <w:t>private equity fund, since 2007. Chief</w:t>
      </w:r>
    </w:p>
    <w:p>
      <w:pPr>
        <w:ind w:left="3800"/>
        <w:spacing w:after="0" w:line="222" w:lineRule="auto"/>
        <w:tabs>
          <w:tab w:leader="none" w:pos="5280" w:val="left"/>
        </w:tabs>
        <w:rPr>
          <w:sz w:val="20"/>
          <w:szCs w:val="20"/>
          <w:color w:val="auto"/>
        </w:rPr>
      </w:pPr>
      <w:r>
        <w:rPr>
          <w:rFonts w:ascii="Times New Roman" w:cs="Times New Roman" w:eastAsia="Times New Roman" w:hAnsi="Times New Roman"/>
          <w:sz w:val="14"/>
          <w:szCs w:val="14"/>
          <w:color w:val="auto"/>
        </w:rPr>
        <w:t>October 2010;</w:t>
      </w:r>
      <w:r>
        <w:rPr>
          <w:sz w:val="20"/>
          <w:szCs w:val="20"/>
          <w:color w:val="auto"/>
        </w:rPr>
        <w:tab/>
      </w:r>
      <w:r>
        <w:rPr>
          <w:rFonts w:ascii="Times New Roman" w:cs="Times New Roman" w:eastAsia="Times New Roman" w:hAnsi="Times New Roman"/>
          <w:sz w:val="14"/>
          <w:szCs w:val="14"/>
          <w:color w:val="auto"/>
        </w:rPr>
        <w:t>Executive Officer and director of TZP</w:t>
      </w:r>
    </w:p>
    <w:p>
      <w:pPr>
        <w:ind w:left="3800"/>
        <w:spacing w:after="0" w:line="221" w:lineRule="auto"/>
        <w:tabs>
          <w:tab w:leader="none" w:pos="5280" w:val="left"/>
        </w:tabs>
        <w:rPr>
          <w:sz w:val="20"/>
          <w:szCs w:val="20"/>
          <w:color w:val="auto"/>
        </w:rPr>
      </w:pPr>
      <w:r>
        <w:rPr>
          <w:rFonts w:ascii="Times New Roman" w:cs="Times New Roman" w:eastAsia="Times New Roman" w:hAnsi="Times New Roman"/>
          <w:sz w:val="14"/>
          <w:szCs w:val="14"/>
          <w:color w:val="auto"/>
        </w:rPr>
        <w:t>Term expires 2027</w:t>
      </w:r>
      <w:r>
        <w:rPr>
          <w:sz w:val="20"/>
          <w:szCs w:val="20"/>
          <w:color w:val="auto"/>
        </w:rPr>
        <w:tab/>
      </w:r>
      <w:r>
        <w:rPr>
          <w:rFonts w:ascii="Times New Roman" w:cs="Times New Roman" w:eastAsia="Times New Roman" w:hAnsi="Times New Roman"/>
          <w:sz w:val="14"/>
          <w:szCs w:val="14"/>
          <w:color w:val="auto"/>
        </w:rPr>
        <w:t>Strategies Acquisition Corp. (Nasdaq:</w:t>
      </w:r>
    </w:p>
    <w:p>
      <w:pPr>
        <w:ind w:left="5300"/>
        <w:spacing w:after="0" w:line="221" w:lineRule="auto"/>
        <w:rPr>
          <w:sz w:val="20"/>
          <w:szCs w:val="20"/>
          <w:color w:val="auto"/>
        </w:rPr>
      </w:pPr>
      <w:r>
        <w:rPr>
          <w:rFonts w:ascii="Times New Roman" w:cs="Times New Roman" w:eastAsia="Times New Roman" w:hAnsi="Times New Roman"/>
          <w:sz w:val="14"/>
          <w:szCs w:val="14"/>
          <w:color w:val="auto"/>
        </w:rPr>
        <w:t>TZPS), a special purpose acquisition</w:t>
      </w:r>
    </w:p>
    <w:p>
      <w:pPr>
        <w:ind w:left="5300"/>
        <w:spacing w:after="0" w:line="222" w:lineRule="auto"/>
        <w:rPr>
          <w:sz w:val="20"/>
          <w:szCs w:val="20"/>
          <w:color w:val="auto"/>
        </w:rPr>
      </w:pPr>
      <w:r>
        <w:rPr>
          <w:rFonts w:ascii="Times New Roman" w:cs="Times New Roman" w:eastAsia="Times New Roman" w:hAnsi="Times New Roman"/>
          <w:sz w:val="14"/>
          <w:szCs w:val="14"/>
          <w:color w:val="auto"/>
        </w:rPr>
        <w:t>company; Before joining TZP Group,</w:t>
      </w:r>
    </w:p>
    <w:p>
      <w:pPr>
        <w:ind w:left="5300"/>
        <w:spacing w:after="0" w:line="221" w:lineRule="auto"/>
        <w:rPr>
          <w:sz w:val="20"/>
          <w:szCs w:val="20"/>
          <w:color w:val="auto"/>
        </w:rPr>
      </w:pPr>
      <w:r>
        <w:rPr>
          <w:rFonts w:ascii="Times New Roman" w:cs="Times New Roman" w:eastAsia="Times New Roman" w:hAnsi="Times New Roman"/>
          <w:sz w:val="14"/>
          <w:szCs w:val="14"/>
          <w:color w:val="auto"/>
        </w:rPr>
        <w:t>Mr. Katz was Chief Executive Officer</w:t>
      </w:r>
    </w:p>
    <w:p>
      <w:pPr>
        <w:ind w:left="5300"/>
        <w:spacing w:after="0" w:line="221" w:lineRule="auto"/>
        <w:rPr>
          <w:sz w:val="20"/>
          <w:szCs w:val="20"/>
          <w:color w:val="auto"/>
        </w:rPr>
      </w:pPr>
      <w:r>
        <w:rPr>
          <w:rFonts w:ascii="Times New Roman" w:cs="Times New Roman" w:eastAsia="Times New Roman" w:hAnsi="Times New Roman"/>
          <w:sz w:val="14"/>
          <w:szCs w:val="14"/>
          <w:color w:val="auto"/>
        </w:rPr>
        <w:t>of MacAndrews &amp; Forbes Acquisition</w:t>
      </w:r>
    </w:p>
    <w:p>
      <w:pPr>
        <w:ind w:left="5300"/>
        <w:spacing w:after="0" w:line="222" w:lineRule="auto"/>
        <w:rPr>
          <w:sz w:val="20"/>
          <w:szCs w:val="20"/>
          <w:color w:val="auto"/>
        </w:rPr>
      </w:pPr>
      <w:r>
        <w:rPr>
          <w:rFonts w:ascii="Times New Roman" w:cs="Times New Roman" w:eastAsia="Times New Roman" w:hAnsi="Times New Roman"/>
          <w:sz w:val="14"/>
          <w:szCs w:val="14"/>
          <w:color w:val="auto"/>
        </w:rPr>
        <w:t>Holdings, Inc. from 2006 to 2007. Prior</w:t>
      </w:r>
    </w:p>
    <w:p>
      <w:pPr>
        <w:ind w:left="5300"/>
        <w:spacing w:after="0" w:line="221" w:lineRule="auto"/>
        <w:rPr>
          <w:sz w:val="20"/>
          <w:szCs w:val="20"/>
          <w:color w:val="auto"/>
        </w:rPr>
      </w:pPr>
      <w:r>
        <w:rPr>
          <w:rFonts w:ascii="Times New Roman" w:cs="Times New Roman" w:eastAsia="Times New Roman" w:hAnsi="Times New Roman"/>
          <w:sz w:val="14"/>
          <w:szCs w:val="14"/>
          <w:color w:val="auto"/>
        </w:rPr>
        <w:t>to that position, Mr. Katz was Chairman</w:t>
      </w:r>
    </w:p>
    <w:p>
      <w:pPr>
        <w:ind w:left="5300"/>
        <w:spacing w:after="0" w:line="222" w:lineRule="auto"/>
        <w:rPr>
          <w:sz w:val="20"/>
          <w:szCs w:val="20"/>
          <w:color w:val="auto"/>
        </w:rPr>
      </w:pPr>
      <w:r>
        <w:rPr>
          <w:rFonts w:ascii="Times New Roman" w:cs="Times New Roman" w:eastAsia="Times New Roman" w:hAnsi="Times New Roman"/>
          <w:sz w:val="14"/>
          <w:szCs w:val="14"/>
          <w:color w:val="auto"/>
        </w:rPr>
        <w:t>and Chief Executive Officer of the</w:t>
      </w:r>
    </w:p>
    <w:p>
      <w:pPr>
        <w:ind w:left="5300"/>
        <w:spacing w:after="0" w:line="221" w:lineRule="auto"/>
        <w:rPr>
          <w:sz w:val="20"/>
          <w:szCs w:val="20"/>
          <w:color w:val="auto"/>
        </w:rPr>
      </w:pPr>
      <w:r>
        <w:rPr>
          <w:rFonts w:ascii="Times New Roman" w:cs="Times New Roman" w:eastAsia="Times New Roman" w:hAnsi="Times New Roman"/>
          <w:sz w:val="14"/>
          <w:szCs w:val="14"/>
          <w:color w:val="auto"/>
        </w:rPr>
        <w:t>Cendant Travel Distribution Services</w:t>
      </w:r>
    </w:p>
    <w:p>
      <w:pPr>
        <w:ind w:left="5300"/>
        <w:spacing w:after="0"/>
        <w:rPr>
          <w:sz w:val="20"/>
          <w:szCs w:val="20"/>
          <w:color w:val="auto"/>
        </w:rPr>
      </w:pPr>
      <w:r>
        <w:rPr>
          <w:rFonts w:ascii="Times New Roman" w:cs="Times New Roman" w:eastAsia="Times New Roman" w:hAnsi="Times New Roman"/>
          <w:sz w:val="14"/>
          <w:szCs w:val="14"/>
          <w:color w:val="auto"/>
        </w:rPr>
        <w:t>Division from 2001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420" w:val="left"/>
        </w:tabs>
        <w:rPr>
          <w:sz w:val="20"/>
          <w:szCs w:val="20"/>
          <w:color w:val="auto"/>
        </w:rPr>
      </w:pPr>
      <w:r>
        <w:rPr>
          <w:rFonts w:ascii="Times New Roman" w:cs="Times New Roman" w:eastAsia="Times New Roman" w:hAnsi="Times New Roman"/>
          <w:sz w:val="14"/>
          <w:szCs w:val="14"/>
          <w:color w:val="auto"/>
        </w:rPr>
        <w:t>Two</w:t>
      </w:r>
      <w:r>
        <w:rPr>
          <w:sz w:val="20"/>
          <w:szCs w:val="20"/>
          <w:color w:val="auto"/>
        </w:rPr>
        <w:tab/>
      </w:r>
      <w:r>
        <w:rPr>
          <w:rFonts w:ascii="Times New Roman" w:cs="Times New Roman" w:eastAsia="Times New Roman" w:hAnsi="Times New Roman"/>
          <w:sz w:val="14"/>
          <w:szCs w:val="14"/>
          <w:color w:val="auto"/>
        </w:rPr>
        <w:t>Director of TZP</w:t>
      </w:r>
    </w:p>
    <w:p>
      <w:pPr>
        <w:ind w:left="1260"/>
        <w:spacing w:after="0" w:line="226" w:lineRule="auto"/>
        <w:rPr>
          <w:sz w:val="20"/>
          <w:szCs w:val="20"/>
          <w:color w:val="auto"/>
        </w:rPr>
      </w:pPr>
      <w:r>
        <w:rPr>
          <w:rFonts w:ascii="Times New Roman" w:cs="Times New Roman" w:eastAsia="Times New Roman" w:hAnsi="Times New Roman"/>
          <w:sz w:val="14"/>
          <w:szCs w:val="14"/>
          <w:color w:val="auto"/>
        </w:rPr>
        <w:t>Strategies Acquisition</w:t>
      </w:r>
    </w:p>
    <w:p>
      <w:pPr>
        <w:ind w:left="1180"/>
        <w:spacing w:after="0" w:line="222" w:lineRule="auto"/>
        <w:rPr>
          <w:sz w:val="20"/>
          <w:szCs w:val="20"/>
          <w:color w:val="auto"/>
        </w:rPr>
      </w:pPr>
      <w:r>
        <w:rPr>
          <w:rFonts w:ascii="Times New Roman" w:cs="Times New Roman" w:eastAsia="Times New Roman" w:hAnsi="Times New Roman"/>
          <w:sz w:val="14"/>
          <w:szCs w:val="14"/>
          <w:color w:val="auto"/>
        </w:rPr>
        <w:t>Corp.; BQ Resorts, LLC;</w:t>
      </w:r>
    </w:p>
    <w:p>
      <w:pPr>
        <w:ind w:left="1400"/>
        <w:spacing w:after="0" w:line="221" w:lineRule="auto"/>
        <w:rPr>
          <w:sz w:val="20"/>
          <w:szCs w:val="20"/>
          <w:color w:val="auto"/>
        </w:rPr>
      </w:pPr>
      <w:r>
        <w:rPr>
          <w:rFonts w:ascii="Times New Roman" w:cs="Times New Roman" w:eastAsia="Times New Roman" w:hAnsi="Times New Roman"/>
          <w:sz w:val="14"/>
          <w:szCs w:val="14"/>
          <w:color w:val="auto"/>
        </w:rPr>
        <w:t>Lift Brands, Inc.;</w:t>
      </w:r>
    </w:p>
    <w:p>
      <w:pPr>
        <w:ind w:left="1340"/>
        <w:spacing w:after="0" w:line="221" w:lineRule="auto"/>
        <w:rPr>
          <w:sz w:val="20"/>
          <w:szCs w:val="20"/>
          <w:color w:val="auto"/>
        </w:rPr>
      </w:pPr>
      <w:r>
        <w:rPr>
          <w:rFonts w:ascii="Times New Roman" w:cs="Times New Roman" w:eastAsia="Times New Roman" w:hAnsi="Times New Roman"/>
          <w:sz w:val="14"/>
          <w:szCs w:val="14"/>
          <w:color w:val="auto"/>
        </w:rPr>
        <w:t>HomeRiver Group;</w:t>
      </w:r>
    </w:p>
    <w:p>
      <w:pPr>
        <w:ind w:left="1240"/>
        <w:spacing w:after="0" w:line="222" w:lineRule="auto"/>
        <w:rPr>
          <w:sz w:val="20"/>
          <w:szCs w:val="20"/>
          <w:color w:val="auto"/>
        </w:rPr>
      </w:pPr>
      <w:r>
        <w:rPr>
          <w:rFonts w:ascii="Times New Roman" w:cs="Times New Roman" w:eastAsia="Times New Roman" w:hAnsi="Times New Roman"/>
          <w:sz w:val="14"/>
          <w:szCs w:val="14"/>
          <w:color w:val="auto"/>
        </w:rPr>
        <w:t>Pyramid Hotel Group;</w:t>
      </w:r>
    </w:p>
    <w:p>
      <w:pPr>
        <w:ind w:left="1200"/>
        <w:spacing w:after="0" w:line="221" w:lineRule="auto"/>
        <w:rPr>
          <w:sz w:val="20"/>
          <w:szCs w:val="20"/>
          <w:color w:val="auto"/>
        </w:rPr>
      </w:pPr>
      <w:r>
        <w:rPr>
          <w:rFonts w:ascii="Times New Roman" w:cs="Times New Roman" w:eastAsia="Times New Roman" w:hAnsi="Times New Roman"/>
          <w:sz w:val="14"/>
          <w:szCs w:val="14"/>
          <w:color w:val="auto"/>
        </w:rPr>
        <w:t>Triangle Home Fashions</w:t>
      </w:r>
    </w:p>
    <w:p>
      <w:pPr>
        <w:ind w:left="1440"/>
        <w:spacing w:after="0" w:line="221" w:lineRule="auto"/>
        <w:rPr>
          <w:sz w:val="20"/>
          <w:szCs w:val="20"/>
          <w:color w:val="auto"/>
        </w:rPr>
      </w:pPr>
      <w:r>
        <w:rPr>
          <w:rFonts w:ascii="Times New Roman" w:cs="Times New Roman" w:eastAsia="Times New Roman" w:hAnsi="Times New Roman"/>
          <w:sz w:val="14"/>
          <w:szCs w:val="14"/>
          <w:color w:val="auto"/>
        </w:rPr>
        <w:t>Holdings, LLC;</w:t>
      </w:r>
    </w:p>
    <w:p>
      <w:pPr>
        <w:ind w:left="1380"/>
        <w:spacing w:after="0" w:line="222" w:lineRule="auto"/>
        <w:rPr>
          <w:sz w:val="20"/>
          <w:szCs w:val="20"/>
          <w:color w:val="auto"/>
        </w:rPr>
      </w:pPr>
      <w:r>
        <w:rPr>
          <w:rFonts w:ascii="Times New Roman" w:cs="Times New Roman" w:eastAsia="Times New Roman" w:hAnsi="Times New Roman"/>
          <w:sz w:val="14"/>
          <w:szCs w:val="14"/>
          <w:color w:val="auto"/>
        </w:rPr>
        <w:t>Whitestone Home</w:t>
      </w:r>
    </w:p>
    <w:p>
      <w:pPr>
        <w:ind w:left="1200"/>
        <w:spacing w:after="0" w:line="221" w:lineRule="auto"/>
        <w:rPr>
          <w:sz w:val="20"/>
          <w:szCs w:val="20"/>
          <w:color w:val="auto"/>
        </w:rPr>
      </w:pPr>
      <w:r>
        <w:rPr>
          <w:rFonts w:ascii="Times New Roman" w:cs="Times New Roman" w:eastAsia="Times New Roman" w:hAnsi="Times New Roman"/>
          <w:sz w:val="14"/>
          <w:szCs w:val="14"/>
          <w:color w:val="auto"/>
        </w:rPr>
        <w:t>Furnishings, LLC (d/b/a</w:t>
      </w:r>
    </w:p>
    <w:p>
      <w:pPr>
        <w:ind w:left="1240"/>
        <w:spacing w:after="0" w:line="222" w:lineRule="auto"/>
        <w:rPr>
          <w:sz w:val="20"/>
          <w:szCs w:val="20"/>
          <w:color w:val="auto"/>
        </w:rPr>
      </w:pPr>
      <w:r>
        <w:rPr>
          <w:rFonts w:ascii="Times New Roman" w:cs="Times New Roman" w:eastAsia="Times New Roman" w:hAnsi="Times New Roman"/>
          <w:sz w:val="14"/>
          <w:szCs w:val="14"/>
          <w:color w:val="auto"/>
        </w:rPr>
        <w:t>The Saatva Company);</w:t>
      </w:r>
    </w:p>
    <w:p>
      <w:pPr>
        <w:ind w:left="1300"/>
        <w:spacing w:after="0" w:line="221" w:lineRule="auto"/>
        <w:rPr>
          <w:sz w:val="20"/>
          <w:szCs w:val="20"/>
          <w:color w:val="auto"/>
        </w:rPr>
      </w:pPr>
      <w:r>
        <w:rPr>
          <w:rFonts w:ascii="Times New Roman" w:cs="Times New Roman" w:eastAsia="Times New Roman" w:hAnsi="Times New Roman"/>
          <w:sz w:val="14"/>
          <w:szCs w:val="14"/>
          <w:color w:val="auto"/>
        </w:rPr>
        <w:t>Dwellworks; Rebath</w:t>
      </w:r>
    </w:p>
    <w:p>
      <w:pPr>
        <w:ind w:left="1340"/>
        <w:spacing w:after="0" w:line="221" w:lineRule="auto"/>
        <w:rPr>
          <w:sz w:val="20"/>
          <w:szCs w:val="20"/>
          <w:color w:val="auto"/>
        </w:rPr>
      </w:pPr>
      <w:r>
        <w:rPr>
          <w:rFonts w:ascii="Times New Roman" w:cs="Times New Roman" w:eastAsia="Times New Roman" w:hAnsi="Times New Roman"/>
          <w:sz w:val="14"/>
          <w:szCs w:val="14"/>
          <w:color w:val="auto"/>
        </w:rPr>
        <w:t>Member: Executive</w:t>
      </w:r>
    </w:p>
    <w:p>
      <w:pPr>
        <w:ind w:left="1340"/>
        <w:spacing w:after="0" w:line="222" w:lineRule="auto"/>
        <w:rPr>
          <w:sz w:val="20"/>
          <w:szCs w:val="20"/>
          <w:color w:val="auto"/>
        </w:rPr>
      </w:pPr>
      <w:r>
        <w:rPr>
          <w:rFonts w:ascii="Times New Roman" w:cs="Times New Roman" w:eastAsia="Times New Roman" w:hAnsi="Times New Roman"/>
          <w:sz w:val="14"/>
          <w:szCs w:val="14"/>
          <w:color w:val="auto"/>
        </w:rPr>
        <w:t>Committee of YRF</w:t>
      </w:r>
    </w:p>
    <w:p>
      <w:pPr>
        <w:jc w:val="right"/>
        <w:spacing w:after="0" w:line="221" w:lineRule="auto"/>
        <w:rPr>
          <w:sz w:val="20"/>
          <w:szCs w:val="20"/>
          <w:color w:val="auto"/>
        </w:rPr>
      </w:pPr>
      <w:r>
        <w:rPr>
          <w:rFonts w:ascii="Times New Roman" w:cs="Times New Roman" w:eastAsia="Times New Roman" w:hAnsi="Times New Roman"/>
          <w:sz w:val="14"/>
          <w:szCs w:val="14"/>
          <w:color w:val="auto"/>
        </w:rPr>
        <w:t>Darca; Board of Advisors</w:t>
      </w:r>
    </w:p>
    <w:p>
      <w:pPr>
        <w:ind w:left="1220"/>
        <w:spacing w:after="0" w:line="222" w:lineRule="auto"/>
        <w:rPr>
          <w:sz w:val="20"/>
          <w:szCs w:val="20"/>
          <w:color w:val="auto"/>
        </w:rPr>
      </w:pPr>
      <w:r>
        <w:rPr>
          <w:rFonts w:ascii="Times New Roman" w:cs="Times New Roman" w:eastAsia="Times New Roman" w:hAnsi="Times New Roman"/>
          <w:sz w:val="14"/>
          <w:szCs w:val="14"/>
          <w:color w:val="auto"/>
        </w:rPr>
        <w:t>of Columbia University</w:t>
      </w:r>
    </w:p>
    <w:p>
      <w:pPr>
        <w:ind w:left="1280"/>
        <w:spacing w:after="0"/>
        <w:rPr>
          <w:sz w:val="20"/>
          <w:szCs w:val="20"/>
          <w:color w:val="auto"/>
        </w:rPr>
      </w:pPr>
      <w:r>
        <w:rPr>
          <w:rFonts w:ascii="Times New Roman" w:cs="Times New Roman" w:eastAsia="Times New Roman" w:hAnsi="Times New Roman"/>
          <w:sz w:val="14"/>
          <w:szCs w:val="14"/>
          <w:color w:val="auto"/>
        </w:rPr>
        <w:t>Irving Medical Center</w:t>
      </w:r>
    </w:p>
    <w:p>
      <w:pPr>
        <w:sectPr>
          <w:pgSz w:w="11900" w:h="16838" w:orient="portrait"/>
          <w:cols w:equalWidth="0" w:num="2">
            <w:col w:w="7820" w:space="720"/>
            <w:col w:w="2660"/>
          </w:cols>
          <w:pgMar w:left="340" w:top="1413" w:right="359" w:bottom="1440" w:gutter="0" w:footer="0" w:header="0"/>
        </w:sectPr>
      </w:pPr>
    </w:p>
    <w:bookmarkStart w:id="11" w:name="page12"/>
    <w:bookmarkEnd w:id="11"/>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Interested Director</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Arthur H. Penn (61)</w:t>
            </w:r>
            <w:r>
              <w:rPr>
                <w:rFonts w:ascii="Times New Roman" w:cs="Times New Roman" w:eastAsia="Times New Roman" w:hAnsi="Times New Roman"/>
                <w:sz w:val="19"/>
                <w:szCs w:val="19"/>
                <w:color w:val="auto"/>
                <w:vertAlign w:val="superscript"/>
              </w:rPr>
              <w:t>(3)</w:t>
            </w:r>
          </w:p>
        </w:tc>
        <w:tc>
          <w:tcPr>
            <w:tcW w:w="1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PFLT - Class III</w:t>
            </w:r>
          </w:p>
        </w:tc>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Founder, Chairman and Chief Executive</w:t>
            </w: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Two</w:t>
            </w:r>
          </w:p>
        </w:tc>
        <w:tc>
          <w:tcPr>
            <w:tcW w:w="106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Chief Executive</w:t>
            </w: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 of the Company from its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inception in 2010. Mr. Penn also is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Officer and</w:t>
            </w: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Term expires 2026</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Founder and Managing Member of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Chairman of the</w:t>
            </w: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Adviser. Before founding PNNT, Mr.</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Board of</w:t>
            </w: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Penn was the Co-Founder of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Management, where he was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 Managing Partner from 2004 to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 also served as Chief Operating</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 of Apollo Investment</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Corporation from inception in 2004 to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2006 and served as President and Chief</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Officer in 2006. He formerly</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Managing Partner of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Value Fund L.P. (formerly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Distressed Investment Fund, L.P.) from</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José A. Briones, Jr. (54)</w:t>
            </w:r>
            <w:r>
              <w:rPr>
                <w:rFonts w:ascii="Times New Roman" w:cs="Times New Roman" w:eastAsia="Times New Roman" w:hAnsi="Times New Roman"/>
                <w:sz w:val="19"/>
                <w:szCs w:val="19"/>
                <w:color w:val="auto"/>
                <w:vertAlign w:val="superscript"/>
              </w:rPr>
              <w:t>(4)</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PFLT - Class III</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2003 to 2006.</w:t>
            </w:r>
          </w:p>
        </w:tc>
        <w:tc>
          <w:tcPr>
            <w:tcW w:w="14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Two</w:t>
            </w:r>
          </w:p>
        </w:tc>
        <w:tc>
          <w:tcPr>
            <w:tcW w:w="10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Mr. Briones joined the Adviser in</w:t>
            </w:r>
          </w:p>
        </w:tc>
        <w:tc>
          <w:tcPr>
            <w:tcW w:w="14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December 2009 and is a Senior Partner.</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May 2022;</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joining the Adviser, Mr. Briones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Term expires 2026</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Partner of Apollo Investment</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Management, L.P. and a member of its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committee since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that, he was a Managing</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 with UBS Securities LLC in</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Financial Sponsors and Leveraged</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Finance Group from 2001 to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joining UBS, he was a Vice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President with JP Morgan in the Global</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Leveraged Finance Group from 1999 to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2001. From 1992 to 1999, Mr. Briones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Vice President at BT Securities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BT Alex Brown Inc. in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Finance Department.</w:t>
            </w: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663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Messrs. Penn and Briones, is independent under the applicable listing standards of the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243" w:lineRule="exact"/>
        <w:rPr>
          <w:sz w:val="20"/>
          <w:szCs w:val="20"/>
          <w:color w:val="auto"/>
        </w:rPr>
      </w:pPr>
    </w:p>
    <w:p>
      <w:pPr>
        <w:ind w:left="520" w:right="16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 practices complied with the applicable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663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From 2012 to 2021, Mr. Bernstein was appointed to the Board of Overseers of the School of Arts and Sciences at the University of Pennsylvania and has served on the Board of Trustees of the School of Arts and Sciences at the University of Pennsylvania from 2018 to 2022 and on the Advisory Board of University Research Corporation since 2020.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September 2023, Mr. Brozost has been a Partner at Allen Matkins Leck Gamble Mallory &amp; Natsis LLP, where he serves as co-chair of the New York real estate group. Prior to Allen Matkins Leck Gamble Mallory &amp; Natsis LLP, Mr. Brozost practiced law at McDermott Will &amp; Emery LLP from April 2022 to September 2023,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BQ Resorts, LLC; Lift Brands, Inc.; HomeRiver Group; Pyramid Hotel Group; Triangle Home Fashions Holdings, LLC; Whitestone Home Furnishings, LLC (d/b/a The Saatva Company); Dwellworks Investors; Rebath and YRF Darca; and he currently serves on the Board of Advisors of Columbia University Irving Medical Center.</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2024, the Board held four Board meetings, four Audit Committee meetings, two Nominating and Corporate Governance Committee meetings and two Compensation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Beach, Florida 33139 .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interested party with questions about the Company is encouraged to contact our Investor Relations Department at 1691 Michigan Avenue, Miami Beach, Florida 33139 or by visiting the investor relations web page on our website (http://www.pennantpark.com). However, if the interested parties believe that their questions have not been addressed, they may communicate with the Board by sending their communications to Thomas J. Friedmann, Secretary, c/o PennantPark, 1691 Michigan Avenue, Miami Beach, Florida 33139 . All such interested party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T. Allorto, Jr. (52)</w:t>
            </w:r>
          </w:p>
        </w:tc>
        <w:tc>
          <w:tcPr>
            <w:tcW w:w="120" w:type="dxa"/>
            <w:vAlign w:val="bottom"/>
          </w:tcPr>
          <w:p>
            <w:pPr>
              <w:spacing w:after="0"/>
              <w:rPr>
                <w:sz w:val="16"/>
                <w:szCs w:val="16"/>
                <w:color w:val="auto"/>
              </w:rPr>
            </w:pPr>
          </w:p>
        </w:tc>
        <w:tc>
          <w:tcPr>
            <w:tcW w:w="2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PNNT since June 2, 2022.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Allorto was most recently the Chief Financial Officer of Medley Management Inc.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Chief Financial Officer of Sierra Income Corporation and before that Medley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Corporation. Before that, he was a Managing Director at GSC Group from 2001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540" w:right="2060" w:hanging="5532"/>
        <w:spacing w:after="0" w:line="783" w:lineRule="auto"/>
        <w:tabs>
          <w:tab w:leader="none" w:pos="5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Beach, Florida 33139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16630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Frank Galea (56)</w:t>
            </w:r>
          </w:p>
        </w:tc>
        <w:tc>
          <w:tcPr>
            <w:tcW w:w="120" w:type="dxa"/>
            <w:vAlign w:val="bottom"/>
          </w:tcPr>
          <w:p>
            <w:pPr>
              <w:spacing w:after="0"/>
              <w:rPr>
                <w:sz w:val="16"/>
                <w:szCs w:val="16"/>
                <w:color w:val="auto"/>
              </w:rPr>
            </w:pPr>
          </w:p>
        </w:tc>
        <w:tc>
          <w:tcPr>
            <w:tcW w:w="2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the Company and PNNT from May 2023. Mr. Galea joined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Company’s outsourced Compliance service provider, ACA Group, in 2022 serving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deputy to the Company’s previous Chief Compliance Officer. Prior to joining ACA,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Galea worked for TIAA and its Nuveen subsidiary since 2010 in various Compliance roles,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including Chief Compliance Officer for its agribusiness investment adviser. Mr. Galea has</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been a Chartered Financial Analyst (CFA) charterholder since 2006.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Beach, Florida 33139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25, 2024.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No compensation is paid directly by the Company to any interested director or executive officer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32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4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expense</w:t>
            </w:r>
            <w:r>
              <w:rPr>
                <w:rFonts w:ascii="Times New Roman" w:cs="Times New Roman" w:eastAsia="Times New Roman" w:hAnsi="Times New Roman"/>
                <w:sz w:val="19"/>
                <w:szCs w:val="19"/>
                <w:b w:val="1"/>
                <w:bCs w:val="1"/>
                <w:color w:val="auto"/>
                <w:w w:val="94"/>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FF0FC"/>
          </w:tcPr>
          <w:p>
            <w:pPr>
              <w:spacing w:after="0"/>
              <w:rPr>
                <w:sz w:val="16"/>
                <w:szCs w:val="16"/>
                <w:color w:val="auto"/>
              </w:rPr>
            </w:pPr>
          </w:p>
        </w:tc>
        <w:tc>
          <w:tcPr>
            <w:tcW w:w="3440" w:type="dxa"/>
            <w:vAlign w:val="bottom"/>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17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320" w:type="dxa"/>
            <w:vAlign w:val="bottom"/>
            <w:tcBorders>
              <w:top w:val="single" w:sz="8" w:color="CFF0FC"/>
            </w:tcBorders>
          </w:tcPr>
          <w:p>
            <w:pPr>
              <w:spacing w:after="0"/>
              <w:rPr>
                <w:sz w:val="18"/>
                <w:szCs w:val="18"/>
                <w:color w:val="auto"/>
              </w:rPr>
            </w:pPr>
          </w:p>
        </w:tc>
        <w:tc>
          <w:tcPr>
            <w:tcW w:w="1820" w:type="dxa"/>
            <w:vAlign w:val="bottom"/>
            <w:tcBorders>
              <w:top w:val="single" w:sz="8" w:color="CFF0FC"/>
            </w:tcBorders>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5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251,250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126,250</w:t>
            </w:r>
          </w:p>
        </w:tc>
        <w:tc>
          <w:tcPr>
            <w:tcW w:w="320" w:type="dxa"/>
            <w:vAlign w:val="bottom"/>
          </w:tcPr>
          <w:p>
            <w:pPr>
              <w:spacing w:after="0"/>
              <w:rPr>
                <w:sz w:val="18"/>
                <w:szCs w:val="18"/>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126,250</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6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José A. Briones, Jr.</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18"/>
                <w:szCs w:val="18"/>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Executive officer</w:t>
            </w:r>
          </w:p>
        </w:tc>
        <w:tc>
          <w:tcPr>
            <w:tcW w:w="2140" w:type="dxa"/>
            <w:vAlign w:val="bottom"/>
            <w:tcBorders>
              <w:bottom w:val="single" w:sz="8" w:color="CFF0FC"/>
            </w:tcBorders>
            <w:gridSpan w:val="3"/>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24"/>
                <w:szCs w:val="24"/>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re-approved by the Board, including a majority of the Independent Directors, in May 2024.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2024, the Adviser earned a base management fee of $14.9 million and an incentive fee of $18.1 million from the Company.</w:t>
      </w:r>
    </w:p>
    <w:p>
      <w:pPr>
        <w:spacing w:after="0" w:line="1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May 2024 and was amended (as amended, the “Administration Agreement”) with Board approval, including a majority of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2024, the Adviser and the Administrator, collectively, were reimbursed $2.2 million from the Company for the services described above.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reviews, it also considers any conflicts of interest brought to its attention pursuant to the Company’s Code of Conduct or Code of Ethics.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i w:val="1"/>
          <w:iCs w:val="1"/>
          <w:color w:val="auto"/>
        </w:rPr>
        <w:t>ROPOSAL 2: RATIFICATION OF SELECTION OF INDEPENDENT REGISTERED PUBLIC ACCOUNTING FIRM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RSM US LLP (“RSM”), has been selected as the independent registered public accounting firm to audit the consolidated financial statements of the Company and its subsidiaries on and during the Company’s fiscal year ending September 30, 2025.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101600</wp:posOffset>
            </wp:positionV>
            <wp:extent cx="9398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101600</wp:posOffset>
            </wp:positionV>
            <wp:extent cx="939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6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tcBorders>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4"/>
                <w:szCs w:val="14"/>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80" w:type="dxa"/>
            <w:vAlign w:val="bottom"/>
            <w:shd w:val="clear" w:color="auto" w:fill="CFF0FC"/>
          </w:tcPr>
          <w:p>
            <w:pPr>
              <w:jc w:val="right"/>
              <w:ind w:right="24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634,910</w:t>
            </w:r>
          </w:p>
        </w:tc>
        <w:tc>
          <w:tcPr>
            <w:tcW w:w="106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535,775</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2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153,160</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shd w:val="clear" w:color="auto" w:fill="CFF0FC"/>
          </w:tcPr>
          <w:p>
            <w:pPr>
              <w:jc w:val="right"/>
              <w:ind w:right="24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826,061</w:t>
            </w:r>
          </w:p>
        </w:tc>
        <w:tc>
          <w:tcPr>
            <w:tcW w:w="106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708,435</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66"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2024 were approved by the Audit Committee in accordance with such policy.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next scheduled meeting. The Audit Committee does not delegate its responsibilities to pre-approve services performed by the independent registered public accounting firm to Company management.</w:t>
      </w:r>
    </w:p>
    <w:p>
      <w:pPr>
        <w:spacing w:after="0" w:line="2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2024.</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Beach, Florida 33139. Copies of such reports are also posted via the SEC’s Electronic Data Gathering, Analysis, and Retrieval system available on the SEC’s website (http://www.sec.gov).</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www.virtualshareholdermeeting.com/PFLT2025, and enter the 16-digit Control Number included in your Notice of Internet Availability of Proxy Materials. Online check-in will begin at 9:30 AM Eastern Time. Please allow time for online check-in procedures. For questions regarding the virtual Annual Meeting please call the support number that will be posted on the virtual Annual Meeting platform log-in page at www.virtualshareholdermeeting.com/PFLT2025.</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2026 Annual Meeting of Stockholders in February 2026,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Beach,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2026 Annual Meeting of Stockholders must be received by the Company between July 28, 2025 and August 27, 2025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38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96925"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69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8862695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8999855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8854440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8854440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786"/>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upperLetter"/>
      <w:start w:val="3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2024-12-11T15:10:12Z</dcterms:created>
  <dcterms:modified xsi:type="dcterms:W3CDTF">2024-12-11T15:10:12Z</dcterms:modified>
</cp:coreProperties>
</file>