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333-235532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482ad</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[TEXT OF COMMUNICATION SENT VIA BLOOMBERG]</w:t>
      </w:r>
    </w:p>
    <w:p>
      <w:pPr>
        <w:spacing w:after="0" w:line="2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This email may be forwarded EXTERNALLY ***</w:t>
      </w:r>
    </w:p>
    <w:p>
      <w:pPr>
        <w:sectPr>
          <w:pgSz w:w="11900" w:h="16838" w:orient="portrait"/>
          <w:cols w:equalWidth="0" w:num="1">
            <w:col w:w="11020"/>
          </w:cols>
          <w:pgMar w:left="440" w:top="229" w:right="439" w:bottom="1440" w:gutter="0" w:footer="0" w:header="0"/>
        </w:sect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Expected Ratings:</w:t>
      </w:r>
    </w:p>
    <w:p>
      <w:pPr>
        <w:spacing w:after="0"/>
        <w:rPr>
          <w:sz w:val="20"/>
          <w:szCs w:val="20"/>
          <w:color w:val="auto"/>
        </w:rPr>
      </w:pPr>
      <w:r>
        <w:rPr>
          <w:rFonts w:ascii="Times New Roman" w:cs="Times New Roman" w:eastAsia="Times New Roman" w:hAnsi="Times New Roman"/>
          <w:sz w:val="20"/>
          <w:szCs w:val="20"/>
          <w:b w:val="1"/>
          <w:bCs w:val="1"/>
          <w:color w:val="auto"/>
        </w:rPr>
        <w:t>Size:</w:t>
      </w:r>
    </w:p>
    <w:p>
      <w:pPr>
        <w:spacing w:after="0"/>
        <w:rPr>
          <w:sz w:val="20"/>
          <w:szCs w:val="20"/>
          <w:color w:val="auto"/>
        </w:rPr>
      </w:pPr>
      <w:r>
        <w:rPr>
          <w:rFonts w:ascii="Times New Roman" w:cs="Times New Roman" w:eastAsia="Times New Roman" w:hAnsi="Times New Roman"/>
          <w:sz w:val="20"/>
          <w:szCs w:val="20"/>
          <w:b w:val="1"/>
          <w:bCs w:val="1"/>
          <w:color w:val="auto"/>
        </w:rPr>
        <w:t>Tenor:</w:t>
      </w:r>
    </w:p>
    <w:p>
      <w:pPr>
        <w:spacing w:after="0"/>
        <w:rPr>
          <w:sz w:val="20"/>
          <w:szCs w:val="20"/>
          <w:color w:val="auto"/>
        </w:rPr>
      </w:pPr>
      <w:r>
        <w:rPr>
          <w:rFonts w:ascii="Times New Roman" w:cs="Times New Roman" w:eastAsia="Times New Roman" w:hAnsi="Times New Roman"/>
          <w:sz w:val="20"/>
          <w:szCs w:val="20"/>
          <w:b w:val="1"/>
          <w:bCs w:val="1"/>
          <w:color w:val="auto"/>
        </w:rPr>
        <w:t>IPTs:</w:t>
      </w:r>
    </w:p>
    <w:p>
      <w:pPr>
        <w:spacing w:after="0"/>
        <w:rPr>
          <w:sz w:val="20"/>
          <w:szCs w:val="20"/>
          <w:color w:val="auto"/>
        </w:rPr>
      </w:pPr>
      <w:r>
        <w:rPr>
          <w:rFonts w:ascii="Times New Roman" w:cs="Times New Roman" w:eastAsia="Times New Roman" w:hAnsi="Times New Roman"/>
          <w:sz w:val="20"/>
          <w:szCs w:val="20"/>
          <w:b w:val="1"/>
          <w:bCs w:val="1"/>
          <w:color w:val="auto"/>
        </w:rPr>
        <w:t>Maturity Date:</w:t>
      </w:r>
    </w:p>
    <w:p>
      <w:pPr>
        <w:spacing w:after="0"/>
        <w:rPr>
          <w:sz w:val="20"/>
          <w:szCs w:val="20"/>
          <w:color w:val="auto"/>
        </w:rPr>
      </w:pPr>
      <w:r>
        <w:rPr>
          <w:rFonts w:ascii="Times New Roman" w:cs="Times New Roman" w:eastAsia="Times New Roman" w:hAnsi="Times New Roman"/>
          <w:sz w:val="20"/>
          <w:szCs w:val="20"/>
          <w:b w:val="1"/>
          <w:bCs w:val="1"/>
          <w:color w:val="auto"/>
        </w:rPr>
        <w:t>Format:</w:t>
      </w:r>
    </w:p>
    <w:p>
      <w:pPr>
        <w:spacing w:after="0"/>
        <w:rPr>
          <w:sz w:val="20"/>
          <w:szCs w:val="20"/>
          <w:color w:val="auto"/>
        </w:rPr>
      </w:pPr>
      <w:r>
        <w:rPr>
          <w:rFonts w:ascii="Times New Roman" w:cs="Times New Roman" w:eastAsia="Times New Roman" w:hAnsi="Times New Roman"/>
          <w:sz w:val="20"/>
          <w:szCs w:val="20"/>
          <w:b w:val="1"/>
          <w:bCs w:val="1"/>
          <w:color w:val="auto"/>
        </w:rPr>
        <w:t>Ranking:</w:t>
      </w:r>
    </w:p>
    <w:p>
      <w:pPr>
        <w:spacing w:after="0"/>
        <w:rPr>
          <w:sz w:val="20"/>
          <w:szCs w:val="20"/>
          <w:color w:val="auto"/>
        </w:rPr>
      </w:pPr>
      <w:r>
        <w:rPr>
          <w:rFonts w:ascii="Times New Roman" w:cs="Times New Roman" w:eastAsia="Times New Roman" w:hAnsi="Times New Roman"/>
          <w:sz w:val="20"/>
          <w:szCs w:val="20"/>
          <w:b w:val="1"/>
          <w:bCs w:val="1"/>
          <w:color w:val="auto"/>
        </w:rPr>
        <w:t>Active Bookrunners:</w:t>
      </w:r>
    </w:p>
    <w:p>
      <w:pPr>
        <w:spacing w:after="0"/>
        <w:rPr>
          <w:sz w:val="20"/>
          <w:szCs w:val="20"/>
          <w:color w:val="auto"/>
        </w:rPr>
      </w:pPr>
      <w:r>
        <w:rPr>
          <w:rFonts w:ascii="Times New Roman" w:cs="Times New Roman" w:eastAsia="Times New Roman" w:hAnsi="Times New Roman"/>
          <w:sz w:val="20"/>
          <w:szCs w:val="20"/>
          <w:b w:val="1"/>
          <w:bCs w:val="1"/>
          <w:color w:val="auto"/>
        </w:rPr>
        <w:t>Co-Managers:</w:t>
      </w: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Optional Redemption:</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of Control:</w:t>
      </w:r>
    </w:p>
    <w:p>
      <w:pPr>
        <w:spacing w:after="0"/>
        <w:rPr>
          <w:sz w:val="20"/>
          <w:szCs w:val="20"/>
          <w:color w:val="auto"/>
        </w:rPr>
      </w:pPr>
      <w:r>
        <w:rPr>
          <w:rFonts w:ascii="Times New Roman" w:cs="Times New Roman" w:eastAsia="Times New Roman" w:hAnsi="Times New Roman"/>
          <w:sz w:val="20"/>
          <w:szCs w:val="20"/>
          <w:b w:val="1"/>
          <w:bCs w:val="1"/>
          <w:color w:val="auto"/>
        </w:rPr>
        <w:t>Denominations:</w:t>
      </w:r>
    </w:p>
    <w:p>
      <w:pPr>
        <w:spacing w:after="0"/>
        <w:rPr>
          <w:sz w:val="20"/>
          <w:szCs w:val="20"/>
          <w:color w:val="auto"/>
        </w:rPr>
      </w:pPr>
      <w:r>
        <w:rPr>
          <w:rFonts w:ascii="Times New Roman" w:cs="Times New Roman" w:eastAsia="Times New Roman" w:hAnsi="Times New Roman"/>
          <w:sz w:val="20"/>
          <w:szCs w:val="20"/>
          <w:b w:val="1"/>
          <w:bCs w:val="1"/>
          <w:color w:val="auto"/>
        </w:rPr>
        <w:t>Settlement:</w:t>
      </w:r>
    </w:p>
    <w:p>
      <w:pPr>
        <w:spacing w:after="0"/>
        <w:rPr>
          <w:sz w:val="20"/>
          <w:szCs w:val="20"/>
          <w:color w:val="auto"/>
        </w:rPr>
      </w:pPr>
      <w:r>
        <w:rPr>
          <w:rFonts w:ascii="Times New Roman" w:cs="Times New Roman" w:eastAsia="Times New Roman" w:hAnsi="Times New Roman"/>
          <w:sz w:val="20"/>
          <w:szCs w:val="20"/>
          <w:b w:val="1"/>
          <w:bCs w:val="1"/>
          <w:color w:val="auto"/>
        </w:rPr>
        <w:t>Timing:</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PennantPark Floating Rate Capital Ltd. [“PFLT”]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BBB (Egan Jones: Stable)</w:t>
      </w:r>
    </w:p>
    <w:p>
      <w:pPr>
        <w:spacing w:after="0"/>
        <w:rPr>
          <w:sz w:val="20"/>
          <w:szCs w:val="20"/>
          <w:color w:val="auto"/>
        </w:rPr>
      </w:pPr>
      <w:r>
        <w:rPr>
          <w:rFonts w:ascii="Times New Roman" w:cs="Times New Roman" w:eastAsia="Times New Roman" w:hAnsi="Times New Roman"/>
          <w:sz w:val="20"/>
          <w:szCs w:val="20"/>
          <w:b w:val="1"/>
          <w:bCs w:val="1"/>
          <w:color w:val="auto"/>
        </w:rPr>
        <w:t>$100mm</w:t>
      </w:r>
    </w:p>
    <w:p>
      <w:pPr>
        <w:spacing w:after="0"/>
        <w:rPr>
          <w:sz w:val="20"/>
          <w:szCs w:val="20"/>
          <w:color w:val="auto"/>
        </w:rPr>
      </w:pPr>
      <w:r>
        <w:rPr>
          <w:rFonts w:ascii="Times New Roman" w:cs="Times New Roman" w:eastAsia="Times New Roman" w:hAnsi="Times New Roman"/>
          <w:sz w:val="20"/>
          <w:szCs w:val="20"/>
          <w:b w:val="1"/>
          <w:bCs w:val="1"/>
          <w:color w:val="auto"/>
        </w:rPr>
        <w:t>5yr FXD</w:t>
      </w:r>
    </w:p>
    <w:p>
      <w:pPr>
        <w:spacing w:after="0"/>
        <w:rPr>
          <w:sz w:val="20"/>
          <w:szCs w:val="20"/>
          <w:color w:val="auto"/>
        </w:rPr>
      </w:pPr>
      <w:r>
        <w:rPr>
          <w:rFonts w:ascii="Times New Roman" w:cs="Times New Roman" w:eastAsia="Times New Roman" w:hAnsi="Times New Roman"/>
          <w:sz w:val="20"/>
          <w:szCs w:val="20"/>
          <w:b w:val="1"/>
          <w:bCs w:val="1"/>
          <w:color w:val="auto"/>
        </w:rPr>
        <w:t>4.375-4.50%</w:t>
      </w:r>
    </w:p>
    <w:p>
      <w:pPr>
        <w:spacing w:after="0"/>
        <w:rPr>
          <w:sz w:val="20"/>
          <w:szCs w:val="20"/>
          <w:color w:val="auto"/>
        </w:rPr>
      </w:pPr>
      <w:r>
        <w:rPr>
          <w:rFonts w:ascii="Times New Roman" w:cs="Times New Roman" w:eastAsia="Times New Roman" w:hAnsi="Times New Roman"/>
          <w:sz w:val="20"/>
          <w:szCs w:val="20"/>
          <w:b w:val="1"/>
          <w:bCs w:val="1"/>
          <w:color w:val="auto"/>
        </w:rPr>
        <w:t>04/01/2026</w:t>
      </w:r>
    </w:p>
    <w:p>
      <w:pPr>
        <w:spacing w:after="0"/>
        <w:rPr>
          <w:sz w:val="20"/>
          <w:szCs w:val="20"/>
          <w:color w:val="auto"/>
        </w:rPr>
      </w:pPr>
      <w:r>
        <w:rPr>
          <w:rFonts w:ascii="Times New Roman" w:cs="Times New Roman" w:eastAsia="Times New Roman" w:hAnsi="Times New Roman"/>
          <w:sz w:val="20"/>
          <w:szCs w:val="20"/>
          <w:b w:val="1"/>
          <w:bCs w:val="1"/>
          <w:color w:val="auto"/>
        </w:rPr>
        <w:t>SEC Registered</w:t>
      </w:r>
    </w:p>
    <w:p>
      <w:pPr>
        <w:spacing w:after="0"/>
        <w:rPr>
          <w:sz w:val="20"/>
          <w:szCs w:val="20"/>
          <w:color w:val="auto"/>
        </w:rPr>
      </w:pPr>
      <w:r>
        <w:rPr>
          <w:rFonts w:ascii="Times New Roman" w:cs="Times New Roman" w:eastAsia="Times New Roman" w:hAnsi="Times New Roman"/>
          <w:sz w:val="20"/>
          <w:szCs w:val="20"/>
          <w:b w:val="1"/>
          <w:bCs w:val="1"/>
          <w:color w:val="auto"/>
        </w:rPr>
        <w:t>Senior Unsecured Notes</w:t>
      </w:r>
    </w:p>
    <w:p>
      <w:pPr>
        <w:spacing w:after="0"/>
        <w:rPr>
          <w:sz w:val="20"/>
          <w:szCs w:val="20"/>
          <w:color w:val="auto"/>
        </w:rPr>
      </w:pPr>
      <w:r>
        <w:rPr>
          <w:rFonts w:ascii="Times New Roman" w:cs="Times New Roman" w:eastAsia="Times New Roman" w:hAnsi="Times New Roman"/>
          <w:sz w:val="20"/>
          <w:szCs w:val="20"/>
          <w:b w:val="1"/>
          <w:bCs w:val="1"/>
          <w:color w:val="auto"/>
        </w:rPr>
        <w:t>GS (B&amp;D) / KBW / TRUIST</w:t>
      </w:r>
    </w:p>
    <w:p>
      <w:pPr>
        <w:spacing w:after="0"/>
        <w:rPr>
          <w:sz w:val="20"/>
          <w:szCs w:val="20"/>
          <w:color w:val="auto"/>
        </w:rPr>
      </w:pPr>
      <w:r>
        <w:rPr>
          <w:rFonts w:ascii="Times New Roman" w:cs="Times New Roman" w:eastAsia="Times New Roman" w:hAnsi="Times New Roman"/>
          <w:sz w:val="20"/>
          <w:szCs w:val="20"/>
          <w:b w:val="1"/>
          <w:bCs w:val="1"/>
          <w:color w:val="auto"/>
        </w:rPr>
        <w:t>JMP / LADENBURG</w:t>
      </w:r>
    </w:p>
    <w:p>
      <w:pPr>
        <w:spacing w:after="0"/>
        <w:rPr>
          <w:sz w:val="20"/>
          <w:szCs w:val="20"/>
          <w:color w:val="auto"/>
        </w:rPr>
      </w:pPr>
      <w:r>
        <w:rPr>
          <w:rFonts w:ascii="Times New Roman" w:cs="Times New Roman" w:eastAsia="Times New Roman" w:hAnsi="Times New Roman"/>
          <w:sz w:val="19"/>
          <w:szCs w:val="19"/>
          <w:b w:val="1"/>
          <w:bCs w:val="1"/>
          <w:color w:val="auto"/>
        </w:rPr>
        <w:t>Reduce outstanding obligations under the Credit Facility, to invest in new or existing</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portfolio companies or for other general corporate or strategic purposes.</w:t>
      </w:r>
    </w:p>
    <w:p>
      <w:pPr>
        <w:spacing w:after="0"/>
        <w:rPr>
          <w:sz w:val="20"/>
          <w:szCs w:val="20"/>
          <w:color w:val="auto"/>
        </w:rPr>
      </w:pPr>
      <w:r>
        <w:rPr>
          <w:rFonts w:ascii="Times New Roman" w:cs="Times New Roman" w:eastAsia="Times New Roman" w:hAnsi="Times New Roman"/>
          <w:sz w:val="20"/>
          <w:szCs w:val="20"/>
          <w:b w:val="1"/>
          <w:bCs w:val="1"/>
          <w:color w:val="auto"/>
        </w:rPr>
        <w:t>Make Whole Call; 3mo Par Call Prior to Maturity.</w:t>
      </w:r>
    </w:p>
    <w:p>
      <w:pPr>
        <w:spacing w:after="0"/>
        <w:rPr>
          <w:sz w:val="20"/>
          <w:szCs w:val="20"/>
          <w:color w:val="auto"/>
        </w:rPr>
      </w:pPr>
      <w:r>
        <w:rPr>
          <w:rFonts w:ascii="Times New Roman" w:cs="Times New Roman" w:eastAsia="Times New Roman" w:hAnsi="Times New Roman"/>
          <w:sz w:val="20"/>
          <w:szCs w:val="20"/>
          <w:b w:val="1"/>
          <w:bCs w:val="1"/>
          <w:color w:val="auto"/>
        </w:rPr>
        <w:t>100%</w:t>
      </w:r>
    </w:p>
    <w:p>
      <w:pPr>
        <w:spacing w:after="0"/>
        <w:rPr>
          <w:sz w:val="20"/>
          <w:szCs w:val="20"/>
          <w:color w:val="auto"/>
        </w:rPr>
      </w:pPr>
      <w:r>
        <w:rPr>
          <w:rFonts w:ascii="Times New Roman" w:cs="Times New Roman" w:eastAsia="Times New Roman" w:hAnsi="Times New Roman"/>
          <w:sz w:val="20"/>
          <w:szCs w:val="20"/>
          <w:b w:val="1"/>
          <w:bCs w:val="1"/>
          <w:color w:val="auto"/>
        </w:rPr>
        <w:t>$2,000 x $1,000</w:t>
      </w:r>
    </w:p>
    <w:p>
      <w:pPr>
        <w:spacing w:after="0"/>
        <w:rPr>
          <w:sz w:val="20"/>
          <w:szCs w:val="20"/>
          <w:color w:val="auto"/>
        </w:rPr>
      </w:pPr>
      <w:r>
        <w:rPr>
          <w:rFonts w:ascii="Times New Roman" w:cs="Times New Roman" w:eastAsia="Times New Roman" w:hAnsi="Times New Roman"/>
          <w:sz w:val="20"/>
          <w:szCs w:val="20"/>
          <w:b w:val="1"/>
          <w:bCs w:val="1"/>
          <w:color w:val="auto"/>
        </w:rPr>
        <w:t>T+3 – 03/23/2021</w:t>
      </w:r>
    </w:p>
    <w:p>
      <w:pPr>
        <w:spacing w:after="0"/>
        <w:rPr>
          <w:sz w:val="20"/>
          <w:szCs w:val="20"/>
          <w:color w:val="auto"/>
        </w:rPr>
      </w:pPr>
      <w:r>
        <w:rPr>
          <w:rFonts w:ascii="Times New Roman" w:cs="Times New Roman" w:eastAsia="Times New Roman" w:hAnsi="Times New Roman"/>
          <w:sz w:val="20"/>
          <w:szCs w:val="20"/>
          <w:b w:val="1"/>
          <w:bCs w:val="1"/>
          <w:color w:val="auto"/>
        </w:rPr>
        <w:t>Today’s Business</w:t>
      </w:r>
    </w:p>
    <w:p>
      <w:pPr>
        <w:spacing w:after="0" w:line="200"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line="10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issuer has an effective registration statement on file with the SEC for the offering to which this communication relates. Before you invest, you should read the prospectus in that registration statement, the preliminary prospectus supplement for this offering,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toll-free 1-866-471-2526.</w:t>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securities rating is not a recommendation to buy, sell or hold securities and may be subject to revision or withdrawal at any time.</w:t>
      </w:r>
    </w:p>
    <w:p>
      <w:pPr>
        <w:spacing w:after="0" w:line="333"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Investors are advised to carefully consider the investment objectives, risks, charges and expenses of PennantPark Floating Rate Capital Ltd. before investing. The preliminary prospectus supplement dated March 18, 2021, together with the accompanying prospectus dated January 29, 2020, which have been filed with the Securities and Exchange Commission (the “SEC”), contain this and other information about PennantPark Floating Rate Capital Ltd. and should be read carefully before investing.</w:t>
      </w:r>
    </w:p>
    <w:p>
      <w:pPr>
        <w:spacing w:after="0" w:line="288"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PennantPark Floating Rate Capital Ltd. and are not soliciting an offer to buy such securities in any state or jurisdiction where such offer and sale is not permitted.</w:t>
      </w:r>
    </w:p>
    <w:p>
      <w:pPr>
        <w:spacing w:after="0" w:line="28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20"/>
      </w:cols>
      <w:pgMar w:left="440" w:top="22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2021-03-18T12:52:02Z</dcterms:created>
  <dcterms:modified xsi:type="dcterms:W3CDTF">2021-03-18T12:52:02Z</dcterms:modified>
</cp:coreProperties>
</file>