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This preliminary prospectus supplement relates to an effective registration statement under the Securities Act of 1933, as amended, but is not complete and may be changed. This preliminary prospectus supplement is not an offer to sell these securities and it is not soliciting an offer to buy these securities in any state where the offer or sale is not permitted.</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8,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333-235532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160020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4,000,000 Shares</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36"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This is a public offering of common stock of PennantPark Floating Rate Capital Ltd. (“we”, “our” or “us”). We are a Maryland corporation and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companies.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172" w:lineRule="exact"/>
        <w:rPr>
          <w:sz w:val="24"/>
          <w:szCs w:val="24"/>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offering for sale 4,000,000 shares of our common stock at a price of $ per share. Our common stock is traded on the New York Stock Exchange, or NYSE, and The Tel Aviv Stock Exchange, or TASE, under the symbol “PFLT”. The last reported closing price for our common stock on the NYSE on August 5, 2022 was $12.91 per share. The net asset value of our common stock on June 30, 2022 was $12.21 per share.</w:t>
      </w:r>
    </w:p>
    <w:p>
      <w:pPr>
        <w:spacing w:after="0" w:line="176" w:lineRule="exact"/>
        <w:rPr>
          <w:sz w:val="24"/>
          <w:szCs w:val="24"/>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 33139 by calling us collect at (212) 905-1000 or by visiting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such information free of charge.</w:t>
      </w:r>
    </w:p>
    <w:p>
      <w:pPr>
        <w:spacing w:after="0" w:line="184" w:lineRule="exact"/>
        <w:rPr>
          <w:sz w:val="24"/>
          <w:szCs w:val="24"/>
          <w:color w:val="auto"/>
        </w:rPr>
      </w:pPr>
    </w:p>
    <w:p>
      <w:pPr>
        <w:ind w:right="2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common stock involves a high degree of risk, including the risk of leverage. Before buying any shares of our common stock, you should read the discussion of the material risks of investing in us described in the section titled “Risk Factors” in our most recent Annual Report on </w:t>
      </w:r>
      <w:hyperlink r:id="rId9">
        <w:r>
          <w:rPr>
            <w:rFonts w:ascii="Times New Roman" w:cs="Times New Roman" w:eastAsia="Times New Roman" w:hAnsi="Times New Roman"/>
            <w:sz w:val="18"/>
            <w:szCs w:val="18"/>
            <w:b w:val="1"/>
            <w:bCs w:val="1"/>
            <w:u w:val="single" w:color="auto"/>
            <w:color w:val="0000EE"/>
          </w:rPr>
          <w:t>Form 10-K</w:t>
        </w:r>
      </w:hyperlink>
      <w:r>
        <w:rPr>
          <w:rFonts w:ascii="Times New Roman" w:cs="Times New Roman" w:eastAsia="Times New Roman" w:hAnsi="Times New Roman"/>
          <w:sz w:val="18"/>
          <w:szCs w:val="18"/>
          <w:b w:val="1"/>
          <w:bCs w:val="1"/>
          <w:color w:val="auto"/>
        </w:rPr>
        <w:t xml:space="preserve">, our most recent Quarterly Report on </w:t>
      </w:r>
      <w:hyperlink r:id="rId10">
        <w:r>
          <w:rPr>
            <w:rFonts w:ascii="Times New Roman" w:cs="Times New Roman" w:eastAsia="Times New Roman" w:hAnsi="Times New Roman"/>
            <w:sz w:val="18"/>
            <w:szCs w:val="18"/>
            <w:b w:val="1"/>
            <w:bCs w:val="1"/>
            <w:u w:val="single" w:color="auto"/>
            <w:color w:val="0000EE"/>
          </w:rPr>
          <w:t>Form 10-Q</w:t>
        </w:r>
      </w:hyperlink>
      <w:r>
        <w:rPr>
          <w:rFonts w:ascii="Times New Roman" w:cs="Times New Roman" w:eastAsia="Times New Roman" w:hAnsi="Times New Roman"/>
          <w:sz w:val="18"/>
          <w:szCs w:val="18"/>
          <w:b w:val="1"/>
          <w:bCs w:val="1"/>
          <w:color w:val="auto"/>
        </w:rPr>
        <w:t>, this prospectus supplement and the accompanying prospectus and under similar headings in other documents that are filed with the SEC on or after the date hereof and incorporated by reference into this prospectus supplement and the accompanying prospectus.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Shares of closed-end investment companies, including BDCs, frequently trade at a discount to their net asset value, or NAV. If our shares trade at a discount to our NAV, it may increase the risk of loss for purchasers in this offering.</w:t>
      </w:r>
    </w:p>
    <w:p>
      <w:pPr>
        <w:sectPr>
          <w:pgSz w:w="11900" w:h="16838" w:orient="portrait"/>
          <w:cols w:equalWidth="0" w:num="1">
            <w:col w:w="11020"/>
          </w:cols>
          <w:pgMar w:left="440" w:top="225" w:right="439" w:bottom="1440" w:gutter="0" w:footer="0" w:header="0"/>
        </w:sectPr>
      </w:pPr>
    </w:p>
    <w:bookmarkStart w:id="1" w:name="page2"/>
    <w:bookmarkEnd w:id="1"/>
    <w:p>
      <w:pPr>
        <w:ind w:left="4" w:right="4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95"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load (underwriting discounts and commissions)</w:t>
            </w:r>
          </w:p>
        </w:tc>
        <w:tc>
          <w:tcPr>
            <w:tcW w:w="19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to us (before expenses)</w:t>
            </w:r>
            <w:r>
              <w:rPr>
                <w:rFonts w:ascii="Times New Roman" w:cs="Times New Roman" w:eastAsia="Times New Roman" w:hAnsi="Times New Roman"/>
                <w:sz w:val="25"/>
                <w:szCs w:val="25"/>
                <w:color w:val="auto"/>
                <w:vertAlign w:val="superscript"/>
              </w:rPr>
              <w:t>(1)</w:t>
            </w:r>
          </w:p>
        </w:tc>
        <w:tc>
          <w:tcPr>
            <w:tcW w:w="19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expenses of this offering are expected to be approximately $250,000.</w:t>
      </w:r>
    </w:p>
    <w:p>
      <w:pPr>
        <w:spacing w:after="0" w:line="225"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In addition, the underwriters may purchase up to an additional 600,000 shares of common stock at the public offering price, less the sales load payable by us, within 30 days from the date of this prospectus supplement. If the underwriters exercise this option in full, the total public offering price</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will be $</w:t>
            </w: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the total sales load paid by us will be $</w:t>
            </w:r>
          </w:p>
        </w:tc>
        <w:tc>
          <w:tcPr>
            <w:tcW w:w="80" w:type="dxa"/>
            <w:vAlign w:val="bottom"/>
          </w:tcPr>
          <w:p>
            <w:pPr>
              <w:spacing w:after="0"/>
              <w:rPr>
                <w:sz w:val="20"/>
                <w:szCs w:val="20"/>
                <w:color w:val="auto"/>
              </w:rPr>
            </w:pPr>
          </w:p>
        </w:tc>
        <w:tc>
          <w:tcPr>
            <w:tcW w:w="47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 and total proceeds to us, before expenses, will be $</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r>
      <w:tr>
        <w:trPr>
          <w:trHeight w:val="346"/>
        </w:trPr>
        <w:tc>
          <w:tcPr>
            <w:tcW w:w="4340" w:type="dxa"/>
            <w:vAlign w:val="bottom"/>
            <w:gridSpan w:val="4"/>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5"/>
        </w:trPr>
        <w:tc>
          <w:tcPr>
            <w:tcW w:w="5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shares on or about</w:t>
            </w:r>
          </w:p>
        </w:tc>
        <w:tc>
          <w:tcPr>
            <w:tcW w:w="144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 2022.</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0"/>
        </w:trPr>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Morgan Stanley</w:t>
            </w:r>
          </w:p>
        </w:tc>
        <w:tc>
          <w:tcPr>
            <w:tcW w:w="2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Goldman Sachs &amp; Co. LLC</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J.P. Morgan</w:t>
            </w:r>
          </w:p>
        </w:tc>
        <w:tc>
          <w:tcPr>
            <w:tcW w:w="2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Keefe, Bruyette &amp; Woods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RBC Capital Markets</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w w:val="97"/>
              </w:rPr>
              <w:t>Truist Securities</w:t>
            </w:r>
          </w:p>
        </w:tc>
      </w:tr>
      <w:tr>
        <w:trPr>
          <w:trHeight w:val="212"/>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A Stifel Company</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13" w:lineRule="exact"/>
        <w:rPr>
          <w:sz w:val="20"/>
          <w:szCs w:val="20"/>
          <w:color w:val="auto"/>
        </w:rPr>
      </w:pPr>
    </w:p>
    <w:p>
      <w:pPr>
        <w:jc w:val="center"/>
        <w:ind w:right="-3"/>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 August</w:t>
        <w:tab/>
        <w:t>, 2022.</w:t>
      </w:r>
    </w:p>
    <w:p>
      <w:pPr>
        <w:sectPr>
          <w:pgSz w:w="11900" w:h="16838" w:orient="portrait"/>
          <w:cols w:equalWidth="0" w:num="1">
            <w:col w:w="11004"/>
          </w:cols>
          <w:pgMar w:left="436"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7"/>
          </w:tcPr>
          <w:p>
            <w:pPr>
              <w:spacing w:after="0"/>
              <w:rPr>
                <w:sz w:val="17"/>
                <w:szCs w:val="17"/>
                <w:color w:val="auto"/>
              </w:rPr>
            </w:pPr>
          </w:p>
        </w:tc>
        <w:tc>
          <w:tcPr>
            <w:tcW w:w="5400" w:type="dxa"/>
            <w:vAlign w:val="bottom"/>
            <w:gridSpan w:val="10"/>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60" w:type="dxa"/>
            <w:vAlign w:val="bottom"/>
            <w:gridSpan w:val="21"/>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11"/>
          </w:tcPr>
          <w:p>
            <w:pPr>
              <w:spacing w:after="0"/>
              <w:rPr>
                <w:sz w:val="17"/>
                <w:szCs w:val="17"/>
                <w:color w:val="auto"/>
              </w:rPr>
            </w:pPr>
          </w:p>
        </w:tc>
        <w:tc>
          <w:tcPr>
            <w:tcW w:w="5760" w:type="dxa"/>
            <w:vAlign w:val="bottom"/>
            <w:gridSpan w:val="1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PRICE RANGE OF CAPITAL STOCK</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1380" w:type="dxa"/>
            <w:vAlign w:val="bottom"/>
            <w:tcBorders>
              <w:top w:val="single" w:sz="8" w:color="0000EE"/>
            </w:tcBorders>
            <w:gridSpan w:val="10"/>
          </w:tcPr>
          <w:p>
            <w:pPr>
              <w:spacing w:after="0"/>
              <w:rPr>
                <w:sz w:val="17"/>
                <w:szCs w:val="17"/>
                <w:color w:val="auto"/>
              </w:rPr>
            </w:pPr>
          </w:p>
        </w:tc>
        <w:tc>
          <w:tcPr>
            <w:tcW w:w="5820" w:type="dxa"/>
            <w:vAlign w:val="bottom"/>
            <w:gridSpan w:val="14"/>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20" w:type="dxa"/>
            <w:vAlign w:val="bottom"/>
            <w:gridSpan w:val="2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3880" w:type="dxa"/>
            <w:vAlign w:val="bottom"/>
            <w:gridSpan w:val="3"/>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INDEPENDENT AUDITOR</w:t>
            </w:r>
          </w:p>
        </w:tc>
        <w:tc>
          <w:tcPr>
            <w:tcW w:w="6580" w:type="dxa"/>
            <w:vAlign w:val="bottom"/>
            <w:gridSpan w:val="18"/>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860" w:type="dxa"/>
            <w:vAlign w:val="bottom"/>
            <w:gridSpan w:val="1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668"/>
        </w:trPr>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19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8680" w:type="dxa"/>
            <w:vAlign w:val="bottom"/>
            <w:gridSpan w:val="29"/>
            <w:vMerge w:val="continue"/>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6600" w:type="dxa"/>
            <w:vAlign w:val="bottom"/>
            <w:gridSpan w:val="19"/>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60" w:type="dxa"/>
            <w:vAlign w:val="bottom"/>
            <w:gridSpan w:val="21"/>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11"/>
          </w:tcPr>
          <w:p>
            <w:pPr>
              <w:spacing w:after="0"/>
              <w:rPr>
                <w:sz w:val="17"/>
                <w:szCs w:val="17"/>
                <w:color w:val="auto"/>
              </w:rPr>
            </w:pPr>
          </w:p>
        </w:tc>
        <w:tc>
          <w:tcPr>
            <w:tcW w:w="5760" w:type="dxa"/>
            <w:vAlign w:val="bottom"/>
            <w:gridSpan w:val="1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6960" w:type="dxa"/>
            <w:vAlign w:val="bottom"/>
            <w:gridSpan w:val="2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w:t>
            </w:r>
          </w:p>
        </w:tc>
        <w:tc>
          <w:tcPr>
            <w:tcW w:w="5720" w:type="dxa"/>
            <w:vAlign w:val="bottom"/>
            <w:gridSpan w:val="11"/>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4040" w:type="dxa"/>
            <w:vAlign w:val="bottom"/>
            <w:gridSpan w:val="4"/>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DISTRIBUTIONS</w:t>
            </w:r>
          </w:p>
        </w:tc>
        <w:tc>
          <w:tcPr>
            <w:tcW w:w="7300" w:type="dxa"/>
            <w:vAlign w:val="bottom"/>
            <w:gridSpan w:val="2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6360" w:type="dxa"/>
            <w:vAlign w:val="bottom"/>
            <w:gridSpan w:val="1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5320" w:type="dxa"/>
            <w:vAlign w:val="bottom"/>
            <w:gridSpan w:val="9"/>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5120" w:type="dxa"/>
            <w:vAlign w:val="bottom"/>
            <w:gridSpan w:val="7"/>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800" w:type="dxa"/>
            <w:vAlign w:val="bottom"/>
            <w:gridSpan w:val="6"/>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ALLOCATIONS AND OTHER PRACTICES</w:t>
            </w:r>
          </w:p>
        </w:tc>
        <w:tc>
          <w:tcPr>
            <w:tcW w:w="4200" w:type="dxa"/>
            <w:vAlign w:val="bottom"/>
            <w:gridSpan w:val="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820" w:type="dxa"/>
            <w:vAlign w:val="bottom"/>
            <w:gridSpan w:val="2"/>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SUB-ADMINISTRATOR, CUSTODIAN, TRANSFER AGENT AND TRUSTEE</w:t>
            </w:r>
          </w:p>
        </w:tc>
        <w:tc>
          <w:tcPr>
            <w:tcW w:w="2740" w:type="dxa"/>
            <w:vAlign w:val="bottom"/>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20" w:type="dxa"/>
            <w:vAlign w:val="bottom"/>
            <w:gridSpan w:val="2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3880" w:type="dxa"/>
            <w:vAlign w:val="bottom"/>
            <w:gridSpan w:val="3"/>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860" w:type="dxa"/>
            <w:vAlign w:val="bottom"/>
            <w:gridSpan w:val="15"/>
          </w:tcPr>
          <w:p>
            <w:pPr>
              <w:spacing w:after="0"/>
              <w:rPr>
                <w:sz w:val="17"/>
                <w:szCs w:val="17"/>
                <w:color w:val="auto"/>
              </w:rPr>
            </w:pP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86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4" w:name="page5"/>
    <w:bookmarkEnd w:id="4"/>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14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74865" cy="5814060"/>
                    </a:xfrm>
                    <a:prstGeom prst="rect">
                      <a:avLst/>
                    </a:prstGeom>
                    <a:noFill/>
                  </pic:spPr>
                </pic:pic>
              </a:graphicData>
            </a:graphic>
          </wp:anchor>
        </w:drawing>
        <w:t>PROSPECTUS SUPPLEMENT SUMMARY</w:t>
      </w:r>
    </w:p>
    <w:p>
      <w:pPr>
        <w:spacing w:after="0" w:line="227" w:lineRule="exact"/>
        <w:rPr>
          <w:sz w:val="20"/>
          <w:szCs w:val="20"/>
          <w:color w:val="auto"/>
        </w:rPr>
      </w:pPr>
    </w:p>
    <w:p>
      <w:pPr>
        <w:ind w:left="2"/>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most recent Quarterly Report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88" w:lineRule="exact"/>
        <w:rPr>
          <w:sz w:val="20"/>
          <w:szCs w:val="20"/>
          <w:color w:val="auto"/>
        </w:rPr>
      </w:pPr>
    </w:p>
    <w:p>
      <w:pPr>
        <w:ind w:left="2" w:right="40"/>
        <w:spacing w:after="0" w:line="266" w:lineRule="auto"/>
        <w:rPr>
          <w:sz w:val="20"/>
          <w:szCs w:val="20"/>
          <w:color w:val="auto"/>
        </w:rPr>
      </w:pPr>
      <w:r>
        <w:rPr>
          <w:rFonts w:ascii="Times New Roman" w:cs="Times New Roman" w:eastAsia="Times New Roman" w:hAnsi="Times New Roman"/>
          <w:sz w:val="17"/>
          <w:szCs w:val="17"/>
          <w:i w:val="1"/>
          <w:iCs w:val="1"/>
          <w:color w:val="auto"/>
        </w:rPr>
        <w:t>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1" w:lineRule="exact"/>
        <w:rPr>
          <w:sz w:val="20"/>
          <w:szCs w:val="20"/>
          <w:color w:val="auto"/>
        </w:rPr>
      </w:pPr>
    </w:p>
    <w:p>
      <w:pPr>
        <w:ind w:left="2" w:hanging="2"/>
        <w:spacing w:after="0" w:line="255" w:lineRule="auto"/>
        <w:tabs>
          <w:tab w:leader="none" w:pos="266"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borrowing of the Class A-1 Senior Secured Floating Rate Notes due 2031 by the Securitization Issuers in connection with the Debt Securitization; and “Depositor” refers to PennantPark CLO I Depositor, LLC. References to our portfolio, our investments, the Credit Facility, and our business include investments we make through our subsidiaries.</w:t>
      </w: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21" w:lineRule="exact"/>
        <w:rPr>
          <w:sz w:val="20"/>
          <w:szCs w:val="20"/>
          <w:color w:val="auto"/>
        </w:rPr>
      </w:pPr>
    </w:p>
    <w:p>
      <w:pPr>
        <w:ind w:left="2" w:right="240"/>
        <w:spacing w:after="0" w:line="282"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2" w:lineRule="exact"/>
        <w:rPr>
          <w:sz w:val="20"/>
          <w:szCs w:val="20"/>
          <w:color w:val="auto"/>
        </w:rPr>
      </w:pPr>
    </w:p>
    <w:p>
      <w:pPr>
        <w:ind w:left="2" w:right="220"/>
        <w:spacing w:after="0" w:line="258"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w:t>
      </w:r>
    </w:p>
    <w:p>
      <w:pPr>
        <w:spacing w:after="0" w:line="29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642"/>
          </w:cols>
          <w:pgMar w:left="618" w:top="455" w:right="63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14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74865" cy="5814060"/>
                    </a:xfrm>
                    <a:prstGeom prst="rect">
                      <a:avLst/>
                    </a:prstGeom>
                    <a:noFill/>
                  </pic:spPr>
                </pic:pic>
              </a:graphicData>
            </a:graphic>
          </wp:anchor>
        </w:drawing>
        <w:t>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entered into an investment advisory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8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Funding I, our wholly-owned subsidiary and a special purpose entity, was organized in Delaware as a limited liability company in May 2011. On August 12, 2021, Funding I, as borrower, entered into the Credit Facility, which provides the ability for Funding I to borrow up to $300 million. The Credit Facility is secured by all of the assets of Funding I.</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580"/>
          </w:cols>
          <w:pgMar w:left="620" w:top="459"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5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4785360"/>
                    </a:xfrm>
                    <a:prstGeom prst="rect">
                      <a:avLst/>
                    </a:prstGeom>
                    <a:noFill/>
                  </pic:spPr>
                </pic:pic>
              </a:graphicData>
            </a:graphic>
          </wp:anchor>
        </w:drawing>
        <w:t>Our Investment Adviser and Administrator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$16.6 billion in 623 companies with more than 200 different financial sponsors through its managed funds, which includes investments by the Company totaling $4.9 billion in 447 companies.</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w:t>
      </w:r>
    </w:p>
    <w:p>
      <w:pPr>
        <w:spacing w:after="0" w:line="18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Relating to our Business and Structure—There are significant potential conflicts of interest which could impact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returns</w:t>
      </w:r>
      <w:r>
        <w:rPr>
          <w:rFonts w:ascii="Times New Roman" w:cs="Times New Roman" w:eastAsia="Times New Roman" w:hAnsi="Times New Roman"/>
          <w:sz w:val="18"/>
          <w:szCs w:val="18"/>
          <w:color w:val="auto"/>
        </w:rPr>
        <w:t>” in our most recent Annual Report on Form 10-K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 33139. Our common stock is quoted on the NYSE and the TASE under the symbol “PFLT.” Our phone number is (212) 905-1000,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640"/>
          </w:cols>
          <w:pgMar w:left="620" w:top="455" w:right="6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Company</w:t>
            </w: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4,000,000 shares (or 4,600,000 shares if the underwriters exercise their option to purchase</w:t>
            </w:r>
          </w:p>
        </w:tc>
      </w:tr>
      <w:tr>
        <w:trPr>
          <w:trHeight w:val="234"/>
        </w:trPr>
        <w:tc>
          <w:tcPr>
            <w:tcW w:w="3920" w:type="dxa"/>
            <w:vAlign w:val="bottom"/>
          </w:tcPr>
          <w:p>
            <w:pPr>
              <w:spacing w:after="0"/>
              <w:rPr>
                <w:sz w:val="20"/>
                <w:szCs w:val="20"/>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prior to this offering</w:t>
            </w: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41,345,638 shares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7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following this offering</w:t>
            </w: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45,345,638 shares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4"/>
        </w:trPr>
        <w:tc>
          <w:tcPr>
            <w:tcW w:w="3920" w:type="dxa"/>
            <w:vAlign w:val="bottom"/>
          </w:tcPr>
          <w:p>
            <w:pPr>
              <w:spacing w:after="0"/>
              <w:rPr>
                <w:sz w:val="24"/>
                <w:szCs w:val="24"/>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The number of shares outstanding after the offering assumes the underwriters’ option to</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purchase additional shares is not exercised. If the option to purchase additional shares is</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exercised in full, we will issue an additional 600,000 shares and will have 45,945,638 shares</w:t>
            </w:r>
          </w:p>
        </w:tc>
      </w:tr>
      <w:tr>
        <w:trPr>
          <w:trHeight w:val="234"/>
        </w:trPr>
        <w:tc>
          <w:tcPr>
            <w:tcW w:w="3920" w:type="dxa"/>
            <w:vAlign w:val="bottom"/>
          </w:tcPr>
          <w:p>
            <w:pPr>
              <w:spacing w:after="0"/>
              <w:rPr>
                <w:sz w:val="20"/>
                <w:szCs w:val="20"/>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outstanding after the offering.</w:t>
            </w: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NYSE symbol</w:t>
            </w: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“PFLT”</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4"/>
        </w:trPr>
        <w:tc>
          <w:tcPr>
            <w:tcW w:w="3920" w:type="dxa"/>
            <w:vAlign w:val="bottom"/>
          </w:tcPr>
          <w:p>
            <w:pPr>
              <w:spacing w:after="0"/>
              <w:rPr>
                <w:sz w:val="24"/>
                <w:szCs w:val="24"/>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w w:val="99"/>
              </w:rPr>
              <w:t>Common stock issued in this offering will be dual listed on the NYSE and the TASE under the</w:t>
            </w:r>
          </w:p>
        </w:tc>
      </w:tr>
      <w:tr>
        <w:trPr>
          <w:trHeight w:val="234"/>
        </w:trPr>
        <w:tc>
          <w:tcPr>
            <w:tcW w:w="3920" w:type="dxa"/>
            <w:vAlign w:val="bottom"/>
          </w:tcPr>
          <w:p>
            <w:pPr>
              <w:spacing w:after="0"/>
              <w:rPr>
                <w:sz w:val="20"/>
                <w:szCs w:val="20"/>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symbol “PFLT”.</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We estimate that the net proceeds we receive from this offering will be approximately</w:t>
            </w:r>
          </w:p>
        </w:tc>
      </w:tr>
      <w:tr>
        <w:trPr>
          <w:trHeight w:val="216"/>
        </w:trPr>
        <w:tc>
          <w:tcPr>
            <w:tcW w:w="3920" w:type="dxa"/>
            <w:vAlign w:val="bottom"/>
          </w:tcPr>
          <w:p>
            <w:pPr>
              <w:spacing w:after="0"/>
              <w:rPr>
                <w:sz w:val="18"/>
                <w:szCs w:val="18"/>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 approximately $</w:t>
            </w:r>
          </w:p>
        </w:tc>
        <w:tc>
          <w:tcPr>
            <w:tcW w:w="3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if the underwriters fully exercise their option to</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purchase additional shares), after deducting underwriting discounts and commissions of</w:t>
            </w:r>
          </w:p>
        </w:tc>
      </w:tr>
      <w:tr>
        <w:trPr>
          <w:trHeight w:val="216"/>
        </w:trPr>
        <w:tc>
          <w:tcPr>
            <w:tcW w:w="3920" w:type="dxa"/>
            <w:vAlign w:val="bottom"/>
          </w:tcPr>
          <w:p>
            <w:pPr>
              <w:spacing w:after="0"/>
              <w:rPr>
                <w:sz w:val="18"/>
                <w:szCs w:val="18"/>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approximately $</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 approximately $</w:t>
            </w:r>
          </w:p>
        </w:tc>
        <w:tc>
          <w:tcPr>
            <w:tcW w:w="3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if the underwriters fully exercise their</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option to purchase additional shares) payable by us and estimated offering expenses of</w:t>
            </w:r>
          </w:p>
        </w:tc>
      </w:tr>
      <w:tr>
        <w:trPr>
          <w:trHeight w:val="234"/>
        </w:trPr>
        <w:tc>
          <w:tcPr>
            <w:tcW w:w="3920" w:type="dxa"/>
            <w:vAlign w:val="bottom"/>
          </w:tcPr>
          <w:p>
            <w:pPr>
              <w:spacing w:after="0"/>
              <w:rPr>
                <w:sz w:val="20"/>
                <w:szCs w:val="20"/>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approximately $250,000 payable by us.</w:t>
            </w: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41"/>
        </w:trPr>
        <w:tc>
          <w:tcPr>
            <w:tcW w:w="3920" w:type="dxa"/>
            <w:vAlign w:val="bottom"/>
          </w:tcPr>
          <w:p>
            <w:pPr>
              <w:spacing w:after="0"/>
              <w:rPr>
                <w:sz w:val="24"/>
                <w:szCs w:val="24"/>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 reduce outstanding obligations under</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our existing indebtedness, to invest in new or existing portfolio companies, to capitalize a</w:t>
            </w:r>
          </w:p>
        </w:tc>
      </w:tr>
      <w:tr>
        <w:trPr>
          <w:trHeight w:val="234"/>
        </w:trPr>
        <w:tc>
          <w:tcPr>
            <w:tcW w:w="3920" w:type="dxa"/>
            <w:vAlign w:val="bottom"/>
          </w:tcPr>
          <w:p>
            <w:pPr>
              <w:spacing w:after="0"/>
              <w:rPr>
                <w:sz w:val="20"/>
                <w:szCs w:val="20"/>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subsidiary or new joint venture or for other general corporate or strategic purposes.</w:t>
            </w:r>
          </w:p>
        </w:tc>
      </w:tr>
      <w:tr>
        <w:trPr>
          <w:trHeight w:val="459"/>
        </w:trPr>
        <w:tc>
          <w:tcPr>
            <w:tcW w:w="3920" w:type="dxa"/>
            <w:vAlign w:val="bottom"/>
          </w:tcPr>
          <w:p>
            <w:pPr>
              <w:spacing w:after="0"/>
              <w:rPr>
                <w:sz w:val="24"/>
                <w:szCs w:val="24"/>
                <w:color w:val="auto"/>
              </w:rPr>
            </w:pPr>
          </w:p>
        </w:tc>
        <w:tc>
          <w:tcPr>
            <w:tcW w:w="39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See “Use of Proceeds” for more information.</w:t>
            </w:r>
          </w:p>
        </w:tc>
        <w:tc>
          <w:tcPr>
            <w:tcW w:w="3120" w:type="dxa"/>
            <w:vAlign w:val="bottom"/>
          </w:tcPr>
          <w:p>
            <w:pPr>
              <w:spacing w:after="0"/>
              <w:rPr>
                <w:sz w:val="24"/>
                <w:szCs w:val="24"/>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Trading at a Discount</w:t>
            </w: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w w:val="99"/>
              </w:rPr>
              <w:t>their NAV. The risk that our shares may trade at a discount to our NAV is separate and distinct</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from the risk that our NAV per share may decline. We cannot predict whether our shares will</w:t>
            </w:r>
          </w:p>
        </w:tc>
      </w:tr>
      <w:tr>
        <w:trPr>
          <w:trHeight w:val="234"/>
        </w:trPr>
        <w:tc>
          <w:tcPr>
            <w:tcW w:w="3920" w:type="dxa"/>
            <w:vAlign w:val="bottom"/>
          </w:tcPr>
          <w:p>
            <w:pPr>
              <w:spacing w:after="0"/>
              <w:rPr>
                <w:sz w:val="20"/>
                <w:szCs w:val="20"/>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trade above, at or below NAV.</w:t>
            </w: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on Common Stock</w:t>
            </w: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The timing and amount of our monthly distributions to stockholders, if any, are determined by</w:t>
            </w:r>
          </w:p>
        </w:tc>
      </w:tr>
      <w:tr>
        <w:trPr>
          <w:trHeight w:val="216"/>
        </w:trPr>
        <w:tc>
          <w:tcPr>
            <w:tcW w:w="3920" w:type="dxa"/>
            <w:vAlign w:val="bottom"/>
          </w:tcPr>
          <w:p>
            <w:pPr>
              <w:spacing w:after="0"/>
              <w:rPr>
                <w:sz w:val="18"/>
                <w:szCs w:val="18"/>
                <w:color w:val="auto"/>
              </w:rPr>
            </w:pPr>
          </w:p>
        </w:tc>
        <w:tc>
          <w:tcPr>
            <w:tcW w:w="7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our board of directors. While we intend to make distributions on a monthly basis to our</w:t>
            </w:r>
          </w:p>
        </w:tc>
      </w:tr>
      <w:tr>
        <w:trPr>
          <w:trHeight w:val="234"/>
        </w:trPr>
        <w:tc>
          <w:tcPr>
            <w:tcW w:w="3920" w:type="dxa"/>
            <w:vAlign w:val="bottom"/>
          </w:tcPr>
          <w:p>
            <w:pPr>
              <w:spacing w:after="0"/>
              <w:rPr>
                <w:sz w:val="20"/>
                <w:szCs w:val="20"/>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stockholders out of</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65"/>
        </w:trPr>
        <w:tc>
          <w:tcPr>
            <w:tcW w:w="3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S-4</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8" w:name="page9"/>
    <w:bookmarkEnd w:id="8"/>
    <w:p>
      <w:pPr>
        <w:ind w:left="4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assets legally available for distribution, 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ability to be subject to tax as a RIC. We cannot assure stockholders that they will receive any distributions.</w:t>
      </w:r>
    </w:p>
    <w:p>
      <w:pPr>
        <w:sectPr>
          <w:pgSz w:w="11900" w:h="16838" w:orient="portrait"/>
          <w:cols w:equalWidth="0" w:num="1">
            <w:col w:w="11000"/>
          </w:cols>
          <w:pgMar w:left="440" w:top="270" w:right="4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200" w:lineRule="exact"/>
        <w:rPr>
          <w:sz w:val="20"/>
          <w:szCs w:val="20"/>
          <w:color w:val="auto"/>
        </w:rPr>
      </w:pPr>
    </w:p>
    <w:p>
      <w:pPr>
        <w:sectPr>
          <w:pgSz w:w="11900" w:h="16838" w:orient="portrait"/>
          <w:cols w:equalWidth="0" w:num="2">
            <w:col w:w="3460" w:space="720"/>
            <w:col w:w="6820"/>
          </w:cols>
          <w:pgMar w:left="440" w:top="270" w:right="4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Arrangements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We have agreed, with exceptions, not to sell or transfer any shares for 60 days after the date of this prospectus supplement without first obtaining the written consent of Morgan Stanley &amp; Co. LLC. In addition, our executive officers and directors, PennantPark Investment Advisers, and Pennant Park Investment Administration have agreed to certain restrictions on sales of our common stock for a period of 60 days from the date of this prospectus supplement. See “Underwriting—No Sales of Similar Securities.”</w:t>
      </w:r>
    </w:p>
    <w:p>
      <w:pPr>
        <w:spacing w:after="0" w:line="200" w:lineRule="exact"/>
        <w:rPr>
          <w:sz w:val="20"/>
          <w:szCs w:val="20"/>
          <w:color w:val="auto"/>
        </w:rPr>
      </w:pPr>
    </w:p>
    <w:p>
      <w:pPr>
        <w:sectPr>
          <w:pgSz w:w="11900" w:h="16838" w:orient="portrait"/>
          <w:cols w:equalWidth="0" w:num="2">
            <w:col w:w="3460" w:space="720"/>
            <w:col w:w="6820"/>
          </w:cols>
          <w:pgMar w:left="440" w:top="270" w:right="4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risks. See “Risk Factors” in this prospectus supplement and the accompanying prospectus, our most recent Annual Report on Form 10-K and our most recent Quarterly Report on Form 10-Q, each of which are incorporated by reference to this prospectus supplement, and in any free writing prospectuses we have authorized for use in connection with this offering, and under similar headings in the documents that are filed with the SEC on or after the date hereof and are incorporated by reference into this prospectus supplement and the accompanying prospectus.</w:t>
      </w:r>
    </w:p>
    <w:p>
      <w:pPr>
        <w:spacing w:after="0" w:line="121" w:lineRule="exact"/>
        <w:rPr>
          <w:sz w:val="20"/>
          <w:szCs w:val="20"/>
          <w:color w:val="auto"/>
        </w:rPr>
      </w:pPr>
    </w:p>
    <w:p>
      <w:pPr>
        <w:sectPr>
          <w:pgSz w:w="11900" w:h="16838" w:orient="portrait"/>
          <w:cols w:equalWidth="0" w:num="2">
            <w:col w:w="3460" w:space="720"/>
            <w:col w:w="682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1000"/>
          </w:cols>
          <w:pgMar w:left="440" w:top="270" w:right="459" w:bottom="1440" w:gutter="0" w:footer="0" w:header="0"/>
          <w:type w:val="continuous"/>
        </w:sectPr>
      </w:pPr>
    </w:p>
    <w:bookmarkStart w:id="9" w:name="page10"/>
    <w:bookmarkEnd w:id="9"/>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p>
    <w:p>
      <w:pPr>
        <w:spacing w:after="0" w:line="22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820" w:type="dxa"/>
            <w:vAlign w:val="bottom"/>
            <w:gridSpan w:val="2"/>
          </w:tcPr>
          <w:p>
            <w:pPr>
              <w:jc w:val="right"/>
              <w:ind w:right="4"/>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820" w:type="dxa"/>
            <w:vAlign w:val="bottom"/>
            <w:gridSpan w:val="2"/>
            <w:shd w:val="clear" w:color="auto" w:fill="CCEEFF"/>
          </w:tcPr>
          <w:p>
            <w:pPr>
              <w:jc w:val="right"/>
              <w:ind w:right="4"/>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460" w:type="dxa"/>
            <w:vAlign w:val="bottom"/>
            <w:tcBorders>
              <w:top w:val="single" w:sz="8" w:color="auto"/>
            </w:tcBorders>
          </w:tcPr>
          <w:p>
            <w:pPr>
              <w:spacing w:after="0"/>
              <w:rPr>
                <w:sz w:val="19"/>
                <w:szCs w:val="19"/>
                <w:color w:val="auto"/>
              </w:rPr>
            </w:pPr>
          </w:p>
        </w:tc>
        <w:tc>
          <w:tcPr>
            <w:tcW w:w="360" w:type="dxa"/>
            <w:vAlign w:val="bottom"/>
          </w:tcPr>
          <w:p>
            <w:pPr>
              <w:jc w:val="right"/>
              <w:ind w:right="4"/>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line="238" w:lineRule="exact"/>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6"/>
                <w:szCs w:val="26"/>
                <w:b w:val="1"/>
                <w:bCs w:val="1"/>
                <w:color w:val="auto"/>
                <w:vertAlign w:val="superscript"/>
              </w:rPr>
              <w:t>(3)</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820" w:type="dxa"/>
            <w:vAlign w:val="bottom"/>
            <w:gridSpan w:val="2"/>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2.33%</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820" w:type="dxa"/>
            <w:vAlign w:val="bottom"/>
            <w:gridSpan w:val="2"/>
            <w:shd w:val="clear" w:color="auto" w:fill="CCEEFF"/>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1.96%</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820" w:type="dxa"/>
            <w:vAlign w:val="bottom"/>
            <w:gridSpan w:val="2"/>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5.61%</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820" w:type="dxa"/>
            <w:vAlign w:val="bottom"/>
            <w:gridSpan w:val="2"/>
            <w:shd w:val="clear" w:color="auto" w:fill="CCEEFF"/>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6.97%</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gridSpan w:val="2"/>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0.68%</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820" w:type="dxa"/>
            <w:vAlign w:val="bottom"/>
            <w:gridSpan w:val="2"/>
            <w:shd w:val="clear" w:color="auto" w:fill="CCEEFF"/>
          </w:tcPr>
          <w:p>
            <w:pPr>
              <w:jc w:val="right"/>
              <w:ind w:right="4"/>
              <w:spacing w:after="0" w:line="216" w:lineRule="exact"/>
              <w:rPr>
                <w:sz w:val="20"/>
                <w:szCs w:val="20"/>
                <w:color w:val="auto"/>
              </w:rPr>
            </w:pPr>
            <w:r>
              <w:rPr>
                <w:rFonts w:ascii="Times New Roman" w:cs="Times New Roman" w:eastAsia="Times New Roman" w:hAnsi="Times New Roman"/>
                <w:sz w:val="17"/>
                <w:szCs w:val="17"/>
                <w:color w:val="auto"/>
              </w:rPr>
              <w:t>17.55%</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1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discount and commission with respect to shares of our common stock sold in this offering, which is a one-time fee paid to the underwriters, is the only sales load paid in connection with this offering.</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reflects estimated offering expenses payable by us of approximately $250,000 for the estimated duration of this offering.</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as of June 30, 2022, plus net proceeds anticipated from this offering but excluding the underwriters’ option to purchase additional shares. There is no guarantee that there will be any sales of our common stock pursuant to this prospectus supplement and the accompanying prospectus.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June 30, 2022.</w:t>
      </w:r>
    </w:p>
    <w:p>
      <w:pPr>
        <w:spacing w:after="0" w:line="130"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quarter ended June 30, 2022,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quarter ended June 30, 2022. For more detailed information about the incentive fee, please see “Item 1. Business-Investment Management Agreement” and “Item 1. Business-Investment Advisory Fees” in our most recent Annual Report on Form 10-K.</w:t>
      </w:r>
    </w:p>
    <w:p>
      <w:pPr>
        <w:spacing w:after="0" w:line="12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4"/>
          </w:cols>
          <w:pgMar w:left="436" w:top="266" w:right="559" w:bottom="1440" w:gutter="0" w:footer="0" w:header="0"/>
        </w:sectPr>
      </w:pPr>
    </w:p>
    <w:bookmarkStart w:id="10" w:name="page11"/>
    <w:bookmarkEnd w:id="10"/>
    <w:p>
      <w:pPr>
        <w:ind w:left="424" w:right="40" w:hanging="424"/>
        <w:spacing w:after="0" w:line="25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June 30, 2022, we had $259.3 million in borrowings outstanding under our Credit Facility, $97.0 million outstanding under our 2023 Notes, $185.0 million outstanding under of 2026 Notes and $228.0 million outstanding under the 2031 Asset-Backed Debt. We may use proceeds of this offering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92"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June 30, 2022, annualized for a full year. Expenses for PSSL may fluctuate over time and may be substantially higher or lower in the future.</w:t>
      </w:r>
    </w:p>
    <w:p>
      <w:pPr>
        <w:spacing w:after="0" w:line="71" w:lineRule="exact"/>
        <w:rPr>
          <w:rFonts w:ascii="Times New Roman" w:cs="Times New Roman" w:eastAsia="Times New Roman" w:hAnsi="Times New Roman"/>
          <w:sz w:val="18"/>
          <w:szCs w:val="18"/>
          <w:color w:val="auto"/>
        </w:rPr>
      </w:pPr>
    </w:p>
    <w:p>
      <w:pPr>
        <w:ind w:left="4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0.30% per annum of the gross assets of PTSF and its subsidiaries is charged by PennantPark Investment Advisers in connection with PTSF (the portion of which is attributable to the Company is waived by PennantPark Investment Advisers). For this chart, PTSF fees and operating expenses are based on our share of the actual fees and operating expenses of PTSF for the fiscal quarter ended June 30, 2022, annualized for a full year. Expenses for PTSF may fluctuate over time and may be substantially higher or lower in the future.</w:t>
      </w:r>
    </w:p>
    <w:p>
      <w:pPr>
        <w:spacing w:after="0" w:line="88"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three months ended June 30, 2022, annualized for the full year.</w:t>
      </w:r>
    </w:p>
    <w:p>
      <w:pPr>
        <w:spacing w:after="0" w:line="85"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7.10% of average total assets.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assuming (1) a</w:t>
            </w:r>
          </w:p>
        </w:tc>
        <w:tc>
          <w:tcPr>
            <w:tcW w:w="818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w w:val="99"/>
              </w:rPr>
              <w:t>% sales load (the commission to be paid by us with respect to common stock sold by us in this offering) (see</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1 above) and offering expenses totaling</w:t>
            </w: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 (2) total net estimated annual expenses of</w:t>
            </w:r>
          </w:p>
        </w:tc>
        <w:tc>
          <w:tcPr>
            <w:tcW w:w="35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of average net assets attributable to common</w:t>
            </w:r>
          </w:p>
        </w:tc>
      </w:tr>
      <w:tr>
        <w:trPr>
          <w:trHeight w:val="234"/>
        </w:trPr>
        <w:tc>
          <w:tcPr>
            <w:tcW w:w="8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shares as set forth in the table above (other than performance-based incentive fees) and (3) a 5.0% annual return.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7"/>
        </w:trPr>
        <w:tc>
          <w:tcPr>
            <w:tcW w:w="61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3"/>
        </w:trPr>
        <w:tc>
          <w:tcPr>
            <w:tcW w:w="440" w:type="dxa"/>
            <w:vAlign w:val="bottom"/>
          </w:tcPr>
          <w:p>
            <w:pPr>
              <w:spacing w:after="0"/>
              <w:rPr>
                <w:sz w:val="16"/>
                <w:szCs w:val="16"/>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investment</w:t>
            </w: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44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440" w:type="dxa"/>
            <w:vAlign w:val="bottom"/>
          </w:tcPr>
          <w:p>
            <w:pPr>
              <w:spacing w:after="0"/>
              <w:rPr>
                <w:sz w:val="14"/>
                <w:szCs w:val="14"/>
                <w:color w:val="auto"/>
              </w:rPr>
            </w:pPr>
          </w:p>
        </w:tc>
        <w:tc>
          <w:tcPr>
            <w:tcW w:w="5660" w:type="dxa"/>
            <w:vAlign w:val="bottom"/>
            <w:tcBorders>
              <w:top w:val="single" w:sz="8" w:color="CCEEFF"/>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w:t>
            </w:r>
          </w:p>
        </w:tc>
        <w:tc>
          <w:tcPr>
            <w:tcW w:w="3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240" w:type="dxa"/>
            <w:vAlign w:val="bottom"/>
          </w:tcPr>
          <w:p>
            <w:pPr>
              <w:spacing w:after="0"/>
              <w:rPr>
                <w:sz w:val="14"/>
                <w:szCs w:val="14"/>
                <w:color w:val="auto"/>
              </w:rPr>
            </w:pPr>
          </w:p>
        </w:tc>
      </w:tr>
      <w:tr>
        <w:trPr>
          <w:trHeight w:val="234"/>
        </w:trPr>
        <w:tc>
          <w:tcPr>
            <w:tcW w:w="440" w:type="dxa"/>
            <w:vAlign w:val="bottom"/>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or net unrealized capital appreciation)</w:t>
            </w: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r>
      <w:tr>
        <w:trPr>
          <w:trHeight w:val="198"/>
        </w:trPr>
        <w:tc>
          <w:tcPr>
            <w:tcW w:w="440" w:type="dxa"/>
            <w:vAlign w:val="bottom"/>
          </w:tcPr>
          <w:p>
            <w:pPr>
              <w:spacing w:after="0"/>
              <w:rPr>
                <w:sz w:val="17"/>
                <w:szCs w:val="17"/>
                <w:color w:val="auto"/>
              </w:rPr>
            </w:pPr>
          </w:p>
        </w:tc>
        <w:tc>
          <w:tcPr>
            <w:tcW w:w="5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40" w:type="dxa"/>
            <w:vAlign w:val="bottom"/>
          </w:tcPr>
          <w:p>
            <w:pPr>
              <w:spacing w:after="0"/>
              <w:rPr>
                <w:sz w:val="20"/>
                <w:szCs w:val="20"/>
                <w:color w:val="auto"/>
              </w:rPr>
            </w:pPr>
          </w:p>
        </w:tc>
        <w:tc>
          <w:tcPr>
            <w:tcW w:w="5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gains and thus subject to the capital gains incentive fee)</w:t>
            </w:r>
          </w:p>
        </w:tc>
        <w:tc>
          <w:tcPr>
            <w:tcW w:w="10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r>
      <w:tr>
        <w:trPr>
          <w:trHeight w:val="364"/>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5"/>
              </w:rPr>
              <w:t>S-7</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80"/>
          </w:cols>
          <w:pgMar w:left="440" w:top="270" w:right="47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Investing in our shares of our common stock may be speculative and involves a high degree of risk. You should carefully consider the risk factors incorporated by reference from our most recent Annual Report on Form 10-K and our most recent Quarterly Report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40"/>
          </w:cols>
          <w:pgMar w:left="440" w:top="266" w:right="6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94"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 including as a result of the current pandemic caused by COVID-19;</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significant disruptions caused by the current COVID-19 pandemic;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Kingdom’s withdrawal from the European Union (commonly known as “Brexit”) and other world economic and political issues.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80"/>
          </w:cols>
          <w:pgMar w:left="440" w:top="266" w:right="479" w:bottom="1440" w:gutter="0" w:footer="0" w:header="0"/>
        </w:sectPr>
      </w:pPr>
    </w:p>
    <w:bookmarkStart w:id="14" w:name="page15"/>
    <w:bookmarkEnd w:id="14"/>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10-K, our most recent Quarterly Report on Form 10-Q, in the documents incorporated by reference herein, and elsewhere in this prospectus supplement and the accompany prospectus.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80"/>
          </w:cols>
          <w:pgMar w:left="440" w:top="270" w:right="47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net proceeds we will receive from the sale of 4,000,000 shares of our common stock in this offering will be approximately</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million (or approximately $ million if the underwriters fully exercise their option to purchase additional shares), in each case based on a public offering price of $ per share, after deducting underwriting discounts and commissions of approximately $ million (or approximately $ million if the underwriters fully exercise their option to purchase additional shares) and estimated offering expenses of approximately $250,000 payable by us.</w:t>
      </w:r>
    </w:p>
    <w:p>
      <w:pPr>
        <w:spacing w:after="0" w:line="200" w:lineRule="exact"/>
        <w:rPr>
          <w:sz w:val="20"/>
          <w:szCs w:val="20"/>
          <w:color w:val="auto"/>
        </w:rPr>
      </w:pP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to use the net proceeds from selling securities pursuant to this prospectus supplement to reduce outstanding obligations under our existing indebtedness, to invest in new or existing portfolio companies, to capitalize a subsidiary or new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June 30, 2022, Funding I had approximately $259.3 million in outstanding borrowings under the Credit Facility. Borrowings under the Credit Facility bear interest at an annual rate equal to LIBOR (or an alternative risk-free floating interest rate index) plus 225 basis points and, after the revolving period that ends in August 2024, the rate sets to LIBOR (or an alternative risk-free floating interest rate index) plus 250 basis points for the remaining two years, maturing in August 2026. At June 30, 2022, the weighted average interest rate of the Credit Facility was 3.3%, exclusive of the fee on undrawn commitments. The Credit Facility is secured by all of the assets of Funding I and we own 100% of the equity interest in Funding I and treat the indebtedness of Funding I as our leverage.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Times New Roman" w:cs="Times New Roman" w:eastAsia="Times New Roman" w:hAnsi="Times New Roman"/>
          <w:sz w:val="18"/>
          <w:szCs w:val="18"/>
          <w:i w:val="1"/>
          <w:iCs w:val="1"/>
          <w:color w:val="auto"/>
        </w:rPr>
        <w:t>Business—Regulation—Temporary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our most recently filed Annual Report on Form 10-K for more information.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80"/>
          </w:cols>
          <w:pgMar w:left="440" w:top="266" w:right="479" w:bottom="1440" w:gutter="0" w:footer="0" w:header="0"/>
        </w:sectPr>
      </w:pPr>
    </w:p>
    <w:bookmarkStart w:id="16" w:name="page17"/>
    <w:bookmarkEnd w:id="1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RANGE OF COMMON STOCK</w:t>
      </w:r>
    </w:p>
    <w:p>
      <w:pPr>
        <w:spacing w:after="0" w:line="22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NYSE under the symbol “PFLT.”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2019. On August 5, 2022, the last reported closing price of our common stock was $12.91 per share.</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420" w:type="dxa"/>
            <w:vAlign w:val="bottom"/>
            <w:vMerge w:val="restart"/>
          </w:tcPr>
          <w:p>
            <w:pPr>
              <w:spacing w:after="0"/>
              <w:rPr>
                <w:sz w:val="13"/>
                <w:szCs w:val="13"/>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Low Sales</w:t>
            </w:r>
          </w:p>
        </w:tc>
        <w:tc>
          <w:tcPr>
            <w:tcW w:w="10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5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120" w:type="dxa"/>
            <w:vAlign w:val="bottom"/>
            <w:vMerge w:val="restart"/>
          </w:tcPr>
          <w:p>
            <w:pPr>
              <w:spacing w:after="0"/>
              <w:rPr>
                <w:sz w:val="4"/>
                <w:szCs w:val="4"/>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4"/>
                <w:szCs w:val="4"/>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Price to NAV</w:t>
            </w:r>
            <w:r>
              <w:rPr>
                <w:rFonts w:ascii="Times New Roman" w:cs="Times New Roman" w:eastAsia="Times New Roman" w:hAnsi="Times New Roman"/>
                <w:sz w:val="10"/>
                <w:szCs w:val="10"/>
                <w:b w:val="1"/>
                <w:bCs w:val="1"/>
                <w:color w:val="auto"/>
              </w:rPr>
              <w:t>(2)</w:t>
            </w: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Price to NAV</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5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Ending September 30, 2022</w:t>
            </w: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(as of August 5, 2022)</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N/A</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$ 13.04</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$ 11.85</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17"/>
                <w:szCs w:val="17"/>
                <w:color w:val="auto"/>
              </w:rPr>
              <w:t>0.095</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10.45</w:t>
            </w: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12.62</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12.23</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12.23</w:t>
            </w: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12.62</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12.51</w:t>
            </w: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11.94</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10.46</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7.80</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7.98</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12.16</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4.46</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12.67</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3.75</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11.33</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16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less NAV per share, divided by the quarter-end NAV per share.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distribution of $0.095 per share payable on September 1, 2022 to stockholders of record as of August 18, 2022.</w:t>
      </w:r>
    </w:p>
    <w:p>
      <w:pPr>
        <w:spacing w:after="0" w:line="225"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relevant exchange at $11.48 and $12.79 on June 30, 2022 and September 30, 2021, respectively. Our NAV per share was $12.21 and $12.62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June 30, 2022, we had 37 stockholders of record.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4"/>
          </w:cols>
          <w:pgMar w:left="436" w:top="266" w:right="439" w:bottom="1440" w:gutter="0" w:footer="0" w:header="0"/>
        </w:sectPr>
      </w:pPr>
    </w:p>
    <w:bookmarkStart w:id="17" w:name="page18"/>
    <w:bookmarkEnd w:id="1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131" w:lineRule="exact"/>
        <w:rPr>
          <w:sz w:val="20"/>
          <w:szCs w:val="20"/>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capitalization as of June 30, 2022;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 forma capitalization to give effect to the sale of shares of our common stock in this offering (assuming no exercise of the</w:t>
      </w:r>
    </w:p>
    <w:p>
      <w:pPr>
        <w:spacing w:after="0" w:line="27" w:lineRule="exact"/>
        <w:rPr>
          <w:sz w:val="20"/>
          <w:szCs w:val="20"/>
          <w:color w:val="auto"/>
        </w:rPr>
      </w:pPr>
    </w:p>
    <w:p>
      <w:pPr>
        <w:ind w:left="964" w:right="540"/>
        <w:spacing w:after="0" w:line="260" w:lineRule="auto"/>
        <w:rPr>
          <w:sz w:val="20"/>
          <w:szCs w:val="20"/>
          <w:color w:val="auto"/>
        </w:rPr>
      </w:pPr>
      <w:r>
        <w:rPr>
          <w:rFonts w:ascii="Times New Roman" w:cs="Times New Roman" w:eastAsia="Times New Roman" w:hAnsi="Times New Roman"/>
          <w:sz w:val="18"/>
          <w:szCs w:val="18"/>
          <w:color w:val="auto"/>
        </w:rPr>
        <w:t>underwriters’ option to purchase additional shares) based on the public offering price of $ per share, after deducting underwriting discounts and commission and estimated offering expenses of approximately $250,000 payable by us.</w:t>
      </w:r>
    </w:p>
    <w:p>
      <w:pPr>
        <w:spacing w:after="0" w:line="18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the “Use of Proceeds” section of this prospectus supplement, the “Management’s Discussion and Analysis of Financial Condition and Results of Operations” section and the financial statements and notes thereto in our most recently filed Annual Report on Form 10-K and our most recently filed Quarterly Report on Form 10-Q.</w:t>
      </w:r>
    </w:p>
    <w:p>
      <w:pPr>
        <w:spacing w:after="0" w:line="19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As of June 30, 2022</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444"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4"/>
          </w:tcPr>
          <w:p>
            <w:pPr>
              <w:jc w:val="center"/>
              <w:ind w:right="13"/>
              <w:spacing w:after="0" w:line="117" w:lineRule="exact"/>
              <w:rPr>
                <w:sz w:val="20"/>
                <w:szCs w:val="20"/>
                <w:color w:val="auto"/>
              </w:rPr>
            </w:pPr>
            <w:r>
              <w:rPr>
                <w:rFonts w:ascii="Times New Roman" w:cs="Times New Roman" w:eastAsia="Times New Roman" w:hAnsi="Times New Roman"/>
                <w:sz w:val="13"/>
                <w:szCs w:val="13"/>
                <w:b w:val="1"/>
                <w:bCs w:val="1"/>
                <w:color w:val="auto"/>
              </w:rPr>
              <w:t>(dollars in thousands, except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data 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1,226,442</w:t>
            </w:r>
          </w:p>
        </w:tc>
        <w:tc>
          <w:tcPr>
            <w:tcW w:w="5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40,616</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1,291,154</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253,443</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2023 Notes payable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94,717</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182,082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2031 Asset-Backed Debt</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225,970</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30,029</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786,241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41,345,638 shares issued and outstanding as of June 30,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 45,345,638 shares issued and outstanding pro forma</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 value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570,663</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(65,791)</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54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up to 600,000 shares of our common stock issuable by us upon exercise of the underwriters’ option to purchase additional shares (assuming the net proceeds from this offering are invested in cash and cash equivalents).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44"/>
          </w:cols>
          <w:pgMar w:left="436" w:top="266" w:right="519" w:bottom="1440" w:gutter="0" w:footer="0" w:header="0"/>
        </w:sectPr>
      </w:pPr>
    </w:p>
    <w:bookmarkStart w:id="18" w:name="page19"/>
    <w:bookmarkEnd w:id="18"/>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UNDERWRITING</w:t>
      </w:r>
    </w:p>
    <w:p>
      <w:pPr>
        <w:spacing w:after="0" w:line="229"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intend to offer the shares through the underwriters named in the table below. Morgan Stanley &amp; Co. LLC, Goldman Sachs &amp; Co. LLC, J.P. Morgan Securities LLC, Keefe, Bruyette &amp; Woods, Inc., RBC Capital Markets, LLC and Truist Securities,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2"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 Names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440" w:type="dxa"/>
            <w:vAlign w:val="bottom"/>
            <w:gridSpan w:val="3"/>
            <w:vMerge w:val="continue"/>
          </w:tcPr>
          <w:p>
            <w:pPr>
              <w:spacing w:after="0"/>
              <w:rPr>
                <w:sz w:val="13"/>
                <w:szCs w:val="13"/>
                <w:color w:val="auto"/>
              </w:rPr>
            </w:pPr>
          </w:p>
        </w:tc>
        <w:tc>
          <w:tcPr>
            <w:tcW w:w="104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8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and breaches of representations and warranties set forth in the underwriting agreement, or to contribute to payments the underwriters may be required to make in respect of those liabilities.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4" w:right="180"/>
        <w:spacing w:after="0" w:line="276" w:lineRule="auto"/>
        <w:rPr>
          <w:sz w:val="20"/>
          <w:szCs w:val="20"/>
          <w:color w:val="auto"/>
        </w:rPr>
      </w:pPr>
      <w:r>
        <w:rPr>
          <w:rFonts w:ascii="Times New Roman" w:cs="Times New Roman" w:eastAsia="Times New Roman" w:hAnsi="Times New Roman"/>
          <w:sz w:val="17"/>
          <w:szCs w:val="17"/>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w:t>
      </w:r>
    </w:p>
    <w:p>
      <w:pPr>
        <w:spacing w:after="0" w:line="1" w:lineRule="exact"/>
        <w:rPr>
          <w:sz w:val="20"/>
          <w:szCs w:val="20"/>
          <w:color w:val="auto"/>
        </w:rPr>
      </w:pPr>
    </w:p>
    <w:p>
      <w:pPr>
        <w:ind w:left="4" w:right="320" w:hanging="4"/>
        <w:spacing w:after="0" w:line="260" w:lineRule="auto"/>
        <w:tabs>
          <w:tab w:leader="none" w:pos="8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After the public offering, the public offering price, concession and discount may be changed. No such change shall change the amount of proceeds to be received by us as set forth on the cover page of this prospectus supplement.</w:t>
      </w:r>
    </w:p>
    <w:p>
      <w:pPr>
        <w:spacing w:after="0" w:line="18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we will pay to the underwriters assuming both no exercise and full exercise of the underwriters’ option to purchase up to an additional 600,000 shares.</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(sales load)</w:t>
            </w:r>
          </w:p>
        </w:tc>
        <w:tc>
          <w:tcPr>
            <w:tcW w:w="104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to PennantPark Floating Rate Capital Ltd. (before offering</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of $250,000)</w:t>
            </w:r>
          </w:p>
        </w:tc>
        <w:tc>
          <w:tcPr>
            <w:tcW w:w="10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365"/>
        </w:trPr>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S-15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4"/>
          </w:cols>
          <w:pgMar w:left="436" w:top="266"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to Purchase Additional Shares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to purchase up to 600,000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agreed, with exceptions, not to sell or transfer any shares for 60 days after the date of this prospectus supplement without first obtaining the written consent of Morgan Stanley &amp; Co. LLC.</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PennantPark Investment Advisers, and Pennant Park Investment Administration have agreed, with exceptions, not to sell or transfer any common stock for 60 days after the date of this prospectus supplement without first obtaining the written consent of Morgan Stanley &amp; Co. LLC. Specifically, we and these other individuals and entities have agreed not to directly or indirectly:</w:t>
      </w:r>
    </w:p>
    <w:p>
      <w:pPr>
        <w:spacing w:after="0" w:line="81"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common stock; or</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NYSE and the TASE under the symbol “PFLT.”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our common stock in the open market. These transactions may include short sales and purchases on the open market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the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80"/>
          </w:cols>
          <w:pgMar w:left="440" w:top="266" w:right="479" w:bottom="1440" w:gutter="0" w:footer="0" w:header="0"/>
        </w:sectPr>
      </w:pPr>
    </w:p>
    <w:bookmarkStart w:id="20" w:name="page21"/>
    <w:bookmarkEnd w:id="2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In connection with this offering, underwriters may engage in passive market making transactions in the common stock on the NYSE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Shares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and brokerage and other financing and non-financial activities and services. The underwriters and their respective affiliates have provided in the past to the Company and may provide from time to time in the future in the ordinary course of their business certain commercial banking, financial advisory, investment banking and other services to us for which they have received or will be entitled to receive separate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the portfolio companies.</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440" w:top="270" w:right="459" w:bottom="1440" w:gutter="0" w:footer="0" w:header="0"/>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date of this prospectus supplement, the underwriters and their affiliates may from time to time obtain information regarding specific portfolio companies or us that may not be available to the general public.</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such information is obtained by the underwriters and their affiliates in the ordinary course of their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Affiliates of certain of the underwriters serve as agents and/or lenders under our Credit Facility and may serve as lenders under any future credit facilities. Certain of the underwriters and their affiliates were underwriters in connection with our initial public offering and our subsequent common stock offerings and debt offerings for which they received customary fees.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Proceeds of this offering will be used to repay indebtedness under the Credit Facility. Accordingly, affiliates of certain of the underwriters may receive more than 5% of the proceeds of the offering to the extent such proceeds are used to repay amounts outstanding under our Credit Facility.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principal business addresses of the underwriters are: Morgan Stanley &amp; Co. LLC, 1585 Broadway, New York, NY 10036; Goldman Sachs &amp; Co. LLC, 200 West Street, New York, NY 10282; J.P. Morgan Securities LLC, 383 Madison Avenue, New York, NY 10179; Keefe, Bruyette &amp; Woods, Inc., 787 Seventh Avenue, New York, NY 10019; RBC Capital Markets, LLC, 200 Vesey Street, New York, NY 10281; and Truist Securities, Inc., 3333 Peachtree Road, NE, Atlanta, GA 30326.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offer in Australia of our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00"/>
          </w:cols>
          <w:pgMar w:left="440" w:top="270" w:right="459" w:bottom="1440" w:gutter="0" w:footer="0" w:header="0"/>
        </w:sectPr>
      </w:pPr>
    </w:p>
    <w:bookmarkStart w:id="22" w:name="page23"/>
    <w:bookmarkEnd w:id="22"/>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senior securities table of PennantPark Floating Rate Capital Ltd. as of September 30, 2021 and 2020 and for each of the years in the three-year period ended September 30, 2021 and the effectiveness of internal control over financial reporting as of September 30, 2021 incorporated in this prospectus supplement by reference from our Annual Report on Form 10-K for the year ended September 30, 2021 have been audited by RSM US LLP, an independent registered public accounting firm, as stated in their reports thereon, incorporated herein by reference, and have been incorporated in this prospectus supplement in reliance upon such reports.</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PSSL as of and for the fiscal years ended September 30, 2021 and September 30, 2020 included as Exhibits 99.3 and 99.4, respectively, in our Annual Report on Form 10-K for the fiscal year ended September 30, 2021 have been so included in reliance on the report of RSM US LLP.</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0920"/>
          </w:cols>
          <w:pgMar w:left="440" w:top="266" w:right="5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BY REFERENCE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2021, filed with the SEC on November 17, 2021;</w:t>
      </w:r>
    </w:p>
    <w:p>
      <w:pPr>
        <w:spacing w:after="0" w:line="117"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120" w:type="dxa"/>
            <w:vAlign w:val="bottom"/>
            <w:gridSpan w:val="7"/>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37">
              <w:r>
                <w:rPr>
                  <w:rFonts w:ascii="Times New Roman" w:cs="Times New Roman" w:eastAsia="Times New Roman" w:hAnsi="Times New Roman"/>
                  <w:sz w:val="18"/>
                  <w:szCs w:val="18"/>
                  <w:color w:val="0000EE"/>
                </w:rPr>
                <w:t>December  31, 2021</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color w:val="0000EE"/>
                </w:rPr>
                <w:t>March 31, 2022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color w:val="0000EE"/>
                </w:rPr>
                <w:t>June 30, 2022</w:t>
              </w:r>
            </w:hyperlink>
            <w:r>
              <w:rPr>
                <w:rFonts w:ascii="Times New Roman" w:cs="Times New Roman" w:eastAsia="Times New Roman" w:hAnsi="Times New Roman"/>
                <w:sz w:val="18"/>
                <w:szCs w:val="18"/>
                <w:color w:val="auto"/>
              </w:rPr>
              <w:t>, filed with the</w:t>
            </w:r>
          </w:p>
        </w:tc>
      </w:tr>
      <w:tr>
        <w:trPr>
          <w:trHeight w:val="20"/>
        </w:trPr>
        <w:tc>
          <w:tcPr>
            <w:tcW w:w="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1012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SEC on February 9, 2022, May 5, 2022 and August 3, 2022, respectively;</w:t>
            </w:r>
          </w:p>
        </w:tc>
      </w:tr>
    </w:tbl>
    <w:p>
      <w:pPr>
        <w:spacing w:after="0" w:line="103"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0">
        <w:r>
          <w:rPr>
            <w:rFonts w:ascii="Times New Roman" w:cs="Times New Roman" w:eastAsia="Times New Roman" w:hAnsi="Times New Roman"/>
            <w:sz w:val="18"/>
            <w:szCs w:val="18"/>
            <w:u w:val="single" w:color="auto"/>
            <w:color w:val="0000EE"/>
          </w:rPr>
          <w:t>February 14, 2022</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auto"/>
        </w:rPr>
        <w:t xml:space="preserve">, and </w:t>
      </w:r>
      <w:hyperlink r:id="rId42">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9, 2021; and</w:t>
      </w:r>
    </w:p>
    <w:p>
      <w:pPr>
        <w:spacing w:after="0" w:line="130" w:lineRule="exact"/>
        <w:rPr>
          <w:rFonts w:ascii="Times New Roman" w:cs="Times New Roman" w:eastAsia="Times New Roman" w:hAnsi="Times New Roman"/>
          <w:sz w:val="18"/>
          <w:szCs w:val="18"/>
          <w:color w:val="auto"/>
        </w:rPr>
      </w:pPr>
    </w:p>
    <w:p>
      <w:pPr>
        <w:jc w:val="both"/>
        <w:ind w:left="960" w:right="46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referenced in our Registration Statement on </w:t>
      </w:r>
      <w:hyperlink r:id="rId4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001-35127), filed with the SEC on March 31, 2022,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www.sec.gov.</w:t>
      </w:r>
    </w:p>
    <w:p>
      <w:pPr>
        <w:spacing w:after="0" w:line="12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980"/>
          </w:cols>
          <w:pgMar w:left="440" w:top="266"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150495</wp:posOffset>
            </wp:positionV>
            <wp:extent cx="221996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2"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21" w:lineRule="exact"/>
        <w:rPr>
          <w:sz w:val="20"/>
          <w:szCs w:val="20"/>
          <w:color w:val="auto"/>
        </w:rPr>
      </w:pPr>
    </w:p>
    <w:p>
      <w:pPr>
        <w:ind w:right="80" w:firstLine="562"/>
        <w:spacing w:after="0" w:line="281" w:lineRule="auto"/>
        <w:rPr>
          <w:sz w:val="20"/>
          <w:szCs w:val="20"/>
          <w:color w:val="auto"/>
        </w:rPr>
      </w:pPr>
      <w:r>
        <w:rPr>
          <w:rFonts w:ascii="Times New Roman" w:cs="Times New Roman" w:eastAsia="Times New Roman" w:hAnsi="Times New Roman"/>
          <w:sz w:val="17"/>
          <w:szCs w:val="17"/>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24" w:lineRule="exact"/>
        <w:rPr>
          <w:sz w:val="20"/>
          <w:szCs w:val="20"/>
          <w:color w:val="auto"/>
        </w:rPr>
      </w:pPr>
    </w:p>
    <w:p>
      <w:pPr>
        <w:ind w:right="280" w:firstLine="562"/>
        <w:spacing w:after="0" w:line="282" w:lineRule="auto"/>
        <w:rPr>
          <w:sz w:val="20"/>
          <w:szCs w:val="20"/>
          <w:color w:val="auto"/>
        </w:rPr>
      </w:pPr>
      <w:r>
        <w:rPr>
          <w:rFonts w:ascii="Times New Roman" w:cs="Times New Roman" w:eastAsia="Times New Roman" w:hAnsi="Times New Roman"/>
          <w:sz w:val="18"/>
          <w:szCs w:val="18"/>
          <w:color w:val="auto"/>
        </w:rPr>
        <w:t>We are managed by PennantPark Investment Advisers, LLC. PennantPark Investment Administration, LLC provides the administrative services necessary for us to operate.</w:t>
      </w:r>
    </w:p>
    <w:p>
      <w:pPr>
        <w:spacing w:after="0" w:line="135"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151"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135"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4" w:lineRule="exact"/>
        <w:rPr>
          <w:sz w:val="20"/>
          <w:szCs w:val="20"/>
          <w:color w:val="auto"/>
        </w:rPr>
      </w:pPr>
    </w:p>
    <w:p>
      <w:pPr>
        <w:ind w:right="140" w:firstLine="449"/>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p>
      <w:pPr>
        <w:ind w:right="42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accompanied by a prospectus supplement.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dated January 29, 2020</w:t>
      </w:r>
    </w:p>
    <w:p>
      <w:pPr>
        <w:sectPr>
          <w:pgSz w:w="11900" w:h="16838" w:orient="portrait"/>
          <w:cols w:equalWidth="0" w:num="1">
            <w:col w:w="11220"/>
          </w:cols>
          <w:pgMar w:left="320" w:top="266" w:right="359" w:bottom="1440" w:gutter="0" w:footer="0" w:header="0"/>
        </w:sectPr>
      </w:pPr>
    </w:p>
    <w:bookmarkStart w:id="26" w:name="page27"/>
    <w:bookmarkEnd w:id="26"/>
    <w:p>
      <w:pPr>
        <w:ind w:firstLine="56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780" w:type="dxa"/>
            <w:vAlign w:val="bottom"/>
            <w:gridSpan w:val="17"/>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7"/>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FEES AND EXPENSES</w:t>
            </w:r>
          </w:p>
        </w:tc>
        <w:tc>
          <w:tcPr>
            <w:tcW w:w="9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6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9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DISTRIBUTIONS</w:t>
            </w:r>
          </w:p>
        </w:tc>
        <w:tc>
          <w:tcPr>
            <w:tcW w:w="62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COMPANIES</w:t>
            </w:r>
          </w:p>
        </w:tc>
        <w:tc>
          <w:tcPr>
            <w:tcW w:w="88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MANAGEMENT</w:t>
            </w:r>
          </w:p>
        </w:tc>
        <w:tc>
          <w:tcPr>
            <w:tcW w:w="85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NET ASSET VALUE</w:t>
            </w:r>
          </w:p>
        </w:tc>
        <w:tc>
          <w:tcPr>
            <w:tcW w:w="75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CAPITAL STOCK</w:t>
            </w:r>
          </w:p>
        </w:tc>
        <w:tc>
          <w:tcPr>
            <w:tcW w:w="75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PREFERRED STOCK</w:t>
            </w:r>
          </w:p>
        </w:tc>
        <w:tc>
          <w:tcPr>
            <w:tcW w:w="73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WARRANTS</w:t>
            </w:r>
          </w:p>
        </w:tc>
        <w:tc>
          <w:tcPr>
            <w:tcW w:w="79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SUBSCRIPTION RIGHTS</w:t>
            </w:r>
          </w:p>
        </w:tc>
        <w:tc>
          <w:tcPr>
            <w:tcW w:w="6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DEBT SECURITIES</w:t>
            </w:r>
          </w:p>
        </w:tc>
        <w:tc>
          <w:tcPr>
            <w:tcW w:w="74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ALLOCATIONS AND OTHER PRACTICES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60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SUB-ADMINISTRATOR, CUSTODIAN, TRANSFER AGENT AND TRUSTEE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0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6"/>
              </w:rPr>
              <w:t>AVAILABLE INFORMATION</w:t>
            </w:r>
          </w:p>
        </w:tc>
        <w:tc>
          <w:tcPr>
            <w:tcW w:w="540" w:type="dxa"/>
            <w:vAlign w:val="bottom"/>
            <w:tcBorders>
              <w:top w:val="single" w:sz="8" w:color="0000EE"/>
            </w:tcBorders>
            <w:gridSpan w:val="2"/>
          </w:tcPr>
          <w:p>
            <w:pPr>
              <w:spacing w:after="0"/>
              <w:rPr>
                <w:sz w:val="17"/>
                <w:szCs w:val="17"/>
                <w:color w:val="auto"/>
              </w:rPr>
            </w:pPr>
          </w:p>
        </w:tc>
        <w:tc>
          <w:tcPr>
            <w:tcW w:w="80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20" w:top="270" w:right="35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w:t>
      </w:r>
    </w:p>
    <w:p>
      <w:pPr>
        <w:spacing w:after="0" w:line="229"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266"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85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5685790"/>
                    </a:xfrm>
                    <a:prstGeom prst="rect">
                      <a:avLst/>
                    </a:prstGeom>
                    <a:noFill/>
                  </pic:spPr>
                </pic:pic>
              </a:graphicData>
            </a:graphic>
          </wp:anchor>
        </w:drawing>
        <w:t>PROSPECTUS SUMMARY</w:t>
      </w:r>
    </w:p>
    <w:p>
      <w:pPr>
        <w:spacing w:after="0" w:line="227"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21" w:lineRule="exact"/>
        <w:rPr>
          <w:sz w:val="20"/>
          <w:szCs w:val="20"/>
          <w:color w:val="auto"/>
        </w:rPr>
      </w:pPr>
    </w:p>
    <w:p>
      <w:pPr>
        <w:ind w:firstLine="434"/>
        <w:spacing w:after="0" w:line="282"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2" w:lineRule="exact"/>
        <w:rPr>
          <w:sz w:val="20"/>
          <w:szCs w:val="20"/>
          <w:color w:val="auto"/>
        </w:rPr>
      </w:pPr>
    </w:p>
    <w:p>
      <w:pPr>
        <w:ind w:firstLine="434"/>
        <w:spacing w:after="0" w:line="254"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40"/>
          </w:cols>
          <w:pgMar w:left="520" w:top="455" w:right="539" w:bottom="1440" w:gutter="0" w:footer="0" w:header="0"/>
        </w:sectPr>
      </w:pPr>
    </w:p>
    <w:bookmarkStart w:id="29" w:name="page30"/>
    <w:bookmarkEnd w:id="29"/>
    <w:p>
      <w:pPr>
        <w:ind w:firstLine="43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60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5960110"/>
                    </a:xfrm>
                    <a:prstGeom prst="rect">
                      <a:avLst/>
                    </a:prstGeom>
                    <a:noFill/>
                  </pic:spPr>
                </pic:pic>
              </a:graphicData>
            </a:graphic>
          </wp:anchor>
        </w:drawing>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7"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21" w:lineRule="exact"/>
        <w:rPr>
          <w:sz w:val="20"/>
          <w:szCs w:val="20"/>
          <w:color w:val="auto"/>
        </w:rPr>
      </w:pPr>
    </w:p>
    <w:p>
      <w:pPr>
        <w:ind w:right="80" w:firstLine="434"/>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formed Funding I in order to establish our Credit Facility.</w:t>
      </w:r>
    </w:p>
    <w:p>
      <w:pPr>
        <w:spacing w:after="0" w:line="207" w:lineRule="exact"/>
        <w:rPr>
          <w:sz w:val="20"/>
          <w:szCs w:val="20"/>
          <w:color w:val="auto"/>
        </w:rPr>
      </w:pPr>
    </w:p>
    <w:p>
      <w:pPr>
        <w:ind w:firstLine="434"/>
        <w:spacing w:after="0" w:line="26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76" w:lineRule="exact"/>
        <w:rPr>
          <w:sz w:val="20"/>
          <w:szCs w:val="20"/>
          <w:color w:val="auto"/>
        </w:rPr>
      </w:pPr>
    </w:p>
    <w:p>
      <w:pPr>
        <w:ind w:right="240" w:firstLine="434"/>
        <w:spacing w:after="0" w:line="282" w:lineRule="auto"/>
        <w:rPr>
          <w:sz w:val="20"/>
          <w:szCs w:val="20"/>
          <w:color w:val="auto"/>
        </w:rPr>
      </w:pPr>
      <w:r>
        <w:rPr>
          <w:rFonts w:ascii="Times New Roman" w:cs="Times New Roman" w:eastAsia="Times New Roman" w:hAnsi="Times New Roman"/>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firstLine="434"/>
        <w:spacing w:after="0" w:line="254"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459" w:right="539" w:bottom="1440" w:gutter="0" w:footer="0" w:header="0"/>
        </w:sectPr>
      </w:pPr>
    </w:p>
    <w:bookmarkStart w:id="30" w:name="page31"/>
    <w:bookmarkEnd w:id="30"/>
    <w:p>
      <w:pPr>
        <w:ind w:right="60" w:firstLine="43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34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6234430"/>
                    </a:xfrm>
                    <a:prstGeom prst="rect">
                      <a:avLst/>
                    </a:prstGeom>
                    <a:noFill/>
                  </pic:spPr>
                </pic:pic>
              </a:graphicData>
            </a:graphic>
          </wp:anchor>
        </w:drawing>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20" w:firstLine="434"/>
        <w:spacing w:after="0" w:line="255"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40" w:firstLine="434"/>
        <w:spacing w:after="0" w:line="261" w:lineRule="auto"/>
        <w:rPr>
          <w:sz w:val="20"/>
          <w:szCs w:val="20"/>
          <w:color w:val="auto"/>
        </w:rPr>
      </w:pPr>
      <w:r>
        <w:rPr>
          <w:rFonts w:ascii="Times New Roman" w:cs="Times New Roman" w:eastAsia="Times New Roman" w:hAnsi="Times New Roman"/>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intend to continue our monthly distributions to our stockholders. Our monthly distributions, if any, are determined by our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21" w:lineRule="exact"/>
        <w:rPr>
          <w:sz w:val="20"/>
          <w:szCs w:val="20"/>
          <w:color w:val="auto"/>
        </w:rPr>
      </w:pPr>
    </w:p>
    <w:p>
      <w:pPr>
        <w:ind w:right="20" w:firstLine="434"/>
        <w:spacing w:after="0" w:line="258"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firstLine="434"/>
        <w:spacing w:after="0" w:line="282" w:lineRule="auto"/>
        <w:rPr>
          <w:sz w:val="20"/>
          <w:szCs w:val="20"/>
          <w:color w:val="auto"/>
        </w:rPr>
      </w:pPr>
      <w:r>
        <w:rPr>
          <w:rFonts w:ascii="Times New Roman" w:cs="Times New Roman" w:eastAsia="Times New Roman" w:hAnsi="Times New Roman"/>
          <w:sz w:val="18"/>
          <w:szCs w:val="18"/>
          <w:color w:val="auto"/>
        </w:rPr>
        <w:t>We may offer, from time to time, up to $500 million of our securities, on terms to be determined at the time of each such offering and set forth in a supplement to this prospectus.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20" w:top="459" w:right="519" w:bottom="1440" w:gutter="0" w:footer="0" w:header="0"/>
        </w:sectPr>
      </w:pPr>
    </w:p>
    <w:bookmarkStart w:id="31" w:name="page32"/>
    <w:bookmarkEnd w:id="31"/>
    <w:p>
      <w:pPr>
        <w:ind w:left="6" w:firstLine="43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65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765550"/>
                    </a:xfrm>
                    <a:prstGeom prst="rect">
                      <a:avLst/>
                    </a:prstGeom>
                    <a:noFill/>
                  </pic:spPr>
                </pic:pic>
              </a:graphicData>
            </a:graphic>
          </wp:anchor>
        </w:drawing>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6" w:right="680" w:firstLine="434"/>
        <w:spacing w:after="0" w:line="282"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6" w:right="20" w:firstLine="43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Our administrative and principal executive offices are located at 590 Madison Avenue, 15th Floor, New York, NY 10022. Our phone number is</w:t>
      </w:r>
    </w:p>
    <w:p>
      <w:pPr>
        <w:spacing w:after="0" w:line="27" w:lineRule="exact"/>
        <w:rPr>
          <w:sz w:val="20"/>
          <w:szCs w:val="20"/>
          <w:color w:val="auto"/>
        </w:rPr>
      </w:pPr>
    </w:p>
    <w:p>
      <w:pPr>
        <w:ind w:left="6" w:hanging="6"/>
        <w:spacing w:after="0" w:line="255" w:lineRule="auto"/>
        <w:tabs>
          <w:tab w:leader="none" w:pos="4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905-1000,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6"/>
          </w:cols>
          <w:pgMar w:left="514" w:top="459" w:right="5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p>
    <w:p>
      <w:pPr>
        <w:spacing w:after="0" w:line="22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8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(1)</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8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(2)</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4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 common shares)</w:t>
            </w:r>
            <w:r>
              <w:rPr>
                <w:rFonts w:ascii="Times New Roman" w:cs="Times New Roman" w:eastAsia="Times New Roman" w:hAnsi="Times New Roman"/>
                <w:sz w:val="26"/>
                <w:szCs w:val="26"/>
                <w:b w:val="1"/>
                <w:bCs w:val="1"/>
                <w:color w:val="auto"/>
                <w:vertAlign w:val="superscript"/>
              </w:rPr>
              <w:t>(3)</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8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2.13%</w:t>
            </w:r>
            <w:r>
              <w:rPr>
                <w:rFonts w:ascii="Times New Roman" w:cs="Times New Roman" w:eastAsia="Times New Roman" w:hAnsi="Times New Roman"/>
                <w:sz w:val="25"/>
                <w:szCs w:val="25"/>
                <w:color w:val="auto"/>
                <w:vertAlign w:val="superscript"/>
              </w:rPr>
              <w:t>(4)</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8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1.20%</w:t>
            </w:r>
            <w:r>
              <w:rPr>
                <w:rFonts w:ascii="Times New Roman" w:cs="Times New Roman" w:eastAsia="Times New Roman" w:hAnsi="Times New Roman"/>
                <w:sz w:val="25"/>
                <w:szCs w:val="25"/>
                <w:color w:val="auto"/>
                <w:vertAlign w:val="superscript"/>
              </w:rPr>
              <w:t>(5)</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8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5.23%</w:t>
            </w:r>
            <w:r>
              <w:rPr>
                <w:rFonts w:ascii="Times New Roman" w:cs="Times New Roman" w:eastAsia="Times New Roman" w:hAnsi="Times New Roman"/>
                <w:sz w:val="25"/>
                <w:szCs w:val="25"/>
                <w:color w:val="auto"/>
                <w:vertAlign w:val="superscript"/>
              </w:rPr>
              <w:t>(6)</w:t>
            </w: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8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5.47%</w:t>
            </w:r>
            <w:r>
              <w:rPr>
                <w:rFonts w:ascii="Times New Roman" w:cs="Times New Roman" w:eastAsia="Times New Roman" w:hAnsi="Times New Roman"/>
                <w:sz w:val="25"/>
                <w:szCs w:val="25"/>
                <w:color w:val="auto"/>
                <w:vertAlign w:val="superscript"/>
              </w:rPr>
              <w:t>(7)</w:t>
            </w:r>
          </w:p>
        </w:tc>
      </w:tr>
      <w:tr>
        <w:trPr>
          <w:trHeight w:val="216"/>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0.78%</w:t>
            </w:r>
            <w:r>
              <w:rPr>
                <w:rFonts w:ascii="Times New Roman" w:cs="Times New Roman" w:eastAsia="Times New Roman" w:hAnsi="Times New Roman"/>
                <w:sz w:val="25"/>
                <w:szCs w:val="25"/>
                <w:color w:val="auto"/>
                <w:vertAlign w:val="superscript"/>
              </w:rPr>
              <w:t>(8)</w:t>
            </w:r>
          </w:p>
        </w:tc>
      </w:tr>
      <w:tr>
        <w:trPr>
          <w:trHeight w:val="27"/>
        </w:trPr>
        <w:tc>
          <w:tcPr>
            <w:tcW w:w="10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216"/>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8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14.81%</w:t>
            </w:r>
            <w:r>
              <w:rPr>
                <w:rFonts w:ascii="Times New Roman" w:cs="Times New Roman" w:eastAsia="Times New Roman" w:hAnsi="Times New Roman"/>
                <w:sz w:val="25"/>
                <w:szCs w:val="25"/>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140" w:hanging="452"/>
        <w:spacing w:after="0" w:line="26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460" w:right="14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year ended September 30, 2019.</w:t>
      </w:r>
    </w:p>
    <w:p>
      <w:pPr>
        <w:spacing w:after="0" w:line="9"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September 30, 2019. See “Business —Investment Management Agreement” and “Business—Investment Advisory Fees” in our most recent Annual Report on Form 10-K for more information.</w:t>
      </w:r>
    </w:p>
    <w:p>
      <w:pPr>
        <w:spacing w:after="0" w:line="1"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 Investment Management Agreement” and “Business—Investment Advisory Fees” in our most recent Annual Report on Form 10-K for more information.</w:t>
      </w:r>
    </w:p>
    <w:p>
      <w:pPr>
        <w:spacing w:after="0" w:line="4" w:lineRule="exact"/>
        <w:rPr>
          <w:rFonts w:ascii="Times New Roman" w:cs="Times New Roman" w:eastAsia="Times New Roman" w:hAnsi="Times New Roman"/>
          <w:sz w:val="18"/>
          <w:szCs w:val="18"/>
          <w:color w:val="auto"/>
        </w:rPr>
      </w:pPr>
    </w:p>
    <w:p>
      <w:pPr>
        <w:ind w:left="460" w:right="260" w:hanging="452"/>
        <w:spacing w:after="0" w:line="253"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6" w:right="339" w:bottom="1440" w:gutter="0" w:footer="0" w:header="0"/>
        </w:sectPr>
      </w:pPr>
    </w:p>
    <w:bookmarkStart w:id="33" w:name="page34"/>
    <w:bookmarkEnd w:id="33"/>
    <w:p>
      <w:pPr>
        <w:ind w:left="460"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ind w:left="460" w:right="14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Times New Roman" w:cs="Times New Roman" w:eastAsia="Times New Roman" w:hAnsi="Times New Roman"/>
          <w:sz w:val="18"/>
          <w:szCs w:val="18"/>
          <w:color w:val="auto"/>
        </w:rPr>
      </w:pPr>
    </w:p>
    <w:p>
      <w:pPr>
        <w:ind w:left="460" w:right="80" w:hanging="452"/>
        <w:spacing w:after="0" w:line="25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13.61% of average net assets attributable to common shares as set forth in the table above (other than performance-based incentive fees) and (3) a 5% annual return.</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investment:</w:t>
            </w:r>
          </w:p>
        </w:tc>
        <w:tc>
          <w:tcPr>
            <w:tcW w:w="300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66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34"/>
        </w:trPr>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$ 161</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shd w:val="clear" w:color="auto" w:fill="CCEEFF"/>
          </w:tcPr>
          <w:p>
            <w:pPr>
              <w:spacing w:after="0"/>
              <w:rPr>
                <w:sz w:val="20"/>
                <w:szCs w:val="20"/>
                <w:color w:val="auto"/>
              </w:rPr>
            </w:pPr>
          </w:p>
        </w:tc>
      </w:tr>
      <w:tr>
        <w:trPr>
          <w:trHeight w:val="198"/>
        </w:trPr>
        <w:tc>
          <w:tcPr>
            <w:tcW w:w="6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from only realized capital gains and thus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3"/>
              </w:rPr>
              <w:t>$ 169</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70" w:right="359" w:bottom="1440" w:gutter="0" w:footer="0" w:header="0"/>
        </w:sectPr>
      </w:pPr>
    </w:p>
    <w:bookmarkStart w:id="34" w:name="page35"/>
    <w:bookmarkEnd w:id="3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266" w:right="4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2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 and other world economic and political issues.</w:t>
      </w:r>
    </w:p>
    <w:p>
      <w:pPr>
        <w:spacing w:after="0" w:line="225" w:lineRule="exact"/>
        <w:rPr>
          <w:sz w:val="20"/>
          <w:szCs w:val="20"/>
          <w:color w:val="auto"/>
        </w:rPr>
      </w:pPr>
    </w:p>
    <w:p>
      <w:pPr>
        <w:ind w:right="460" w:firstLine="449"/>
        <w:spacing w:after="0" w:line="289" w:lineRule="auto"/>
        <w:rPr>
          <w:sz w:val="20"/>
          <w:szCs w:val="20"/>
          <w:color w:val="auto"/>
        </w:rPr>
      </w:pPr>
      <w:r>
        <w:rPr>
          <w:rFonts w:ascii="Times New Roman" w:cs="Times New Roman" w:eastAsia="Times New Roman" w:hAnsi="Times New Roman"/>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5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6" w:right="339" w:bottom="1440" w:gutter="0" w:footer="0" w:header="0"/>
        </w:sectPr>
      </w:pPr>
    </w:p>
    <w:bookmarkStart w:id="36" w:name="page37"/>
    <w:bookmarkEnd w:id="36"/>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270"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266" w:right="3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SECURITIES</w:t>
      </w:r>
    </w:p>
    <w:p>
      <w:pPr>
        <w:spacing w:after="0" w:line="22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Class and Year</w:t>
            </w:r>
          </w:p>
        </w:tc>
        <w:tc>
          <w:tcPr>
            <w:tcW w:w="274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 Value</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2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5"/>
                <w:szCs w:val="15"/>
                <w:color w:val="auto"/>
              </w:rPr>
            </w:pPr>
          </w:p>
        </w:tc>
        <w:tc>
          <w:tcPr>
            <w:tcW w:w="14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0"/>
                <w:szCs w:val="10"/>
                <w:b w:val="1"/>
                <w:bCs w:val="1"/>
                <w:color w:val="auto"/>
              </w:rPr>
              <w:t>(2)</w:t>
            </w:r>
          </w:p>
        </w:tc>
        <w:tc>
          <w:tcPr>
            <w:tcW w:w="90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89"/>
        </w:trPr>
        <w:tc>
          <w:tcPr>
            <w:tcW w:w="3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18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265,308</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1,786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333,728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253,783</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2,780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232,908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29,600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13,598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146,400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2,469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99,600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3,109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2012</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75,500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2,263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2011</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24,650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4,735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138,580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1,786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138,580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228,000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1,786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7"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as senior securities are not registered for public trading in the United States of America.</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266"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RANGE OF COMMON STOCK</w:t>
      </w:r>
    </w:p>
    <w:p>
      <w:pPr>
        <w:spacing w:after="0" w:line="229"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19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19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2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on NASDAQ</w:t>
            </w:r>
          </w:p>
        </w:tc>
        <w:tc>
          <w:tcPr>
            <w:tcW w:w="19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of High Sales</w:t>
            </w:r>
          </w:p>
        </w:tc>
        <w:tc>
          <w:tcPr>
            <w:tcW w:w="19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of Low Sales</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100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NAV </w:t>
            </w:r>
            <w:r>
              <w:rPr>
                <w:rFonts w:ascii="Times New Roman" w:cs="Times New Roman" w:eastAsia="Times New Roman" w:hAnsi="Times New Roman"/>
                <w:sz w:val="10"/>
                <w:szCs w:val="10"/>
                <w:b w:val="1"/>
                <w:bCs w:val="1"/>
                <w:color w:val="auto"/>
              </w:rPr>
              <w:t>(1)</w:t>
            </w: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54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500" w:type="dxa"/>
            <w:vAlign w:val="bottom"/>
          </w:tcPr>
          <w:p>
            <w:pPr>
              <w:spacing w:after="0"/>
              <w:rPr>
                <w:sz w:val="12"/>
                <w:szCs w:val="12"/>
                <w:color w:val="auto"/>
              </w:rPr>
            </w:pPr>
          </w:p>
        </w:tc>
        <w:tc>
          <w:tcPr>
            <w:tcW w:w="1960" w:type="dxa"/>
            <w:vAlign w:val="bottom"/>
            <w:gridSpan w:val="2"/>
          </w:tcPr>
          <w:p>
            <w:pPr>
              <w:jc w:val="center"/>
              <w:ind w:right="64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Price to NAV </w:t>
            </w:r>
            <w:r>
              <w:rPr>
                <w:rFonts w:ascii="Times New Roman" w:cs="Times New Roman" w:eastAsia="Times New Roman" w:hAnsi="Times New Roman"/>
                <w:sz w:val="10"/>
                <w:szCs w:val="10"/>
                <w:b w:val="1"/>
                <w:bCs w:val="1"/>
                <w:color w:val="auto"/>
              </w:rPr>
              <w:t>(2)</w:t>
            </w:r>
          </w:p>
        </w:tc>
        <w:tc>
          <w:tcPr>
            <w:tcW w:w="1980" w:type="dxa"/>
            <w:vAlign w:val="bottom"/>
            <w:gridSpan w:val="2"/>
          </w:tcPr>
          <w:p>
            <w:pPr>
              <w:jc w:val="center"/>
              <w:ind w:right="6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100" w:type="dxa"/>
            <w:vAlign w:val="bottom"/>
          </w:tcPr>
          <w:p>
            <w:pPr>
              <w:spacing w:after="0"/>
              <w:rPr>
                <w:sz w:val="12"/>
                <w:szCs w:val="12"/>
                <w:color w:val="auto"/>
              </w:rPr>
            </w:pP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67"/>
        </w:trPr>
        <w:tc>
          <w:tcPr>
            <w:tcW w:w="32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 quarter (through</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27, 2020)</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N/A</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$12.40</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$ 12.01</w:t>
            </w:r>
          </w:p>
        </w:tc>
        <w:tc>
          <w:tcPr>
            <w:tcW w:w="19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300"/>
              <w:spacing w:after="0" w:line="235" w:lineRule="exact"/>
              <w:rPr>
                <w:sz w:val="20"/>
                <w:szCs w:val="20"/>
                <w:color w:val="auto"/>
              </w:rPr>
            </w:pPr>
            <w:r>
              <w:rPr>
                <w:rFonts w:ascii="Times New Roman" w:cs="Times New Roman" w:eastAsia="Times New Roman" w:hAnsi="Times New Roman"/>
                <w:sz w:val="18"/>
                <w:szCs w:val="18"/>
                <w:color w:val="auto"/>
                <w:w w:val="98"/>
              </w:rPr>
              <w:t>0.095</w:t>
            </w:r>
            <w:r>
              <w:rPr>
                <w:rFonts w:ascii="Times New Roman" w:cs="Times New Roman" w:eastAsia="Times New Roman" w:hAnsi="Times New Roman"/>
                <w:sz w:val="26"/>
                <w:szCs w:val="26"/>
                <w:color w:val="auto"/>
                <w:w w:val="98"/>
                <w:vertAlign w:val="superscript"/>
              </w:rPr>
              <w:t>(3)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12.56</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11.33</w:t>
            </w:r>
          </w:p>
        </w:tc>
        <w:tc>
          <w:tcPr>
            <w:tcW w:w="19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194"/>
        </w:trPr>
        <w:tc>
          <w:tcPr>
            <w:tcW w:w="3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September 30,</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12.97</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11.79</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11.22</w:t>
            </w:r>
          </w:p>
        </w:tc>
        <w:tc>
          <w:tcPr>
            <w:tcW w:w="1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w:t>
            </w:r>
          </w:p>
        </w:tc>
        <w:tc>
          <w:tcPr>
            <w:tcW w:w="1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13.07</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13.35</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11.44</w:t>
            </w: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13.24</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13.38</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11.80</w:t>
            </w:r>
          </w:p>
        </w:tc>
        <w:tc>
          <w:tcPr>
            <w:tcW w:w="19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13.66</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13.34</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11.20</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194"/>
        </w:trPr>
        <w:tc>
          <w:tcPr>
            <w:tcW w:w="3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September 30,</w:t>
            </w: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13.82</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13.83</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13.15</w:t>
            </w: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13.82</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14.10</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13.08</w:t>
            </w:r>
          </w:p>
        </w:tc>
        <w:tc>
          <w:tcPr>
            <w:tcW w:w="19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13.98</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13.85</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12.19</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13.86</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14.61</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13.72</w:t>
            </w:r>
          </w:p>
        </w:tc>
        <w:tc>
          <w:tcPr>
            <w:tcW w:w="19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per share, divided by the quarter-end NAV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dividend of $0.095 per share payable on February 3, 2020 to stockholders of record as of January 16, 2020.</w:t>
      </w:r>
    </w:p>
    <w:p>
      <w:pPr>
        <w:spacing w:after="0" w:line="20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266"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SALES OF COMMON STOCK BELOW NET ASSET VALUE</w:t>
      </w:r>
    </w:p>
    <w:p>
      <w:pPr>
        <w:spacing w:after="0" w:line="229"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3" w:lineRule="exact"/>
        <w:rPr>
          <w:sz w:val="20"/>
          <w:szCs w:val="20"/>
          <w:color w:val="auto"/>
        </w:rPr>
      </w:pPr>
    </w:p>
    <w:p>
      <w:pPr>
        <w:ind w:left="1000" w:right="120" w:hanging="43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67" w:lineRule="exact"/>
        <w:rPr>
          <w:rFonts w:ascii="Times New Roman" w:cs="Times New Roman" w:eastAsia="Times New Roman" w:hAnsi="Times New Roman"/>
          <w:sz w:val="18"/>
          <w:szCs w:val="18"/>
          <w:color w:val="auto"/>
        </w:rPr>
      </w:pPr>
    </w:p>
    <w:p>
      <w:pPr>
        <w:ind w:left="1000" w:right="200" w:hanging="43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00" w:right="200" w:hanging="43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62"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90"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67" w:lineRule="exact"/>
        <w:rPr>
          <w:sz w:val="20"/>
          <w:szCs w:val="20"/>
          <w:color w:val="auto"/>
        </w:rPr>
      </w:pPr>
    </w:p>
    <w:p>
      <w:pPr>
        <w:ind w:left="5540" w:right="5260" w:hanging="4979"/>
        <w:spacing w:after="0" w:line="367" w:lineRule="auto"/>
        <w:tabs>
          <w:tab w:leader="none" w:pos="9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do not purchase any shares in the offering; 13</w:t>
      </w:r>
    </w:p>
    <w:p>
      <w:pPr>
        <w:sectPr>
          <w:pgSz w:w="11900" w:h="16838" w:orient="portrait"/>
          <w:cols w:equalWidth="0" w:num="1">
            <w:col w:w="11240"/>
          </w:cols>
          <w:pgMar w:left="320" w:top="266" w:right="339" w:bottom="1440" w:gutter="0" w:footer="0" w:header="0"/>
        </w:sectPr>
      </w:pPr>
    </w:p>
    <w:bookmarkStart w:id="41" w:name="page42"/>
    <w:bookmarkEnd w:id="41"/>
    <w:p>
      <w:pPr>
        <w:ind w:left="1000" w:right="220" w:hanging="439"/>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21" w:lineRule="exact"/>
        <w:rPr>
          <w:sz w:val="20"/>
          <w:szCs w:val="20"/>
          <w:color w:val="auto"/>
        </w:rPr>
      </w:pPr>
    </w:p>
    <w:p>
      <w:pPr>
        <w:jc w:val="both"/>
        <w:ind w:right="120" w:firstLine="449"/>
        <w:spacing w:after="0" w:line="272" w:lineRule="auto"/>
        <w:rPr>
          <w:sz w:val="20"/>
          <w:szCs w:val="20"/>
          <w:color w:val="auto"/>
        </w:rPr>
      </w:pPr>
      <w:r>
        <w:rPr>
          <w:rFonts w:ascii="Times New Roman" w:cs="Times New Roman" w:eastAsia="Times New Roman" w:hAnsi="Times New Roman"/>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w:t>
      </w:r>
    </w:p>
    <w:p>
      <w:pPr>
        <w:spacing w:after="0" w:line="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9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9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4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9.47</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9.00</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1,050,000</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6"/>
              </w:rPr>
              <w:t>1,100,000</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4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4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99,100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4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 by stockholder A (assumed to</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be $10.00 per share)</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dilution to stockholder A (total NAV less</w:t>
            </w:r>
          </w:p>
        </w:tc>
        <w:tc>
          <w:tcPr>
            <w:tcW w:w="1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investment)</w:t>
            </w: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(200)</w:t>
            </w: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Per Share Amounts</w:t>
            </w: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9.91</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9.50</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$10.00 per share on shares held prior to sale)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10.00</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Dilution per share held by stockholder A (NAV per share</w:t>
            </w:r>
          </w:p>
        </w:tc>
        <w:tc>
          <w:tcPr>
            <w:tcW w:w="26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less investment per share)</w:t>
            </w:r>
          </w:p>
        </w:tc>
        <w:tc>
          <w:tcPr>
            <w:tcW w:w="2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84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(0.50)</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Percentage dilution to stockholder A (dilution per share</w:t>
            </w:r>
          </w:p>
        </w:tc>
        <w:tc>
          <w:tcPr>
            <w:tcW w:w="2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divided by investment per share)</w:t>
            </w:r>
          </w:p>
        </w:tc>
        <w:tc>
          <w:tcPr>
            <w:tcW w:w="2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251" w:right="339" w:bottom="1440" w:gutter="0" w:footer="0" w:header="0"/>
        </w:sectPr>
      </w:pPr>
    </w:p>
    <w:bookmarkStart w:id="43" w:name="page44"/>
    <w:bookmarkEnd w:id="43"/>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100" w:type="dxa"/>
            <w:vAlign w:val="bottom"/>
          </w:tcPr>
          <w:p>
            <w:pPr>
              <w:spacing w:after="0"/>
              <w:rPr>
                <w:sz w:val="15"/>
                <w:szCs w:val="15"/>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540" w:type="dxa"/>
            <w:vAlign w:val="bottom"/>
          </w:tcPr>
          <w:p>
            <w:pPr>
              <w:spacing w:after="0"/>
              <w:rPr>
                <w:sz w:val="17"/>
                <w:szCs w:val="17"/>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7.89</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Increases in Shares and Decrease to NAV</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w w:val="96"/>
              </w:rPr>
              <w:t>1,250,000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9.50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(Dilution)/Accretion to Participating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11,250</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13,750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0.90%</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106,875</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held prior to sale)</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109,863</w:t>
            </w:r>
          </w:p>
        </w:tc>
        <w:tc>
          <w:tcPr>
            <w:tcW w:w="5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129,588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(2,988)</w:t>
            </w: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5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9.42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9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investment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(0.27)</w:t>
            </w: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70" w:right="339" w:bottom="1440" w:gutter="0" w:footer="0" w:header="0"/>
        </w:sectPr>
      </w:pPr>
    </w:p>
    <w:bookmarkStart w:id="44" w:name="page45"/>
    <w:bookmarkEnd w:id="4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7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9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9.47</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9.00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Decrease to NAV</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1,050,000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w w:val="96"/>
              </w:rPr>
              <w:t>1,100,000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9.91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Dilution to Stockholder A</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0.05%</w:t>
            </w: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0.90%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9,910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9,470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(dilution)/accretion to stockholder A (total</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NAV less total investment)</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440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9.91</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9.47</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stockholder A (NAV per share less investment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per share)</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(0.02)</w:t>
            </w: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0.44</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Percentage (dilution)/accretion to stockholder A</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((dilution)/accretion per share divided by</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investment per share)</w:t>
            </w:r>
          </w:p>
        </w:tc>
        <w:tc>
          <w:tcPr>
            <w:tcW w:w="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70" w:right="33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2"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during the years ended September 30, 2019 and 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266" w:right="4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PORTFOLIO COMPANIES</w:t>
      </w:r>
    </w:p>
    <w:p>
      <w:pPr>
        <w:spacing w:after="0" w:line="22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3" w:lineRule="exact"/>
        <w:rPr>
          <w:sz w:val="20"/>
          <w:szCs w:val="20"/>
          <w:color w:val="auto"/>
        </w:rPr>
      </w:pPr>
    </w:p>
    <w:p>
      <w:pPr>
        <w:ind w:right="100" w:firstLine="449"/>
        <w:spacing w:after="0" w:line="272" w:lineRule="auto"/>
        <w:rPr>
          <w:sz w:val="20"/>
          <w:szCs w:val="20"/>
          <w:color w:val="auto"/>
        </w:rPr>
      </w:pPr>
      <w:r>
        <w:rPr>
          <w:rFonts w:ascii="Times New Roman" w:cs="Times New Roman" w:eastAsia="Times New Roman" w:hAnsi="Times New Roman"/>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9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40" w:type="dxa"/>
            <w:vAlign w:val="bottom"/>
            <w:gridSpan w:val="2"/>
            <w:vMerge w:val="continue"/>
          </w:tcPr>
          <w:p>
            <w:pPr>
              <w:spacing w:after="0"/>
              <w:rPr>
                <w:sz w:val="12"/>
                <w:szCs w:val="12"/>
                <w:color w:val="auto"/>
              </w:rPr>
            </w:pPr>
          </w:p>
        </w:tc>
        <w:tc>
          <w:tcPr>
            <w:tcW w:w="124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0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22"/>
        </w:trPr>
        <w:tc>
          <w:tcPr>
            <w:tcW w:w="39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Companies Less than 5% Owned</w:t>
            </w:r>
          </w:p>
        </w:tc>
        <w:tc>
          <w:tcPr>
            <w:tcW w:w="1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18 Fremont Street Acquisition, LLC</w:t>
            </w:r>
          </w:p>
        </w:tc>
        <w:tc>
          <w:tcPr>
            <w:tcW w:w="18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Hotels, Restaurants and</w:t>
            </w:r>
          </w:p>
        </w:tc>
        <w:tc>
          <w:tcPr>
            <w:tcW w:w="33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 1M L+800, 08/11/2025</w:t>
            </w:r>
          </w:p>
        </w:tc>
        <w:tc>
          <w:tcPr>
            <w:tcW w:w="1240" w:type="dxa"/>
            <w:vAlign w:val="bottom"/>
            <w:gridSpan w:val="2"/>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 Fremont Street</w:t>
            </w: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Leisure</w:t>
            </w: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89101</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Affinion Group Holdings, Inc.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Consumer Goods: Durable</w:t>
            </w:r>
          </w:p>
        </w:tc>
        <w:tc>
          <w:tcPr>
            <w:tcW w:w="33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Connecticut Avenue</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Norwalk, CT 06850</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Software</w:t>
            </w: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(4)(5)</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 Little Falls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Altamira Technologies, LLC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IT Services</w:t>
            </w:r>
          </w:p>
        </w:tc>
        <w:tc>
          <w:tcPr>
            <w:tcW w:w="33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 3M L+600, 07/24/2025</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7,938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Auto Auction Group, LLC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Transportation: Consumer</w:t>
            </w: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 3M L+475, 01/02/2024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5,740</w:t>
            </w: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10333 N. Meridian, Suite 200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Indianapolis, IN 46290</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Insulated Glass,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Building Products</w:t>
            </w:r>
          </w:p>
        </w:tc>
        <w:tc>
          <w:tcPr>
            <w:tcW w:w="33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 3M L+550, 12/21/2023</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15,023</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 Dawgs Capital III, LP)</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3965 E. Conley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Conley, GA 30288</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Teleconferencing Services, Ltd.</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Telecommunications</w:t>
            </w: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 3M L+650, 12/08/2021</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6,771</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3280 Peachtree Road, NE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30305</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API Technologies Corp.</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Electronic Equipment,</w:t>
            </w:r>
          </w:p>
        </w:tc>
        <w:tc>
          <w:tcPr>
            <w:tcW w:w="33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 1M L+425, 05/11/2026</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5,783</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4705 S. Apopka Vineland Rd., Suite 210</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Instruments, and</w:t>
            </w: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Orlando, FL 32819</w:t>
            </w:r>
          </w:p>
        </w:tc>
        <w:tc>
          <w:tcPr>
            <w:tcW w:w="18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Components</w:t>
            </w: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6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2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40" w:type="dxa"/>
            <w:vAlign w:val="bottom"/>
            <w:gridSpan w:val="2"/>
            <w:vMerge w:val="continue"/>
          </w:tcPr>
          <w:p>
            <w:pPr>
              <w:spacing w:after="0"/>
              <w:rPr>
                <w:sz w:val="12"/>
                <w:szCs w:val="12"/>
                <w:color w:val="auto"/>
              </w:rPr>
            </w:pPr>
          </w:p>
        </w:tc>
        <w:tc>
          <w:tcPr>
            <w:tcW w:w="124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3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2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BEI Precision Systems &amp; Space Company, Inc.</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Murphy Drive</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04/28/2023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Maumelle, AR 72113</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Light Professional IT Services,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High Tech Industries</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22,316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(By Light Investco LP)</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05/16/2022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3101 Wilson Boulevard, Suite 850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Cadence Aerospace,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610 Newport Center Drive, Suite 950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L+650, 11/14/2023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Newport Beach, CA 92660</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Cano Health,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and</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23,913</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(ITC Rumba, LLC)</w:t>
            </w: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L+650, 12/23/2021</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680 N. University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Pembroke Pines, FL 33024</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Cardenas Markets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2501 East Guasti Road</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11/29/2023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Ontario, CA 91761</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 Holdings, Inc.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Environmental Industries</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7,329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575 Broadway, Suite 301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L+450, 04/10/2025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 12207</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Challenger Performance Optimization, Inc.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1201 Wilson Blvd.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08/31/2023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22209</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 (Summit) Investment Holdings,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575 Minnehaha Ave. W.</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Paul, MN 55103</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Condor Borrower,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High Tech Industries</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(Condor Holdings Limited</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L+875, 04/25/2025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(Condor Top Holdco Limited</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 Becker Farm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Roseland, NJ 07068</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 Providers and</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3,940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75 S English Station Road</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06/24/2026</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DBI Holding,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Second Lien Secured Debt, 8.0% fixed PIK,</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17,153</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North Conahan Drive</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02/01/2026</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Hazleton, PA 18201</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DecoPac, Inc.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Beverage, Food and</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12,888</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(DecoPac Holdings Inc.)</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L+825, 03/31/2025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3500 Thurston Avenue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Anoka, MN 55303</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Deva Holdings, Inc.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Consumer Goods:</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75 Spring Street, Floor 8</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10/31/2023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Room Holdings, Inc.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 Advertising,</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9,495</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8000 Haskell Ave.</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05/22/2026</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Van Nuys, CA 91406</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25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20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20" w:type="dxa"/>
            <w:vAlign w:val="bottom"/>
            <w:gridSpan w:val="2"/>
            <w:vMerge w:val="continue"/>
          </w:tcPr>
          <w:p>
            <w:pPr>
              <w:spacing w:after="0"/>
              <w:rPr>
                <w:sz w:val="12"/>
                <w:szCs w:val="12"/>
                <w:color w:val="auto"/>
              </w:rPr>
            </w:pPr>
          </w:p>
        </w:tc>
        <w:tc>
          <w:tcPr>
            <w:tcW w:w="124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2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Douglas Products and Packaging Company LLC</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Chemicals, Plastics and</w:t>
            </w:r>
          </w:p>
        </w:tc>
        <w:tc>
          <w:tcPr>
            <w:tcW w:w="28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(Douglas Sewer Intermediate, LLC)</w:t>
            </w:r>
          </w:p>
        </w:tc>
        <w:tc>
          <w:tcPr>
            <w:tcW w:w="18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Rubber</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10/19/2022</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(Plant Health Intermediate, Inc.)</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1550 East Old 210 Highway</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Liberty, MO 64068</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East Valley Tourist Development Authority</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Hotel, Gaming and Leisure</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18,406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84245 Indio Springs Dr.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L+800, 03/07/2022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Indio, CA 92203</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0"/>
                <w:szCs w:val="10"/>
                <w:color w:val="auto"/>
              </w:rPr>
              <w:t>(3)</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Banking, Finance,</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21,935</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11612 Bee Caves Road, Building II, Suite 200</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Insurance &amp; Real Estate</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L+500, 10/05/2023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Austin, TX, 78738</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Education Networks of America,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 1M L+750 (PIK</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12,528</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618 Grassmere Park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 05/06/2021</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Suite 12</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Nashville, TN 37211</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Diversified and</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7,178</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27070 Miles Road, Suite A</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L+675, 06/15/2022</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FlexPrint, LLC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Professional Services</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2845 N. Omaha Street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L+620, 01/02/2024</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 AZ 85215</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Faraday Holdings,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Construction and Building</w:t>
            </w:r>
          </w:p>
        </w:tc>
        <w:tc>
          <w:tcPr>
            <w:tcW w:w="30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1630 Faraday Avenue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Carlsbad, CA 92008</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GCOM Software LLC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High Tech Industries</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14,346</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(GCOM InvestCo LP)</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11/14/2022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24 Madison Avenue (Extension 4)</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 12203</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Good2Grow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Beverages</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6,914</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2859 Paces Ferry Road SE #2100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L+425, 11/18/2024</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30339</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GSM Holdings, Inc.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 Durable</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3385 Roy Orr Blvd., Suite B</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L+450, 06/03/2024</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Prairie, TX 75050</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HW Holdco,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7,701</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12/10/2024</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IMIA Holdings,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 —, 10/28/2024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6470 Spanish Fort Boulevard Suite 300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Spanish Fort, AL 36527</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Impact Group,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Wholesale</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12,679</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915 W. Jefferson Street</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L+650, 06/27/2023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Boise, ID 83702</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Innova Medical Ophthalmics Inc.</w:t>
            </w:r>
            <w:r>
              <w:rPr>
                <w:rFonts w:ascii="Times New Roman" w:cs="Times New Roman" w:eastAsia="Times New Roman" w:hAnsi="Times New Roman"/>
                <w:sz w:val="10"/>
                <w:szCs w:val="10"/>
                <w:color w:val="auto"/>
              </w:rPr>
              <w:t>(3)</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 Equipment</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17,506</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(Lombart Brothers, Inc.)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L+625, 04/13/2022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5358 Robin Hood Road</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Norfolk, VA 23513</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5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1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12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1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Integrative Nutrition,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8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(IIN Group Holdings,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245 5</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Avenue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Consumer Goods: Durable</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1M L+650, 04/30/2020</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Internationale Parkway</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JWC/UMA Holdings, L.P.</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1515 Broad Street, Suite 120</w:t>
            </w:r>
          </w:p>
        </w:tc>
        <w:tc>
          <w:tcPr>
            <w:tcW w:w="184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Bloomfield, NJ 07003</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K2 Pure Solutions NoCal, L.P.</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Chemicals, Plastics and</w:t>
            </w:r>
          </w:p>
        </w:tc>
        <w:tc>
          <w:tcPr>
            <w:tcW w:w="3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3515 Massillion Road, Ste. 290</w:t>
            </w: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Rubber</w:t>
            </w: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Uniontown, OH 44685</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Kentucky Downs,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Hotels, Restaurants and</w:t>
            </w:r>
          </w:p>
        </w:tc>
        <w:tc>
          <w:tcPr>
            <w:tcW w:w="31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5,596</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 Racing Holdco, LLC)</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5629 Nashville Road</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0"/>
                <w:szCs w:val="10"/>
                <w:color w:val="auto"/>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KHC Holdings, Inc.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Wholesale</w:t>
            </w:r>
          </w:p>
        </w:tc>
        <w:tc>
          <w:tcPr>
            <w:tcW w:w="3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12,511</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3300 Brother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Memphis, TN 38133</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Lago Resort &amp; Casino, LLC</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Hotel, Gaming and</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 3M L+950, 03/07/2022</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9,176</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1133 Ridge Road (Rt 414)</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Waterloo, NY 13165</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 Equipment</w:t>
            </w:r>
          </w:p>
        </w:tc>
        <w:tc>
          <w:tcPr>
            <w:tcW w:w="3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8,475</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3165 W Sunset 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LifeCare Holdings LLC</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5340 Legacy Drive</w:t>
            </w:r>
          </w:p>
        </w:tc>
        <w:tc>
          <w:tcPr>
            <w:tcW w:w="184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 150, Building 4</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Island Vision Management, LLC</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Healthcare and</w:t>
            </w:r>
          </w:p>
        </w:tc>
        <w:tc>
          <w:tcPr>
            <w:tcW w:w="3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8,116</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805 Broadway</w:t>
            </w: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11701</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Long’s Drugs Incorporated</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1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9,741</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111 Executive Center Drive, Suite 228</w:t>
            </w:r>
          </w:p>
        </w:tc>
        <w:tc>
          <w:tcPr>
            <w:tcW w:w="184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Columbia, SC 29210</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Retail</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1M L+600, 05/01/2023</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12,712</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775 Prairie Center Drive, Suite 420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Eden Prairie, MN 55344</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MailSouth, Inc.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Advertising,</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5901 Highway 52 East</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c>
          <w:tcPr>
            <w:tcW w:w="31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Helena, AL 35080</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Manna Pro Products,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Goods:</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1M L+600, 12/08/2023</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8,159</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707 Spirit 40 Park Drive, #150</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Chesterfield, MO 63005</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Marketplace Events LLC</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Media: Diversified and</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 USD (3M L+525,</w:t>
            </w:r>
          </w:p>
        </w:tc>
        <w:tc>
          <w:tcPr>
            <w:tcW w:w="126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18,034</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McAfee,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High Tech Industries</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2,205</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2821 Mission College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Santa Clara, CA 95054</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25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6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18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20" w:type="dxa"/>
            <w:vAlign w:val="bottom"/>
            <w:gridSpan w:val="2"/>
            <w:vMerge w:val="continue"/>
          </w:tcPr>
          <w:p>
            <w:pPr>
              <w:spacing w:after="0"/>
              <w:rPr>
                <w:sz w:val="12"/>
                <w:szCs w:val="12"/>
                <w:color w:val="auto"/>
              </w:rPr>
            </w:pPr>
          </w:p>
        </w:tc>
        <w:tc>
          <w:tcPr>
            <w:tcW w:w="1360" w:type="dxa"/>
            <w:vAlign w:val="bottom"/>
            <w:gridSpan w:val="2"/>
          </w:tcPr>
          <w:p>
            <w:pPr>
              <w:jc w:val="right"/>
              <w:ind w:right="55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3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36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1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MeritDirect, LLC</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Media</w:t>
            </w:r>
          </w:p>
        </w:tc>
        <w:tc>
          <w:tcPr>
            <w:tcW w:w="28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20"/>
              <w:spacing w:after="0" w:line="109" w:lineRule="exact"/>
              <w:rPr>
                <w:sz w:val="20"/>
                <w:szCs w:val="20"/>
                <w:color w:val="auto"/>
              </w:rPr>
            </w:pPr>
            <w:r>
              <w:rPr>
                <w:rFonts w:ascii="Times New Roman" w:cs="Times New Roman" w:eastAsia="Times New Roman" w:hAnsi="Times New Roman"/>
                <w:sz w:val="12"/>
                <w:szCs w:val="12"/>
                <w:color w:val="auto"/>
              </w:rPr>
              <w:t>1.0</w:t>
            </w:r>
          </w:p>
        </w:tc>
        <w:tc>
          <w:tcPr>
            <w:tcW w:w="560" w:type="dxa"/>
            <w:vAlign w:val="bottom"/>
            <w:tcBorders>
              <w:top w:val="single" w:sz="8" w:color="CCEEFF"/>
            </w:tcBorders>
            <w:shd w:val="clear" w:color="auto" w:fill="CCEEFF"/>
          </w:tcPr>
          <w:p>
            <w:pPr>
              <w:jc w:val="right"/>
              <w:ind w:right="3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(MeritDirect Holdings, LP)</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05/23/2024</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 International Drive</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 Equipment</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2911 W. Garry Ave.</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L+500, 09/28/2021</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Santa Ana, CA 92704</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Montreign Operating Company, LLC</w:t>
            </w:r>
          </w:p>
        </w:tc>
        <w:tc>
          <w:tcPr>
            <w:tcW w:w="17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Hotel, Gaming and</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24,345</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204 State Route 17B</w:t>
            </w:r>
          </w:p>
        </w:tc>
        <w:tc>
          <w:tcPr>
            <w:tcW w:w="17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L+825, 01/24/2023</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Monticello, NY 12701</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Nuvei Technologies Corp.</w:t>
            </w:r>
            <w:r>
              <w:rPr>
                <w:rFonts w:ascii="Times New Roman" w:cs="Times New Roman" w:eastAsia="Times New Roman" w:hAnsi="Times New Roman"/>
                <w:sz w:val="10"/>
                <w:szCs w:val="10"/>
                <w:color w:val="auto"/>
              </w:rPr>
              <w:t>(3)</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Diversified Financial</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P+400, 09/28/2025</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19,651</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1100 Rene Levsque West Suite 900</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Montreal, Quebec, H3B 4N4</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Olde Thompson,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3250 Camino Del Sol</w:t>
            </w:r>
          </w:p>
        </w:tc>
        <w:tc>
          <w:tcPr>
            <w:tcW w:w="17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L+450, 05/14/2024</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Oxnard, CA 93030</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 Challenger Road #303</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L+450, 03/27/2024</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Ridgefield Park, NJ 07660</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Ox Two,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Construction and</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13,289</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700 Centreville Rd.</w:t>
            </w:r>
          </w:p>
        </w:tc>
        <w:tc>
          <w:tcPr>
            <w:tcW w:w="17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Building</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02/27/2023</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Constantine, MI 49042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Peninsula Pacific Entertainment LLC</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Hotel, Gaming and</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13,276</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10515 Colonial Downs Parkway</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Leisure</w:t>
            </w: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L+725, 11/13/2024</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Kent, VA 23124</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Pestell Minerals and Ingredients Inc.</w:t>
            </w:r>
            <w:r>
              <w:rPr>
                <w:rFonts w:ascii="Times New Roman" w:cs="Times New Roman" w:eastAsia="Times New Roman" w:hAnsi="Times New Roman"/>
                <w:sz w:val="10"/>
                <w:szCs w:val="10"/>
                <w:color w:val="auto"/>
              </w:rPr>
              <w:t>(3)</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14,739</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141 Hamilton Road</w:t>
            </w:r>
          </w:p>
        </w:tc>
        <w:tc>
          <w:tcPr>
            <w:tcW w:w="17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L+525, 06/01/2023</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Hamburg, Ontario, Canada N3A 2H1</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Leisure Products</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11515 Vanstory Drive, Suite 100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L+550, 05/08/2026</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PRA Events,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ind w:left="620"/>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3,846</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(Allied) Investment Holdings, LLC)</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08/08/2022</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North LaSalle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Chicago, IL 60602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PT Network,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and</w:t>
            </w:r>
          </w:p>
        </w:tc>
        <w:tc>
          <w:tcPr>
            <w:tcW w:w="3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Second Lien Secured Debt, 3M L+1,000 PIK,</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10"/>
                <w:szCs w:val="10"/>
                <w:color w:val="auto"/>
              </w:rPr>
              <w:t>(6)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(PT Network Intermediate Holdings, LLC)</w:t>
            </w: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2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11/30/2024</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 (PTN) Investment Holdings II, LLC)</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0"/>
                <w:szCs w:val="10"/>
                <w:color w:val="auto"/>
              </w:rPr>
              <w:t>(5)</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501 Fairmount Avenue</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Towson, MD 21286</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Quantum Spatial,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18,715</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421 SW 6th Ave #800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L+525, 09/04/2024</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Portland, OR 97204</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 Diversified and</w:t>
            </w:r>
          </w:p>
        </w:tc>
        <w:tc>
          <w:tcPr>
            <w:tcW w:w="3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7,339</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275 Grove Street, Suite 2-130</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Production</w:t>
            </w:r>
          </w:p>
        </w:tc>
        <w:tc>
          <w:tcPr>
            <w:tcW w:w="3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09/09/2024</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Research Horizons,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Advertising,</w:t>
            </w:r>
          </w:p>
        </w:tc>
        <w:tc>
          <w:tcPr>
            <w:tcW w:w="30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jc w:val="right"/>
              <w:ind w:right="5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7,097</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1140 Broadway, Suite 1002</w:t>
            </w:r>
          </w:p>
        </w:tc>
        <w:tc>
          <w:tcPr>
            <w:tcW w:w="17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c>
          <w:tcPr>
            <w:tcW w:w="30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06/28/2022</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10001</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5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08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12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2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280" w:type="dxa"/>
            <w:vAlign w:val="bottom"/>
            <w:tcBorders>
              <w:top w:val="single" w:sz="8" w:color="CCEEFF"/>
            </w:tcBorders>
            <w:shd w:val="clear" w:color="auto" w:fill="CCEEFF"/>
          </w:tcPr>
          <w:p>
            <w:pPr>
              <w:spacing w:after="0"/>
              <w:rPr>
                <w:sz w:val="9"/>
                <w:szCs w:val="9"/>
                <w:color w:val="auto"/>
              </w:rPr>
            </w:pPr>
          </w:p>
        </w:tc>
        <w:tc>
          <w:tcPr>
            <w:tcW w:w="28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 3M L+550, 12/20/2024</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080" w:type="dxa"/>
            <w:vAlign w:val="bottom"/>
            <w:gridSpan w:val="2"/>
            <w:shd w:val="clear" w:color="auto" w:fill="CCEEFF"/>
          </w:tcPr>
          <w:p>
            <w:pPr>
              <w:ind w:left="160"/>
              <w:spacing w:after="0" w:line="139" w:lineRule="exact"/>
              <w:rPr>
                <w:sz w:val="20"/>
                <w:szCs w:val="20"/>
                <w:color w:val="auto"/>
              </w:rPr>
            </w:pPr>
            <w:r>
              <w:rPr>
                <w:rFonts w:ascii="Times New Roman" w:cs="Times New Roman" w:eastAsia="Times New Roman" w:hAnsi="Times New Roman"/>
                <w:sz w:val="14"/>
                <w:szCs w:val="14"/>
                <w:color w:val="auto"/>
              </w:rPr>
              <w:t>LLC</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4,957</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825 NE 25th Avenue</w:t>
            </w: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3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Salient CRGT Inc.</w:t>
            </w:r>
          </w:p>
        </w:tc>
        <w:tc>
          <w:tcPr>
            <w:tcW w:w="186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High Tech Industries</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 1M L+600, 02/28/2022</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Professional Services</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19,327</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Iselin, NJ 08830</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Signature Systems Holding Company</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Commercial Services &amp;</w:t>
            </w:r>
          </w:p>
        </w:tc>
        <w:tc>
          <w:tcPr>
            <w:tcW w:w="31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14,174</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(Signature CR Intermediate Holdco, Inc.)</w:t>
            </w:r>
          </w:p>
        </w:tc>
        <w:tc>
          <w:tcPr>
            <w:tcW w:w="18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Supplies</w:t>
            </w:r>
          </w:p>
        </w:tc>
        <w:tc>
          <w:tcPr>
            <w:tcW w:w="31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Flower Mound, TX 75028</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1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and</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 Spectrum Center Drive</w:t>
            </w: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Snak Club,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1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5560 E Slauson Ave</w:t>
            </w:r>
          </w:p>
        </w:tc>
        <w:tc>
          <w:tcPr>
            <w:tcW w:w="18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Tobacco</w:t>
            </w:r>
          </w:p>
        </w:tc>
        <w:tc>
          <w:tcPr>
            <w:tcW w:w="31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Commerce, CA 90040</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Solutionreach, Inc.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Technology</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3M L+575, 01/17/2024</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13,061</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2600 N. Ashton Blvd.</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SSC Dominion Holdings, LLC</w:t>
            </w:r>
          </w:p>
        </w:tc>
        <w:tc>
          <w:tcPr>
            <w:tcW w:w="186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Capital Equipment</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TeleGuam Holdings, LLC</w:t>
            </w: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Telecommunications</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1M L+500, 07/25/2023</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7,399</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624 North Marine Corps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Tamuning, Guam 96913</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Teneo Holdings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Diversified Financial</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 1M L+525, 07/18/2025</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9,525</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 Park Avenue, 4th Floor</w:t>
            </w:r>
          </w:p>
        </w:tc>
        <w:tc>
          <w:tcPr>
            <w:tcW w:w="18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Tensar Corporation</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Construction and Buildings</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 3M L+475, 07/09/2021</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21,716</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2500 Northwinds Parkway, Ste. 500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Alpharetta, GA 30009</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Infosoft Group,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 Broadcasting and</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 3M L+525, 09/16/2024</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18,978</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(Gauge InfosoftCoInvest, LLC)</w:t>
            </w:r>
          </w:p>
        </w:tc>
        <w:tc>
          <w:tcPr>
            <w:tcW w:w="18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31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Milwaukee, WI 53202</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Original Cakerie, Co.</w:t>
            </w:r>
            <w:r>
              <w:rPr>
                <w:rFonts w:ascii="Times New Roman" w:cs="Times New Roman" w:eastAsia="Times New Roman" w:hAnsi="Times New Roman"/>
                <w:sz w:val="10"/>
                <w:szCs w:val="10"/>
                <w:color w:val="auto"/>
              </w:rPr>
              <w:t>(3)</w:t>
            </w: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Consumer Goods:</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13,154</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Original Cakerie Ltd.</w:t>
            </w:r>
            <w:r>
              <w:rPr>
                <w:rFonts w:ascii="Times New Roman" w:cs="Times New Roman" w:eastAsia="Times New Roman" w:hAnsi="Times New Roman"/>
                <w:sz w:val="10"/>
                <w:szCs w:val="10"/>
                <w:color w:val="auto"/>
              </w:rPr>
              <w:t>(3)</w:t>
            </w: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Non-Durable</w:t>
            </w:r>
          </w:p>
        </w:tc>
        <w:tc>
          <w:tcPr>
            <w:tcW w:w="3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1345 Cliveden Ave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Delta, BC V3M 6C7, Canada</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(2M L+450, 07/20/2022)</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TPC Broadband Investors, LP</w:t>
            </w:r>
            <w:r>
              <w:rPr>
                <w:rFonts w:ascii="Times New Roman" w:cs="Times New Roman" w:eastAsia="Times New Roman" w:hAnsi="Times New Roman"/>
                <w:sz w:val="10"/>
                <w:szCs w:val="10"/>
                <w:color w:val="auto"/>
              </w:rPr>
              <w:t>(5)</w:t>
            </w:r>
          </w:p>
        </w:tc>
        <w:tc>
          <w:tcPr>
            <w:tcW w:w="186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Telecommunications</w:t>
            </w:r>
          </w:p>
        </w:tc>
        <w:tc>
          <w:tcPr>
            <w:tcW w:w="31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12409 NW 35 Street</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Coral Springs, FL 33065</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25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1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40" w:type="dxa"/>
            <w:vAlign w:val="bottom"/>
            <w:gridSpan w:val="2"/>
            <w:vMerge w:val="continue"/>
          </w:tcPr>
          <w:p>
            <w:pPr>
              <w:spacing w:after="0"/>
              <w:rPr>
                <w:sz w:val="12"/>
                <w:szCs w:val="12"/>
                <w:color w:val="auto"/>
              </w:rPr>
            </w:pPr>
          </w:p>
        </w:tc>
        <w:tc>
          <w:tcPr>
            <w:tcW w:w="1340" w:type="dxa"/>
            <w:vAlign w:val="bottom"/>
            <w:gridSpan w:val="2"/>
          </w:tcPr>
          <w:p>
            <w:pPr>
              <w:jc w:val="right"/>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2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41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Triad Manufacturing,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Capital Equipment</w:t>
            </w:r>
          </w:p>
        </w:tc>
        <w:tc>
          <w:tcPr>
            <w:tcW w:w="26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7,633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4321 Semple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L+1,125, 12/28/2020</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 Louis, MO 63120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TVC Enterprises,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Professional Services</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6,796</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TVC Coinvest, LLC)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L+550, 01/18/2024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6100 Lake Forrest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30328</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TWS Acquisition Corporation</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Diversified Consumer</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7,690</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 N. 44th Street #230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06/16/2025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22,089</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(NXOF Holdings,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08/27/2024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510 Spring St., #200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UBEO,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Capital Equipment</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13,990</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 East Sonterra Blvd., Suite 350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L+450, 04/03/2024</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 Antonio, TX 78258</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UniTek Global Services,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9,802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1777 Sentry Parkway West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08/20/2024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Gwynedd Hall, Ste. 202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Blue Bell, PA 19422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 Med Acquisition, Inc.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Healthcare and</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shd w:val="clear" w:color="auto" w:fill="CCEEFF"/>
          </w:tcPr>
          <w:p>
            <w:pPr>
              <w:jc w:val="right"/>
              <w:ind w:righ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2,996</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8260 NW 27</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Street, Suite 401</w:t>
            </w:r>
          </w:p>
        </w:tc>
        <w:tc>
          <w:tcPr>
            <w:tcW w:w="18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L+900, 08/13/2021</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Doral, FL 33122</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Vision Purchaser Corporation</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Media</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3,407</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7650 185th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06/10/2025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Tinley Park, IL 60477</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JWC-WE Holdings, L.P.</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Wholesale</w:t>
            </w:r>
          </w:p>
        </w:tc>
        <w:tc>
          <w:tcPr>
            <w:tcW w:w="30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1340" w:type="dxa"/>
            <w:vAlign w:val="bottom"/>
            <w:gridSpan w:val="2"/>
            <w:shd w:val="clear" w:color="auto" w:fill="CCEEFF"/>
          </w:tcPr>
          <w:p>
            <w:pPr>
              <w:jc w:val="right"/>
              <w:ind w:right="420"/>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4350 West 2100 South, Suite A</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Salt Lake City, UT 84120</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Whitney, Bradley &amp; Brown,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5,686</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(WBB Equity, LLC)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L+750, 10/18/2022</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11790 Sunrise Valley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Reston, VA 20191</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Companies 5% to 24% Owned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Country Fresh Holdings, LLC</w:t>
            </w:r>
          </w:p>
        </w:tc>
        <w:tc>
          <w:tcPr>
            <w:tcW w:w="18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40" w:type="dxa"/>
            <w:vAlign w:val="bottom"/>
            <w:gridSpan w:val="2"/>
          </w:tcPr>
          <w:p>
            <w:pPr>
              <w:jc w:val="right"/>
              <w:ind w:right="420"/>
              <w:spacing w:after="0" w:line="126"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0"/>
                <w:szCs w:val="10"/>
                <w:color w:val="auto"/>
              </w:rPr>
            </w:pPr>
          </w:p>
        </w:tc>
        <w:tc>
          <w:tcPr>
            <w:tcW w:w="82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14,492</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(Country Fresh Holding Company Inc.)</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L+500, 05/01/2023</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15479 Pin Oaks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Second Lien Secured Debt, 1M L+850 PIK,</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Conroe, TX 77384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04/29/2024</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Quick Weight Loss Centers,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Beverage, Food and</w:t>
            </w:r>
          </w:p>
        </w:tc>
        <w:tc>
          <w:tcPr>
            <w:tcW w:w="30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24.0%</w:t>
            </w: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5,939</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(Quick Weight Loss Centers Holdings, LLC)</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Tobacco</w:t>
            </w: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4.0% fixed PIK, 10/12/2023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3161 Mcnab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Second Lien Secured Debt,</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Pompano Beach, FL 33069</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4.0% fixed PIK, 10/12/2023</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(5)</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25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432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060" w:type="dxa"/>
            <w:vAlign w:val="bottom"/>
            <w:gridSpan w:val="2"/>
            <w:vMerge w:val="continue"/>
          </w:tcPr>
          <w:p>
            <w:pPr>
              <w:spacing w:after="0"/>
              <w:rPr>
                <w:sz w:val="12"/>
                <w:szCs w:val="12"/>
                <w:color w:val="auto"/>
              </w:rPr>
            </w:pPr>
          </w:p>
        </w:tc>
        <w:tc>
          <w:tcPr>
            <w:tcW w:w="128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244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22"/>
        </w:trPr>
        <w:tc>
          <w:tcPr>
            <w:tcW w:w="43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1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10"/>
                <w:szCs w:val="10"/>
                <w:color w:val="auto"/>
              </w:rPr>
              <w:t>(3)</w:t>
            </w:r>
          </w:p>
        </w:tc>
        <w:tc>
          <w:tcPr>
            <w:tcW w:w="16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Financial Services</w:t>
            </w:r>
          </w:p>
        </w:tc>
        <w:tc>
          <w:tcPr>
            <w:tcW w:w="30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0"/>
                <w:szCs w:val="10"/>
                <w:color w:val="auto"/>
              </w:rPr>
              <w:t>(6)</w:t>
            </w:r>
          </w:p>
        </w:tc>
        <w:tc>
          <w:tcPr>
            <w:tcW w:w="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172,163</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590 Madison Avenue,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Floor</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3M L+800, 05/06/2024</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10022</w:t>
            </w: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Equity Interest</w:t>
            </w:r>
            <w:r>
              <w:rPr>
                <w:rFonts w:ascii="Times New Roman" w:cs="Times New Roman" w:eastAsia="Times New Roman" w:hAnsi="Times New Roman"/>
                <w:sz w:val="10"/>
                <w:szCs w:val="10"/>
                <w:color w:val="auto"/>
              </w:rPr>
              <w:t>(4)</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Investments</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1,081,707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0" w:lineRule="exact"/>
        <w:rPr>
          <w:sz w:val="20"/>
          <w:szCs w:val="20"/>
          <w:color w:val="auto"/>
        </w:rPr>
      </w:pPr>
    </w:p>
    <w:p>
      <w:pPr>
        <w:ind w:left="460" w:right="20" w:hanging="452"/>
        <w:spacing w:after="0" w:line="227" w:lineRule="auto"/>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460" w:hanging="452"/>
        <w:spacing w:after="0" w:line="221" w:lineRule="auto"/>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ownership percentage refers only to common equity, preferred equity and warrants held, if any, were we to have voting rights.</w:t>
      </w:r>
    </w:p>
    <w:p>
      <w:pPr>
        <w:ind w:left="460" w:right="260" w:hanging="452"/>
        <w:spacing w:after="0" w:line="221" w:lineRule="auto"/>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460" w:right="260" w:hanging="452"/>
        <w:spacing w:after="0" w:line="221" w:lineRule="auto"/>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60" w:hanging="452"/>
        <w:spacing w:after="0" w:line="221" w:lineRule="auto"/>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our Taxable Subsidiary.</w:t>
      </w:r>
    </w:p>
    <w:p>
      <w:pPr>
        <w:ind w:left="460" w:hanging="452"/>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hold one or more voting seats on the portfolio company’s board of directors/managers.</w:t>
      </w:r>
    </w:p>
    <w:p>
      <w:pPr>
        <w:spacing w:after="0" w:line="19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740" w:type="dxa"/>
            <w:vAlign w:val="bottom"/>
          </w:tcPr>
          <w:p>
            <w:pPr>
              <w:spacing w:after="0"/>
              <w:rPr>
                <w:sz w:val="15"/>
                <w:szCs w:val="15"/>
                <w:color w:val="auto"/>
              </w:rPr>
            </w:pP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September 30, 2019</w:t>
            </w:r>
            <w:r>
              <w:rPr>
                <w:rFonts w:ascii="Times New Roman" w:cs="Times New Roman" w:eastAsia="Times New Roman" w:hAnsi="Times New Roman"/>
                <w:sz w:val="10"/>
                <w:szCs w:val="10"/>
                <w:b w:val="1"/>
                <w:bCs w:val="1"/>
                <w:color w:val="auto"/>
              </w:rPr>
              <w:t>(1)</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2018</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34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shd w:val="clear" w:color="auto" w:fill="CCEEFF"/>
          </w:tcPr>
          <w:p>
            <w:pPr>
              <w:spacing w:after="0"/>
              <w:rPr>
                <w:sz w:val="17"/>
                <w:szCs w:val="17"/>
                <w:color w:val="auto"/>
              </w:rPr>
            </w:pPr>
          </w:p>
        </w:tc>
        <w:tc>
          <w:tcPr>
            <w:tcW w:w="2740" w:type="dxa"/>
            <w:vAlign w:val="bottom"/>
            <w:gridSpan w:val="2"/>
            <w:shd w:val="clear" w:color="auto" w:fill="CCEEFF"/>
          </w:tcPr>
          <w:p>
            <w:pPr>
              <w:jc w:val="right"/>
              <w:ind w:right="1240"/>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Goods: Non-Durable</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Wholesale</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Finance, Insurance &amp; Real Estate</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Products</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 Advertising, Printing and Publishing</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Broadcasting and Subscription</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7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vMerge w:val="continue"/>
          </w:tcPr>
          <w:p>
            <w:pPr>
              <w:spacing w:after="0"/>
              <w:rPr>
                <w:sz w:val="19"/>
                <w:szCs w:val="19"/>
                <w:color w:val="auto"/>
              </w:rPr>
            </w:pPr>
          </w:p>
        </w:tc>
        <w:tc>
          <w:tcPr>
            <w:tcW w:w="27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Excludes investments in PSSL.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251" w:right="3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PORTFOLIO MANAGEMENT</w:t>
      </w:r>
    </w:p>
    <w:p>
      <w:pPr>
        <w:spacing w:after="0" w:line="229" w:lineRule="exact"/>
        <w:rPr>
          <w:sz w:val="20"/>
          <w:szCs w:val="20"/>
          <w:color w:val="auto"/>
        </w:rPr>
      </w:pPr>
    </w:p>
    <w:p>
      <w:pPr>
        <w:ind w:right="20" w:firstLine="449"/>
        <w:spacing w:after="0" w:line="272" w:lineRule="auto"/>
        <w:rPr>
          <w:sz w:val="20"/>
          <w:szCs w:val="20"/>
          <w:color w:val="auto"/>
        </w:rPr>
      </w:pPr>
      <w:r>
        <w:rPr>
          <w:rFonts w:ascii="Times New Roman" w:cs="Times New Roman" w:eastAsia="Times New Roman" w:hAnsi="Times New Roman"/>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94"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7"/>
          <w:szCs w:val="17"/>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6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3" w:lineRule="exact"/>
        <w:rPr>
          <w:sz w:val="20"/>
          <w:szCs w:val="20"/>
          <w:color w:val="auto"/>
        </w:rPr>
      </w:pPr>
    </w:p>
    <w:p>
      <w:pPr>
        <w:ind w:right="80" w:firstLine="449"/>
        <w:spacing w:after="0" w:line="289" w:lineRule="auto"/>
        <w:rPr>
          <w:sz w:val="20"/>
          <w:szCs w:val="20"/>
          <w:color w:val="auto"/>
        </w:rPr>
      </w:pPr>
      <w:r>
        <w:rPr>
          <w:rFonts w:ascii="Times New Roman" w:cs="Times New Roman" w:eastAsia="Times New Roman" w:hAnsi="Times New Roman"/>
          <w:sz w:val="17"/>
          <w:szCs w:val="17"/>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266" w:right="359" w:bottom="1440" w:gutter="0" w:footer="0" w:header="0"/>
        </w:sectPr>
      </w:pPr>
    </w:p>
    <w:bookmarkStart w:id="55" w:name="page56"/>
    <w:bookmarkEnd w:id="55"/>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managing our investments, as of September 30, 2019 our portfolio managers also managed investments on behalf of the following entities: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0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20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PennantPark Investment Corporation</w:t>
            </w:r>
          </w:p>
        </w:tc>
        <w:tc>
          <w:tcPr>
            <w:tcW w:w="460" w:type="dxa"/>
            <w:vAlign w:val="bottom"/>
          </w:tcPr>
          <w:p>
            <w:pPr>
              <w:spacing w:after="0"/>
              <w:rPr>
                <w:sz w:val="15"/>
                <w:szCs w:val="15"/>
                <w:color w:val="auto"/>
              </w:rPr>
            </w:pPr>
          </w:p>
        </w:tc>
        <w:tc>
          <w:tcPr>
            <w:tcW w:w="1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Business development</w:t>
            </w:r>
          </w:p>
        </w:tc>
        <w:tc>
          <w:tcPr>
            <w:tcW w:w="220" w:type="dxa"/>
            <w:vAlign w:val="bottom"/>
          </w:tcPr>
          <w:p>
            <w:pPr>
              <w:spacing w:after="0"/>
              <w:rPr>
                <w:sz w:val="15"/>
                <w:szCs w:val="15"/>
                <w:color w:val="auto"/>
              </w:rPr>
            </w:pPr>
          </w:p>
        </w:tc>
        <w:tc>
          <w:tcPr>
            <w:tcW w:w="40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Primarily in U.S. middle-market companies in the form of</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company</w:t>
            </w: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lien secured loans, second lien secured debt,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debt and equity 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Secured Loan Fund I LLC</w:t>
            </w:r>
          </w:p>
        </w:tc>
        <w:tc>
          <w:tcPr>
            <w:tcW w:w="26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Joint Venture</w:t>
            </w: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secured loans, in middle-market leveraged companies.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Managed Funds</w:t>
            </w:r>
          </w:p>
        </w:tc>
        <w:tc>
          <w:tcPr>
            <w:tcW w:w="26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Direct Lending Funds</w:t>
            </w: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credit opportunities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3"/>
                <w:szCs w:val="13"/>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Dollar Range of the</w:t>
            </w:r>
          </w:p>
        </w:tc>
      </w:tr>
      <w:tr>
        <w:trPr>
          <w:trHeight w:val="148"/>
        </w:trPr>
        <w:tc>
          <w:tcPr>
            <w:tcW w:w="9840" w:type="dxa"/>
            <w:vAlign w:val="bottom"/>
          </w:tcPr>
          <w:p>
            <w:pPr>
              <w:spacing w:after="0"/>
              <w:rPr>
                <w:sz w:val="12"/>
                <w:szCs w:val="12"/>
                <w:color w:val="auto"/>
              </w:rPr>
            </w:pPr>
          </w:p>
        </w:tc>
        <w:tc>
          <w:tcPr>
            <w:tcW w:w="14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8"/>
        </w:trPr>
        <w:tc>
          <w:tcPr>
            <w:tcW w:w="98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PennantPark Floating</w:t>
            </w:r>
          </w:p>
        </w:tc>
      </w:tr>
      <w:tr>
        <w:trPr>
          <w:trHeight w:val="173"/>
        </w:trPr>
        <w:tc>
          <w:tcPr>
            <w:tcW w:w="9840" w:type="dxa"/>
            <w:vAlign w:val="bottom"/>
          </w:tcPr>
          <w:p>
            <w:pPr>
              <w:spacing w:after="0"/>
              <w:rPr>
                <w:sz w:val="15"/>
                <w:szCs w:val="15"/>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 Capital Ltd.</w:t>
            </w:r>
            <w:r>
              <w:rPr>
                <w:rFonts w:ascii="Times New Roman" w:cs="Times New Roman" w:eastAsia="Times New Roman" w:hAnsi="Times New Roman"/>
                <w:sz w:val="10"/>
                <w:szCs w:val="10"/>
                <w:b w:val="1"/>
                <w:bCs w:val="1"/>
                <w:color w:val="auto"/>
              </w:rPr>
              <w:t>(1)</w:t>
            </w:r>
          </w:p>
        </w:tc>
      </w:tr>
      <w:tr>
        <w:trPr>
          <w:trHeight w:val="196"/>
        </w:trPr>
        <w:tc>
          <w:tcPr>
            <w:tcW w:w="9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Arthur H. Penn</w:t>
            </w:r>
            <w:r>
              <w:rPr>
                <w:rFonts w:ascii="Times New Roman" w:cs="Times New Roman" w:eastAsia="Times New Roman" w:hAnsi="Times New Roman"/>
                <w:sz w:val="22"/>
                <w:szCs w:val="22"/>
                <w:color w:val="auto"/>
                <w:vertAlign w:val="superscript"/>
              </w:rPr>
              <w:t>(2)</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9840" w:type="dxa"/>
            <w:vAlign w:val="bottom"/>
          </w:tcPr>
          <w:p>
            <w:pPr>
              <w:spacing w:after="0"/>
              <w:rPr>
                <w:sz w:val="20"/>
                <w:szCs w:val="20"/>
                <w:color w:val="auto"/>
              </w:rPr>
            </w:pPr>
            <w:r>
              <w:rPr>
                <w:rFonts w:ascii="Times New Roman" w:cs="Times New Roman" w:eastAsia="Times New Roman" w:hAnsi="Times New Roman"/>
                <w:sz w:val="16"/>
                <w:szCs w:val="16"/>
                <w:color w:val="auto"/>
              </w:rPr>
              <w:t>Jose A. Briones</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Over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40" w:type="dxa"/>
            <w:vAlign w:val="bottom"/>
          </w:tcPr>
          <w:p>
            <w:pPr>
              <w:spacing w:after="0"/>
              <w:rPr>
                <w:sz w:val="17"/>
                <w:szCs w:val="17"/>
                <w:color w:val="auto"/>
              </w:rPr>
            </w:pPr>
          </w:p>
        </w:tc>
      </w:tr>
      <w:tr>
        <w:trPr>
          <w:trHeight w:val="203"/>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Salvatore Giannetti III</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40" w:type="dxa"/>
            <w:vAlign w:val="bottom"/>
            <w:shd w:val="clear" w:color="auto" w:fill="CCEEFF"/>
          </w:tcPr>
          <w:p>
            <w:pPr>
              <w:spacing w:after="0"/>
              <w:rPr>
                <w:sz w:val="17"/>
                <w:szCs w:val="17"/>
                <w:color w:val="auto"/>
              </w:rPr>
            </w:pPr>
          </w:p>
        </w:tc>
      </w:tr>
      <w:tr>
        <w:trPr>
          <w:trHeight w:val="210"/>
        </w:trPr>
        <w:tc>
          <w:tcPr>
            <w:tcW w:w="9840" w:type="dxa"/>
            <w:vAlign w:val="bottom"/>
          </w:tcPr>
          <w:p>
            <w:pPr>
              <w:spacing w:after="0"/>
              <w:rPr>
                <w:sz w:val="20"/>
                <w:szCs w:val="20"/>
                <w:color w:val="auto"/>
              </w:rPr>
            </w:pPr>
            <w:r>
              <w:rPr>
                <w:rFonts w:ascii="Times New Roman" w:cs="Times New Roman" w:eastAsia="Times New Roman" w:hAnsi="Times New Roman"/>
                <w:sz w:val="16"/>
                <w:szCs w:val="16"/>
                <w:color w:val="auto"/>
              </w:rPr>
              <w:t>P. Whitridge Williams, Jr.</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Over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88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6" w:lineRule="exact"/>
        <w:rPr>
          <w:sz w:val="20"/>
          <w:szCs w:val="20"/>
          <w:color w:val="auto"/>
        </w:rPr>
      </w:pPr>
    </w:p>
    <w:p>
      <w:pPr>
        <w:ind w:left="460" w:right="880" w:hanging="452"/>
        <w:spacing w:after="0" w:line="261"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70"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OF NET ASSET VALUE</w:t>
      </w:r>
    </w:p>
    <w:p>
      <w:pPr>
        <w:spacing w:after="0" w:line="22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97"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67" w:lineRule="exact"/>
        <w:rPr>
          <w:sz w:val="20"/>
          <w:szCs w:val="20"/>
          <w:color w:val="auto"/>
        </w:rPr>
      </w:pPr>
    </w:p>
    <w:p>
      <w:pPr>
        <w:ind w:left="1000" w:right="16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5" w:lineRule="exact"/>
        <w:rPr>
          <w:rFonts w:ascii="Times New Roman" w:cs="Times New Roman" w:eastAsia="Times New Roman" w:hAnsi="Times New Roman"/>
          <w:sz w:val="18"/>
          <w:szCs w:val="18"/>
          <w:color w:val="auto"/>
        </w:rPr>
      </w:pPr>
    </w:p>
    <w:p>
      <w:pPr>
        <w:ind w:left="1000" w:right="240" w:hanging="54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1"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266" w:right="379" w:bottom="1440" w:gutter="0" w:footer="0" w:header="0"/>
        </w:sectPr>
      </w:pPr>
    </w:p>
    <w:bookmarkStart w:id="57" w:name="page58"/>
    <w:bookmarkEnd w:id="5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pacing w:after="0" w:line="131" w:lineRule="exact"/>
        <w:rPr>
          <w:sz w:val="20"/>
          <w:szCs w:val="20"/>
          <w:color w:val="auto"/>
        </w:rPr>
      </w:pPr>
    </w:p>
    <w:p>
      <w:pPr>
        <w:ind w:left="1600" w:right="1380" w:hanging="1147"/>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1600" w:right="640" w:hanging="1147"/>
        <w:spacing w:after="0" w:line="266" w:lineRule="auto"/>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8" w:lineRule="exact"/>
        <w:rPr>
          <w:sz w:val="20"/>
          <w:szCs w:val="20"/>
          <w:color w:val="auto"/>
        </w:rPr>
      </w:pPr>
    </w:p>
    <w:p>
      <w:pPr>
        <w:ind w:left="1600" w:right="1080" w:hanging="1147"/>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89" w:lineRule="exact"/>
        <w:rPr>
          <w:sz w:val="20"/>
          <w:szCs w:val="20"/>
          <w:color w:val="auto"/>
        </w:rPr>
      </w:pPr>
    </w:p>
    <w:p>
      <w:pPr>
        <w:ind w:left="1000" w:hanging="43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00" w:right="320" w:hanging="439"/>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270" w:right="359" w:bottom="1440" w:gutter="0" w:footer="0" w:header="0"/>
        </w:sectPr>
      </w:pPr>
    </w:p>
    <w:bookmarkStart w:id="58" w:name="page59"/>
    <w:bookmarkEnd w:id="58"/>
    <w:p>
      <w:pPr>
        <w:ind w:left="1000" w:right="320" w:hanging="439"/>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magnitude of the difference between the offering price of the shares of our common stock in the proposed offering and management’s assessment of any change in the NAV of our common stock during the period discussed above.</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00" w:hanging="43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30" w:lineRule="exact"/>
        <w:rPr>
          <w:rFonts w:ascii="Times New Roman" w:cs="Times New Roman" w:eastAsia="Times New Roman" w:hAnsi="Times New Roman"/>
          <w:sz w:val="18"/>
          <w:szCs w:val="18"/>
          <w:color w:val="auto"/>
        </w:rPr>
      </w:pPr>
    </w:p>
    <w:p>
      <w:pPr>
        <w:ind w:left="1000" w:right="260" w:hanging="439"/>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0"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94"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70"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OUR CAPITAL STOCK</w:t>
      </w:r>
    </w:p>
    <w:p>
      <w:pPr>
        <w:spacing w:after="0" w:line="22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0"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January 27, 2020 was $12.01 per share. As of December 31, 2019, we had 43 stockholders of record.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December 31, 2019:</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Held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55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560" w:type="dxa"/>
            <w:vAlign w:val="bottom"/>
          </w:tcPr>
          <w:p>
            <w:pPr>
              <w:spacing w:after="0"/>
              <w:rPr>
                <w:sz w:val="15"/>
                <w:szCs w:val="15"/>
                <w:color w:val="auto"/>
              </w:rPr>
            </w:pPr>
          </w:p>
        </w:tc>
        <w:tc>
          <w:tcPr>
            <w:tcW w:w="16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266" w:right="339" w:bottom="1440" w:gutter="0" w:footer="0" w:header="0"/>
        </w:sectPr>
      </w:pPr>
    </w:p>
    <w:bookmarkStart w:id="60" w:name="page61"/>
    <w:bookmarkEnd w:id="60"/>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2"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2"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w:t>
      </w:r>
    </w:p>
    <w:p>
      <w:pPr>
        <w:spacing w:after="0" w:line="5" w:lineRule="exact"/>
        <w:rPr>
          <w:sz w:val="20"/>
          <w:szCs w:val="20"/>
          <w:color w:val="auto"/>
        </w:rPr>
      </w:pPr>
    </w:p>
    <w:p>
      <w:pPr>
        <w:ind w:right="200" w:firstLine="8"/>
        <w:spacing w:after="0" w:line="269" w:lineRule="auto"/>
        <w:tabs>
          <w:tab w:leader="none" w:pos="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7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the Maryland General Corporation Law and our Charter and Bylaws</w:t>
      </w:r>
    </w:p>
    <w:p>
      <w:pPr>
        <w:spacing w:after="0" w:line="121"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266" w:right="339" w:bottom="1440" w:gutter="0" w:footer="0" w:header="0"/>
        </w:sectPr>
      </w:pPr>
    </w:p>
    <w:bookmarkStart w:id="62" w:name="page63"/>
    <w:bookmarkEnd w:id="6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21"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82"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will have the exclusive power to adopt, alter or repeal any provision of our bylaws and to make new bylaws.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appraisal rights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ind w:right="120" w:firstLine="449"/>
        <w:spacing w:after="0" w:line="312" w:lineRule="auto"/>
        <w:rPr>
          <w:sz w:val="20"/>
          <w:szCs w:val="20"/>
          <w:color w:val="auto"/>
        </w:rPr>
      </w:pPr>
      <w:r>
        <w:rPr>
          <w:rFonts w:ascii="Times New Roman" w:cs="Times New Roman" w:eastAsia="Times New Roman" w:hAnsi="Times New Roman"/>
          <w:sz w:val="17"/>
          <w:szCs w:val="17"/>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4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3" w:lineRule="exact"/>
        <w:rPr>
          <w:sz w:val="20"/>
          <w:szCs w:val="20"/>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17"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7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26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90" w:lineRule="exact"/>
        <w:rPr>
          <w:rFonts w:ascii="Times New Roman" w:cs="Times New Roman" w:eastAsia="Times New Roman" w:hAnsi="Times New Roman"/>
          <w:sz w:val="18"/>
          <w:szCs w:val="18"/>
          <w:color w:val="auto"/>
        </w:rPr>
      </w:pPr>
    </w:p>
    <w:p>
      <w:pPr>
        <w:ind w:left="1000" w:right="10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67" w:lineRule="exact"/>
        <w:rPr>
          <w:sz w:val="20"/>
          <w:szCs w:val="20"/>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30" w:lineRule="exact"/>
        <w:rPr>
          <w:rFonts w:ascii="Times New Roman" w:cs="Times New Roman" w:eastAsia="Times New Roman" w:hAnsi="Times New Roman"/>
          <w:sz w:val="18"/>
          <w:szCs w:val="18"/>
          <w:color w:val="auto"/>
        </w:rPr>
      </w:pPr>
    </w:p>
    <w:p>
      <w:pPr>
        <w:ind w:left="1000" w:right="120" w:hanging="439"/>
        <w:spacing w:after="0" w:line="312"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4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2"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21"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26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Forum</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absolute forum for (a) any derivative action or proceeding brought on our behalf, (b) 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266" w:right="49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OUR PREFERRED STOCK</w:t>
      </w:r>
    </w:p>
    <w:p>
      <w:pPr>
        <w:spacing w:after="0" w:line="22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49"/>
        <w:spacing w:after="0" w:line="233"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9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67" w:lineRule="exact"/>
        <w:rPr>
          <w:sz w:val="20"/>
          <w:szCs w:val="20"/>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90" w:lineRule="exact"/>
        <w:rPr>
          <w:rFonts w:ascii="Times New Roman" w:cs="Times New Roman" w:eastAsia="Times New Roman" w:hAnsi="Times New Roman"/>
          <w:sz w:val="18"/>
          <w:szCs w:val="18"/>
          <w:color w:val="auto"/>
        </w:rPr>
      </w:pPr>
    </w:p>
    <w:p>
      <w:pPr>
        <w:ind w:left="1000" w:right="320" w:hanging="439"/>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2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90" w:lineRule="exact"/>
        <w:rPr>
          <w:rFonts w:ascii="Times New Roman" w:cs="Times New Roman" w:eastAsia="Times New Roman" w:hAnsi="Times New Roman"/>
          <w:sz w:val="18"/>
          <w:szCs w:val="18"/>
          <w:color w:val="auto"/>
        </w:rPr>
      </w:pPr>
    </w:p>
    <w:p>
      <w:pPr>
        <w:ind w:left="1000" w:right="100" w:hanging="439"/>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2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2" w:lineRule="exact"/>
        <w:rPr>
          <w:sz w:val="20"/>
          <w:szCs w:val="20"/>
          <w:color w:val="auto"/>
        </w:rPr>
      </w:pPr>
    </w:p>
    <w:p>
      <w:pPr>
        <w:ind w:right="20" w:firstLine="449"/>
        <w:spacing w:after="0" w:line="277" w:lineRule="auto"/>
        <w:rPr>
          <w:sz w:val="20"/>
          <w:szCs w:val="20"/>
          <w:color w:val="auto"/>
        </w:rPr>
      </w:pPr>
      <w:r>
        <w:rPr>
          <w:rFonts w:ascii="Times New Roman" w:cs="Times New Roman" w:eastAsia="Times New Roman" w:hAnsi="Times New Roman"/>
          <w:sz w:val="17"/>
          <w:szCs w:val="17"/>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266" w:right="3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OUR WARRANTS</w:t>
      </w:r>
    </w:p>
    <w:p>
      <w:pPr>
        <w:spacing w:after="0" w:line="22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90"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6" w:lineRule="exact"/>
        <w:rPr>
          <w:rFonts w:ascii="Times New Roman" w:cs="Times New Roman" w:eastAsia="Times New Roman" w:hAnsi="Times New Roman"/>
          <w:sz w:val="18"/>
          <w:szCs w:val="18"/>
          <w:color w:val="auto"/>
        </w:rPr>
      </w:pPr>
    </w:p>
    <w:p>
      <w:pPr>
        <w:ind w:left="1000" w:right="180" w:hanging="439"/>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0" w:lineRule="exact"/>
        <w:rPr>
          <w:rFonts w:ascii="Times New Roman" w:cs="Times New Roman" w:eastAsia="Times New Roman" w:hAnsi="Times New Roman"/>
          <w:sz w:val="18"/>
          <w:szCs w:val="18"/>
          <w:color w:val="auto"/>
        </w:rPr>
      </w:pPr>
    </w:p>
    <w:p>
      <w:pPr>
        <w:jc w:val="both"/>
        <w:ind w:left="1000" w:right="180" w:hanging="439"/>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266" w:right="379" w:bottom="1440" w:gutter="0" w:footer="0" w:header="0"/>
        </w:sectPr>
      </w:pPr>
    </w:p>
    <w:bookmarkStart w:id="68" w:name="page69"/>
    <w:bookmarkEnd w:id="68"/>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270"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OUR SUBSCRIPTION RIGHTS</w:t>
      </w:r>
    </w:p>
    <w:p>
      <w:pPr>
        <w:spacing w:after="0" w:line="22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00" w:hanging="43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9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90" w:lineRule="exact"/>
        <w:rPr>
          <w:rFonts w:ascii="Times New Roman" w:cs="Times New Roman" w:eastAsia="Times New Roman" w:hAnsi="Times New Roman"/>
          <w:sz w:val="18"/>
          <w:szCs w:val="18"/>
          <w:color w:val="auto"/>
        </w:rPr>
      </w:pPr>
    </w:p>
    <w:p>
      <w:pPr>
        <w:ind w:left="1000" w:right="240" w:hanging="439"/>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issuance or exercise of such subscription rights;</w:t>
      </w:r>
    </w:p>
    <w:p>
      <w:pPr>
        <w:spacing w:after="0" w:line="26"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2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9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26" w:lineRule="exact"/>
        <w:rPr>
          <w:rFonts w:ascii="Times New Roman" w:cs="Times New Roman" w:eastAsia="Times New Roman" w:hAnsi="Times New Roman"/>
          <w:sz w:val="18"/>
          <w:szCs w:val="18"/>
          <w:color w:val="auto"/>
        </w:rPr>
      </w:pPr>
    </w:p>
    <w:p>
      <w:pPr>
        <w:ind w:left="1000" w:right="680" w:hanging="439"/>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Subscription Rights</w:t>
      </w:r>
    </w:p>
    <w:p>
      <w:pPr>
        <w:spacing w:after="0" w:line="11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266"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OUR DEBT SECURITIES</w:t>
      </w:r>
    </w:p>
    <w:p>
      <w:pPr>
        <w:spacing w:after="0" w:line="229"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0"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8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by including:</w:t>
      </w:r>
    </w:p>
    <w:p>
      <w:pPr>
        <w:spacing w:after="0" w:line="131" w:lineRule="exact"/>
        <w:rPr>
          <w:sz w:val="20"/>
          <w:szCs w:val="20"/>
          <w:color w:val="auto"/>
        </w:rPr>
      </w:pPr>
    </w:p>
    <w:p>
      <w:pPr>
        <w:ind w:left="1000" w:hanging="43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00" w:right="400" w:hanging="439"/>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266" w:right="339" w:bottom="1440" w:gutter="0" w:footer="0" w:header="0"/>
        </w:sectPr>
      </w:pPr>
    </w:p>
    <w:bookmarkStart w:id="71" w:name="page72"/>
    <w:bookmarkEnd w:id="71"/>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00" w:right="280" w:hanging="439"/>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federal income tax considerations relating to OID;</w:t>
      </w:r>
    </w:p>
    <w:p>
      <w:pPr>
        <w:spacing w:after="0" w:line="130" w:lineRule="exact"/>
        <w:rPr>
          <w:rFonts w:ascii="Times New Roman" w:cs="Times New Roman" w:eastAsia="Times New Roman" w:hAnsi="Times New Roman"/>
          <w:sz w:val="18"/>
          <w:szCs w:val="18"/>
          <w:color w:val="auto"/>
        </w:rPr>
      </w:pPr>
    </w:p>
    <w:p>
      <w:pPr>
        <w:ind w:left="1000" w:right="220" w:hanging="439"/>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270" w:right="359" w:bottom="1440" w:gutter="0" w:footer="0" w:header="0"/>
        </w:sectPr>
      </w:pPr>
    </w:p>
    <w:bookmarkStart w:id="72" w:name="page73"/>
    <w:bookmarkEnd w:id="72"/>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76"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270" w:right="359" w:bottom="1440" w:gutter="0" w:footer="0" w:header="0"/>
        </w:sectPr>
      </w:pPr>
    </w:p>
    <w:bookmarkStart w:id="73" w:name="page74"/>
    <w:bookmarkEnd w:id="73"/>
    <w:p>
      <w:pPr>
        <w:ind w:right="6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9"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0"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270" w:right="339" w:bottom="1440" w:gutter="0" w:footer="0" w:header="0"/>
        </w:sectPr>
      </w:pPr>
    </w:p>
    <w:bookmarkStart w:id="74" w:name="page75"/>
    <w:bookmarkEnd w:id="7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67" w:lineRule="exact"/>
        <w:rPr>
          <w:sz w:val="20"/>
          <w:szCs w:val="20"/>
          <w:color w:val="auto"/>
        </w:rPr>
      </w:pPr>
    </w:p>
    <w:p>
      <w:pPr>
        <w:ind w:left="1000" w:hanging="43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00" w:right="100" w:hanging="439"/>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67"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0"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00" w:right="120" w:hanging="439"/>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26"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0"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26" w:lineRule="exact"/>
        <w:rPr>
          <w:rFonts w:ascii="Times New Roman" w:cs="Times New Roman" w:eastAsia="Times New Roman" w:hAnsi="Times New Roman"/>
          <w:sz w:val="18"/>
          <w:szCs w:val="18"/>
          <w:color w:val="auto"/>
        </w:rPr>
      </w:pPr>
    </w:p>
    <w:p>
      <w:pPr>
        <w:ind w:left="1000" w:right="720" w:hanging="439"/>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26"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0" w:lineRule="exact"/>
        <w:rPr>
          <w:rFonts w:ascii="Times New Roman" w:cs="Times New Roman" w:eastAsia="Times New Roman" w:hAnsi="Times New Roman"/>
          <w:sz w:val="18"/>
          <w:szCs w:val="18"/>
          <w:color w:val="auto"/>
        </w:rPr>
      </w:pPr>
    </w:p>
    <w:p>
      <w:pPr>
        <w:ind w:left="1000" w:right="360" w:hanging="439"/>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26" w:lineRule="exact"/>
        <w:rPr>
          <w:rFonts w:ascii="Times New Roman" w:cs="Times New Roman" w:eastAsia="Times New Roman" w:hAnsi="Times New Roman"/>
          <w:sz w:val="18"/>
          <w:szCs w:val="18"/>
          <w:color w:val="auto"/>
        </w:rPr>
      </w:pPr>
    </w:p>
    <w:p>
      <w:pPr>
        <w:ind w:left="1000" w:right="160" w:hanging="439"/>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0"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0" w:lineRule="exact"/>
        <w:rPr>
          <w:rFonts w:ascii="Times New Roman" w:cs="Times New Roman" w:eastAsia="Times New Roman" w:hAnsi="Times New Roman"/>
          <w:sz w:val="18"/>
          <w:szCs w:val="18"/>
          <w:color w:val="auto"/>
        </w:rPr>
      </w:pPr>
    </w:p>
    <w:p>
      <w:pPr>
        <w:ind w:left="1000" w:right="120" w:hanging="439"/>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 Issuance of Securities in Registered Form” above.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31" w:lineRule="exact"/>
        <w:rPr>
          <w:sz w:val="20"/>
          <w:szCs w:val="20"/>
          <w:color w:val="auto"/>
        </w:rPr>
      </w:pPr>
    </w:p>
    <w:p>
      <w:pPr>
        <w:ind w:left="1000" w:right="380" w:hanging="439"/>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2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270" w:right="339" w:bottom="1440" w:gutter="0" w:footer="0" w:header="0"/>
        </w:sectPr>
      </w:pPr>
    </w:p>
    <w:bookmarkStart w:id="76" w:name="page77"/>
    <w:bookmarkEnd w:id="76"/>
    <w:p>
      <w:pPr>
        <w:ind w:left="1000" w:right="40" w:hanging="439"/>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6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9" w:lineRule="exact"/>
        <w:rPr>
          <w:sz w:val="20"/>
          <w:szCs w:val="20"/>
          <w:color w:val="auto"/>
        </w:rPr>
      </w:pPr>
    </w:p>
    <w:p>
      <w:pPr>
        <w:ind w:right="540" w:firstLine="449"/>
        <w:spacing w:after="0" w:line="261"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351" w:right="339" w:bottom="1440" w:gutter="0" w:footer="0" w:header="0"/>
        </w:sectPr>
      </w:pPr>
    </w:p>
    <w:bookmarkStart w:id="77" w:name="page78"/>
    <w:bookmarkEnd w:id="77"/>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00" w:hanging="43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30" w:lineRule="exact"/>
        <w:rPr>
          <w:rFonts w:ascii="Times New Roman" w:cs="Times New Roman" w:eastAsia="Times New Roman" w:hAnsi="Times New Roman"/>
          <w:sz w:val="18"/>
          <w:szCs w:val="18"/>
          <w:color w:val="auto"/>
        </w:rPr>
      </w:pPr>
    </w:p>
    <w:p>
      <w:pPr>
        <w:ind w:left="1000" w:right="100" w:hanging="439"/>
        <w:spacing w:after="0" w:line="312"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5"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00" w:hanging="43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00" w:right="80" w:hanging="439"/>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270" w:right="339" w:bottom="1440" w:gutter="0" w:footer="0" w:header="0"/>
        </w:sectPr>
      </w:pPr>
    </w:p>
    <w:bookmarkStart w:id="78" w:name="page79"/>
    <w:bookmarkEnd w:id="78"/>
    <w:p>
      <w:pPr>
        <w:ind w:left="1000" w:hanging="43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must not have taken action for 60 days after receipt of the above notice and offer of indemnity; and</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80" w:firstLine="562"/>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7" w:lineRule="exact"/>
        <w:rPr>
          <w:sz w:val="20"/>
          <w:szCs w:val="20"/>
          <w:color w:val="auto"/>
        </w:rPr>
      </w:pPr>
    </w:p>
    <w:p>
      <w:pPr>
        <w:ind w:left="1000" w:right="80" w:hanging="439"/>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31" w:lineRule="exact"/>
        <w:rPr>
          <w:sz w:val="20"/>
          <w:szCs w:val="20"/>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270" w:right="379" w:bottom="1440" w:gutter="0" w:footer="0" w:header="0"/>
        </w:sectPr>
      </w:pPr>
    </w:p>
    <w:bookmarkStart w:id="79" w:name="page80"/>
    <w:bookmarkEnd w:id="79"/>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the place or currency of payment on a debt security (except as otherwise described in the prospectus or prospectus supplement);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00" w:right="280" w:hanging="439"/>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00" w:hanging="43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30"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00" w:right="140" w:hanging="439"/>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70" w:right="359" w:bottom="1440" w:gutter="0" w:footer="0" w:header="0"/>
        </w:sectPr>
      </w:pPr>
    </w:p>
    <w:bookmarkStart w:id="80" w:name="page81"/>
    <w:bookmarkEnd w:id="80"/>
    <w:p>
      <w:pPr>
        <w:ind w:left="1000" w:hanging="43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debt securities denominated in one or more foreign currencies, we will use the U.S. dollar equivalent.</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80" w:firstLine="562"/>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89" w:lineRule="exact"/>
        <w:rPr>
          <w:sz w:val="20"/>
          <w:szCs w:val="20"/>
          <w:color w:val="auto"/>
        </w:rPr>
      </w:pPr>
    </w:p>
    <w:p>
      <w:pPr>
        <w:ind w:left="1000" w:hanging="439"/>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1"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76"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27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 Defeasance</w:t>
      </w:r>
    </w:p>
    <w:p>
      <w:pPr>
        <w:spacing w:after="0" w:line="11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00" w:hanging="439"/>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00" w:hanging="439"/>
        <w:spacing w:after="0" w:line="25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2"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00" w:hanging="43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268" w:right="359" w:bottom="1440" w:gutter="0" w:footer="0" w:header="0"/>
        </w:sectPr>
      </w:pPr>
    </w:p>
    <w:bookmarkStart w:id="82" w:name="page83"/>
    <w:bookmarkEnd w:id="82"/>
    <w:p>
      <w:pPr>
        <w:ind w:firstLine="44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00" w:right="140" w:hanging="439"/>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270" w:right="379" w:bottom="1440" w:gutter="0" w:footer="0" w:header="0"/>
        </w:sectPr>
      </w:pPr>
    </w:p>
    <w:bookmarkStart w:id="83" w:name="page84"/>
    <w:bookmarkEnd w:id="83"/>
    <w:p>
      <w:pPr>
        <w:ind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American Stock Transfer &amp; Trust Company, LLC is the trustee under the indenture. Mishmeret Trust Company, Ltd. serves as trustee for our 2023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270" w:right="379" w:bottom="1440" w:gutter="0" w:footer="0" w:header="0"/>
        </w:sectPr>
      </w:pPr>
    </w:p>
    <w:bookmarkStart w:id="84" w:name="page85"/>
    <w:bookmarkEnd w:id="8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BROKERAGE ALLOCATIONS AND OTHER PRACTICES</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60"/>
          </w:cols>
          <w:pgMar w:left="320" w:top="266" w:right="41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00" w:hanging="43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00" w:right="260" w:hanging="439"/>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00" w:right="140" w:hanging="439"/>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0" w:lineRule="exact"/>
        <w:rPr>
          <w:sz w:val="20"/>
          <w:szCs w:val="20"/>
          <w:color w:val="auto"/>
        </w:rPr>
      </w:pPr>
    </w:p>
    <w:p>
      <w:pPr>
        <w:jc w:val="both"/>
        <w:ind w:right="320" w:firstLine="449"/>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66"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to be Treated as a RIC</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31" w:lineRule="exact"/>
        <w:rPr>
          <w:sz w:val="20"/>
          <w:szCs w:val="20"/>
          <w:color w:val="auto"/>
        </w:rPr>
      </w:pPr>
    </w:p>
    <w:p>
      <w:pPr>
        <w:ind w:left="1000" w:hanging="43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30" w:lineRule="exact"/>
        <w:rPr>
          <w:rFonts w:ascii="Times New Roman" w:cs="Times New Roman" w:eastAsia="Times New Roman" w:hAnsi="Times New Roman"/>
          <w:sz w:val="18"/>
          <w:szCs w:val="18"/>
          <w:color w:val="auto"/>
        </w:rPr>
      </w:pPr>
    </w:p>
    <w:p>
      <w:pPr>
        <w:jc w:val="both"/>
        <w:ind w:left="1000" w:right="100" w:hanging="439"/>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30" w:lineRule="exact"/>
        <w:rPr>
          <w:rFonts w:ascii="Times New Roman" w:cs="Times New Roman" w:eastAsia="Times New Roman" w:hAnsi="Times New Roman"/>
          <w:sz w:val="18"/>
          <w:szCs w:val="18"/>
          <w:color w:val="auto"/>
        </w:rPr>
      </w:pPr>
    </w:p>
    <w:p>
      <w:pPr>
        <w:jc w:val="both"/>
        <w:ind w:left="1460" w:hanging="453"/>
        <w:spacing w:after="0" w:line="266" w:lineRule="auto"/>
        <w:tabs>
          <w:tab w:leader="none" w:pos="1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1" w:lineRule="exact"/>
        <w:rPr>
          <w:rFonts w:ascii="Times New Roman" w:cs="Times New Roman" w:eastAsia="Times New Roman" w:hAnsi="Times New Roman"/>
          <w:sz w:val="18"/>
          <w:szCs w:val="18"/>
          <w:color w:val="auto"/>
        </w:rPr>
      </w:pPr>
    </w:p>
    <w:p>
      <w:pPr>
        <w:ind w:left="1460" w:hanging="453"/>
        <w:spacing w:after="0" w:line="266" w:lineRule="auto"/>
        <w:tabs>
          <w:tab w:leader="none" w:pos="1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6" w:lineRule="exact"/>
        <w:rPr>
          <w:sz w:val="20"/>
          <w:szCs w:val="20"/>
          <w:color w:val="auto"/>
        </w:rPr>
      </w:pPr>
    </w:p>
    <w:p>
      <w:pPr>
        <w:jc w:val="both"/>
        <w:ind w:right="20" w:firstLine="449"/>
        <w:spacing w:after="0" w:line="256"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3"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266" w:right="359" w:bottom="1440" w:gutter="0" w:footer="0" w:header="0"/>
        </w:sectPr>
      </w:pPr>
    </w:p>
    <w:bookmarkStart w:id="87" w:name="page88"/>
    <w:bookmarkEnd w:id="87"/>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The Taxable Subsidiary generally will be subject to corporate income taxes on its earnings, which ultimately will reduce our return on such income and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3" w:lineRule="exact"/>
        <w:rPr>
          <w:sz w:val="20"/>
          <w:szCs w:val="20"/>
          <w:color w:val="auto"/>
        </w:rPr>
      </w:pPr>
    </w:p>
    <w:p>
      <w:pPr>
        <w:ind w:firstLine="449"/>
        <w:spacing w:after="0" w:line="312" w:lineRule="auto"/>
        <w:rPr>
          <w:sz w:val="20"/>
          <w:szCs w:val="20"/>
          <w:color w:val="auto"/>
        </w:rPr>
      </w:pPr>
      <w:r>
        <w:rPr>
          <w:rFonts w:ascii="Times New Roman" w:cs="Times New Roman" w:eastAsia="Times New Roman" w:hAnsi="Times New Roman"/>
          <w:sz w:val="17"/>
          <w:szCs w:val="17"/>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40" w:lineRule="exact"/>
        <w:rPr>
          <w:sz w:val="20"/>
          <w:szCs w:val="20"/>
          <w:color w:val="auto"/>
        </w:rPr>
      </w:pPr>
    </w:p>
    <w:p>
      <w:pPr>
        <w:ind w:right="300" w:firstLine="449"/>
        <w:spacing w:after="0" w:line="256"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80"/>
          </w:cols>
          <w:pgMar w:left="320" w:top="270"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Qualify as a RIC</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7"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66" w:right="33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9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6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270" w:right="379" w:bottom="1440" w:gutter="0" w:footer="0" w:header="0"/>
        </w:sectPr>
      </w:pPr>
    </w:p>
    <w:bookmarkStart w:id="90" w:name="page91"/>
    <w:bookmarkEnd w:id="90"/>
    <w:p>
      <w:pPr>
        <w:ind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0"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3"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76" w:lineRule="exact"/>
        <w:rPr>
          <w:sz w:val="20"/>
          <w:szCs w:val="20"/>
          <w:color w:val="auto"/>
        </w:rPr>
      </w:pPr>
    </w:p>
    <w:p>
      <w:pPr>
        <w:ind w:right="160" w:firstLine="449"/>
        <w:spacing w:after="0" w:line="257" w:lineRule="auto"/>
        <w:rPr>
          <w:sz w:val="20"/>
          <w:szCs w:val="20"/>
          <w:color w:val="auto"/>
        </w:rPr>
      </w:pPr>
      <w:r>
        <w:rPr>
          <w:rFonts w:ascii="Times New Roman" w:cs="Times New Roman" w:eastAsia="Times New Roman" w:hAnsi="Times New Roman"/>
          <w:sz w:val="18"/>
          <w:szCs w:val="18"/>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jc w:val="both"/>
        <w:ind w:right="80" w:firstLine="8"/>
        <w:spacing w:after="0" w:line="253"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270" w:right="359" w:bottom="1440" w:gutter="0" w:footer="0" w:header="0"/>
        </w:sectPr>
      </w:pPr>
    </w:p>
    <w:bookmarkStart w:id="91" w:name="page92"/>
    <w:bookmarkEnd w:id="9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7"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270" w:right="35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ind w:right="460" w:firstLine="449"/>
        <w:spacing w:after="0" w:line="261" w:lineRule="auto"/>
        <w:rPr>
          <w:sz w:val="20"/>
          <w:szCs w:val="20"/>
          <w:color w:val="auto"/>
        </w:rPr>
      </w:pPr>
      <w:r>
        <w:rPr>
          <w:rFonts w:ascii="Times New Roman" w:cs="Times New Roman" w:eastAsia="Times New Roman" w:hAnsi="Times New Roman"/>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85" w:lineRule="exact"/>
        <w:rPr>
          <w:sz w:val="20"/>
          <w:szCs w:val="20"/>
          <w:color w:val="auto"/>
        </w:rPr>
      </w:pPr>
    </w:p>
    <w:p>
      <w:pPr>
        <w:ind w:left="1000" w:hanging="43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00" w:right="420" w:hanging="439"/>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76"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3"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6"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66" w:right="339" w:bottom="1440" w:gutter="0" w:footer="0" w:header="0"/>
        </w:sectPr>
      </w:pPr>
    </w:p>
    <w:bookmarkStart w:id="93" w:name="page94"/>
    <w:bookmarkEnd w:id="93"/>
    <w:p>
      <w:pPr>
        <w:ind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270" w:right="379" w:bottom="1440" w:gutter="0" w:footer="0" w:header="0"/>
        </w:sectPr>
      </w:pPr>
    </w:p>
    <w:bookmarkStart w:id="94" w:name="page95"/>
    <w:bookmarkEnd w:id="9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SUB-ADMINISTRATOR, CUSTODIAN, TRANSFER AGENT AND TRUSTEE</w:t>
      </w:r>
    </w:p>
    <w:p>
      <w:pPr>
        <w:spacing w:after="0" w:line="229" w:lineRule="exact"/>
        <w:rPr>
          <w:sz w:val="20"/>
          <w:szCs w:val="20"/>
          <w:color w:val="auto"/>
        </w:rPr>
      </w:pPr>
    </w:p>
    <w:p>
      <w:pPr>
        <w:ind w:right="100" w:firstLine="449"/>
        <w:spacing w:after="0" w:line="238"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80"/>
          </w:cols>
          <w:pgMar w:left="320" w:top="266" w:right="399"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prospectus and any prospectus supplement incorporates by reference the documents set forth below that have previously been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12" w:lineRule="exact"/>
        <w:rPr>
          <w:sz w:val="20"/>
          <w:szCs w:val="20"/>
          <w:color w:val="auto"/>
        </w:rPr>
      </w:pPr>
    </w:p>
    <w:p>
      <w:pPr>
        <w:jc w:val="both"/>
        <w:ind w:left="1000" w:right="340" w:hanging="439"/>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4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17, 2019; and</w:t>
      </w:r>
    </w:p>
    <w:p>
      <w:pPr>
        <w:spacing w:after="0" w:line="81"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referenced in our Registration Statement on </w:t>
      </w:r>
      <w:hyperlink r:id="rId4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32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 request by email to: publicinfo@sec.gov.</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270"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2668270</wp:posOffset>
            </wp:positionH>
            <wp:positionV relativeFrom="page">
              <wp:posOffset>611505</wp:posOffset>
            </wp:positionV>
            <wp:extent cx="2219960" cy="514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4,000,000 Shares</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1678940</wp:posOffset>
            </wp:positionV>
            <wp:extent cx="1474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PRELIMARY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245110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480" w:val="left"/>
          <w:tab w:leader="none" w:pos="4000" w:val="left"/>
          <w:tab w:leader="none" w:pos="5520" w:val="left"/>
          <w:tab w:leader="none" w:pos="7780" w:val="left"/>
          <w:tab w:leader="none" w:pos="9600" w:val="left"/>
        </w:tabs>
        <w:rPr>
          <w:sz w:val="20"/>
          <w:szCs w:val="20"/>
          <w:color w:val="auto"/>
        </w:rPr>
      </w:pPr>
      <w:r>
        <w:rPr>
          <w:rFonts w:ascii="Times New Roman" w:cs="Times New Roman" w:eastAsia="Times New Roman" w:hAnsi="Times New Roman"/>
          <w:sz w:val="16"/>
          <w:szCs w:val="16"/>
          <w:b w:val="1"/>
          <w:bCs w:val="1"/>
          <w:color w:val="auto"/>
        </w:rPr>
        <w:t>Morgan Stanley</w:t>
      </w:r>
      <w:r>
        <w:rPr>
          <w:sz w:val="20"/>
          <w:szCs w:val="20"/>
          <w:color w:val="auto"/>
        </w:rPr>
        <w:tab/>
      </w:r>
      <w:r>
        <w:rPr>
          <w:rFonts w:ascii="Times New Roman" w:cs="Times New Roman" w:eastAsia="Times New Roman" w:hAnsi="Times New Roman"/>
          <w:sz w:val="16"/>
          <w:szCs w:val="16"/>
          <w:b w:val="1"/>
          <w:bCs w:val="1"/>
          <w:color w:val="auto"/>
        </w:rPr>
        <w:t>Goldman Sachs &amp; Co. LLC</w:t>
      </w:r>
      <w:r>
        <w:rPr>
          <w:sz w:val="20"/>
          <w:szCs w:val="20"/>
          <w:color w:val="auto"/>
        </w:rPr>
        <w:tab/>
      </w:r>
      <w:r>
        <w:rPr>
          <w:rFonts w:ascii="Times New Roman" w:cs="Times New Roman" w:eastAsia="Times New Roman" w:hAnsi="Times New Roman"/>
          <w:sz w:val="16"/>
          <w:szCs w:val="16"/>
          <w:b w:val="1"/>
          <w:bCs w:val="1"/>
          <w:color w:val="auto"/>
        </w:rPr>
        <w:t>J.P. Morgan</w:t>
      </w:r>
      <w:r>
        <w:rPr>
          <w:sz w:val="20"/>
          <w:szCs w:val="20"/>
          <w:color w:val="auto"/>
        </w:rPr>
        <w:tab/>
      </w:r>
      <w:r>
        <w:rPr>
          <w:rFonts w:ascii="Times New Roman" w:cs="Times New Roman" w:eastAsia="Times New Roman" w:hAnsi="Times New Roman"/>
          <w:sz w:val="16"/>
          <w:szCs w:val="16"/>
          <w:b w:val="1"/>
          <w:bCs w:val="1"/>
          <w:color w:val="auto"/>
        </w:rPr>
        <w:t>Keefe, Bruyette &amp; Woods</w:t>
      </w:r>
      <w:r>
        <w:rPr>
          <w:sz w:val="20"/>
          <w:szCs w:val="20"/>
          <w:color w:val="auto"/>
        </w:rPr>
        <w:tab/>
      </w:r>
      <w:r>
        <w:rPr>
          <w:rFonts w:ascii="Times New Roman" w:cs="Times New Roman" w:eastAsia="Times New Roman" w:hAnsi="Times New Roman"/>
          <w:sz w:val="16"/>
          <w:szCs w:val="16"/>
          <w:b w:val="1"/>
          <w:bCs w:val="1"/>
          <w:color w:val="auto"/>
        </w:rPr>
        <w:t>RBC Capital Markets</w:t>
      </w:r>
      <w:r>
        <w:rPr>
          <w:sz w:val="20"/>
          <w:szCs w:val="20"/>
          <w:color w:val="auto"/>
        </w:rPr>
        <w:tab/>
      </w:r>
      <w:r>
        <w:rPr>
          <w:rFonts w:ascii="Times New Roman" w:cs="Times New Roman" w:eastAsia="Times New Roman" w:hAnsi="Times New Roman"/>
          <w:sz w:val="15"/>
          <w:szCs w:val="15"/>
          <w:b w:val="1"/>
          <w:bCs w:val="1"/>
          <w:color w:val="auto"/>
        </w:rPr>
        <w:t>Truist Securities</w:t>
      </w:r>
    </w:p>
    <w:p>
      <w:pPr>
        <w:spacing w:after="0" w:line="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62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August</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251460</wp:posOffset>
            </wp:positionV>
            <wp:extent cx="1474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1074420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1134110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740"/>
      </w:cols>
      <w:pgMar w:left="70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lowerRoman"/>
      <w:start w:val="2"/>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6"/>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212"/>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7"/>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Letter"/>
      <w:start w:val="2"/>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lvl w:ilvl="1">
      <w:lvlJc w:val="left"/>
      <w:lvlText w:val="%2)"/>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jpe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jpe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9" Type="http://schemas.openxmlformats.org/officeDocument/2006/relationships/hyperlink" Target="http://www.sec.gov/Archives/edgar/data/1504619/000156459021057464/pflt-10k_20210930.htm#ITEM_1A_RISK_FACTORS" TargetMode="External"/><Relationship Id="rId10" Type="http://schemas.openxmlformats.org/officeDocument/2006/relationships/hyperlink" Target="http://www.sec.gov/Archives/edgar/data/1504619/000095017022014234/pflt-10q-2022.06.30-no_x.htm#item_1a_risk_factors" TargetMode="External"/><Relationship Id="rId36" Type="http://schemas.openxmlformats.org/officeDocument/2006/relationships/hyperlink" Target="http://www.sec.gov/Archives/edgar/data/1504619/000156459021057464/pflt-10k_20210930.htm" TargetMode="External"/><Relationship Id="rId37" Type="http://schemas.openxmlformats.org/officeDocument/2006/relationships/hyperlink" Target="http://www.sec.gov/Archives/edgar/data/1504619/000095017022000969/pflt-10q-20211231-no_xbr.htm" TargetMode="External"/><Relationship Id="rId38" Type="http://schemas.openxmlformats.org/officeDocument/2006/relationships/hyperlink" Target="http://www.sec.gov/Archives/edgar/data/1504619/000095017022007470/pflt-10q-2022.03.31-no_x.htm" TargetMode="External"/><Relationship Id="rId39" Type="http://schemas.openxmlformats.org/officeDocument/2006/relationships/hyperlink" Target="http://www.sec.gov/Archives/edgar/data/1504619/000095017022014234/pflt-10q-2022.06.30-no_x.htm" TargetMode="External"/><Relationship Id="rId40" Type="http://schemas.openxmlformats.org/officeDocument/2006/relationships/hyperlink" Target="http://www.sec.gov/Archives/edgar/data/0001504619/000095017022001227/pflt_proxy_results_2.8.2.htm" TargetMode="External"/><Relationship Id="rId41" Type="http://schemas.openxmlformats.org/officeDocument/2006/relationships/hyperlink" Target="http://www.sec.gov/Archives/edgar/data/0001504619/000095017022008017/pflt-appt_of_new_directo.htm" TargetMode="External"/><Relationship Id="rId42" Type="http://schemas.openxmlformats.org/officeDocument/2006/relationships/hyperlink" Target="http://www.sec.gov/Archives/edgar/data/0001504619/000117184322004096/f8k_060222.htm" TargetMode="External"/><Relationship Id="rId43" Type="http://schemas.openxmlformats.org/officeDocument/2006/relationships/hyperlink" Target="http://www.sec.gov/Archives/edgar/data/0001504619/000095012319011902/DEF14A.htm" TargetMode="External"/><Relationship Id="rId44" Type="http://schemas.openxmlformats.org/officeDocument/2006/relationships/hyperlink" Target="http://www.sec.gov/Archives/edgar/data/000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2022-08-09T03:45:30Z</dcterms:created>
  <dcterms:modified xsi:type="dcterms:W3CDTF">2022-08-09T03:45:30Z</dcterms:modified>
</cp:coreProperties>
</file>