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06,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 August 6, 2014, PennantPark Floating Rate Capital Ltd. issued a press release announcing financial results for the third fiscal quarter ended June 30,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06, 2014</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06,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2014</w:t>
      </w:r>
    </w:p>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NEW YORK, NY -- (Marketwired - August 06, 2014) - PennantPark Floating Rate Capital Ltd. (NASDAQ: PFLT) announced today financial results for the third fiscal quarter ended June 30, 2014.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June 30, 2014</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365.9</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8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8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14.52</w:t>
            </w:r>
          </w:p>
        </w:tc>
      </w:tr>
      <w:tr>
        <w:trPr>
          <w:trHeight w:val="203"/>
        </w:trPr>
        <w:tc>
          <w:tcPr>
            <w:tcW w:w="6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$154.9)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154.9</w:t>
            </w:r>
          </w:p>
        </w:tc>
      </w:tr>
      <w:tr>
        <w:trPr>
          <w:trHeight w:val="405"/>
        </w:trPr>
        <w:tc>
          <w:tcPr>
            <w:tcW w:w="61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r>
      <w:tr>
        <w:trPr>
          <w:trHeight w:val="405"/>
        </w:trPr>
        <w:tc>
          <w:tcPr>
            <w:tcW w:w="61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6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6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w:t>
            </w:r>
          </w:p>
        </w:tc>
      </w:tr>
      <w:tr>
        <w:trPr>
          <w:trHeight w:val="405"/>
        </w:trPr>
        <w:tc>
          <w:tcPr>
            <w:tcW w:w="61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8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30.6</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8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55.6</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8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16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8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1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8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1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7, 2014</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Thursday, August 7, 2014 to discuss its financial results. All interested parties are welcome to participate. You can access the conference call by dialing (888) 329-8877 approximately 5-10 minutes prior to the call. International callers should dial (719)</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457-1035. All callers should reference PennantPark Floating Rate Capital Ltd. An archived replay of the call will be available through August 21, 2014 by calling (888) 203-1112. International callers please dial (719) 457-0820. For all phone replays, please reference conference ID #9871657.</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As of June 30, 2014, our portfolio totaled $365.9 million and consisted of $322.2 million of senior secured loans, $30.8 million of second lien secured debt, $10.3 million of subordinated debt and $2.6 million of preferred and common equity investments. Our debt portfolio consisted of 95% variable-rate investments (including 93% with a London Interbank Offered Rate, or LIBOR, or prime floor) and 5% fixed-rate investments. Overall, the portfolio had unrealized appreciation of $3.7 million. Our overall portfolio consisted of 80 companies with an average investment size of $4.6 million, a weighted average yield on debt investments of 8.2%, and was invested 88% in senior secured loans, 8% in second lien secured debt and 4% in subordinated debt, preferred and common equity investments.</w:t>
      </w:r>
    </w:p>
    <w:p>
      <w:pPr>
        <w:spacing w:after="0" w:line="184"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91"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For the three months ended June 30, 2014, we invested $30.6 million in four new and seven existing portfolio companies with a weighted average yield on debt investments of 7.1%. Sales and repayments of investments for the three months ended June 30, 2014 totaled $55.6 million. For the nine months ended June 30, 2014, we invested $185.0 million in 29 new and 25 existing portfolio companies with a weighted average yield on debt investments of 7.8%. Sales and repayments of investments for the nine months ended June 30, 2014 totaled $146.8 million.</w:t>
      </w:r>
    </w:p>
    <w:p>
      <w:pPr>
        <w:spacing w:after="0" w:line="178"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For the three months ended June 30, 2013, we invested $114.3 million in 26 new and five existing portfolio companies with a weighted average yield on debt investments of 7.5%. Sales and repayments of investments for the three months ended June 30, 2013 totaled $46.4 million. For the nine months ended June 30, 2013, we invested $198.3 million in 54 new and 11 existing portfolio companies with a weighted average yield on debt investments of 8.0%. Sales and repayments of investments for the nine months ended June 30, 2013 totaled $120.7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1" w:right="339" w:bottom="0" w:gutter="0" w:footer="0" w:header="0"/>
        </w:sectPr>
      </w:pPr>
    </w:p>
    <w:bookmarkStart w:id="3" w:name="page4"/>
    <w:bookmarkEnd w:id="3"/>
    <w:p>
      <w:pPr>
        <w:ind w:right="2120"/>
        <w:spacing w:after="0" w:line="435" w:lineRule="auto"/>
        <w:rPr>
          <w:sz w:val="20"/>
          <w:szCs w:val="20"/>
          <w:color w:val="auto"/>
        </w:rPr>
      </w:pPr>
      <w:r>
        <w:rPr>
          <w:rFonts w:ascii="Arial" w:cs="Arial" w:eastAsia="Arial" w:hAnsi="Arial"/>
          <w:sz w:val="22"/>
          <w:szCs w:val="22"/>
          <w:color w:val="auto"/>
        </w:rPr>
        <w:t xml:space="preserve">Set forth below are the results of operations for the three and nine months ended June 30, 2014 and 2013. </w:t>
      </w:r>
      <w:r>
        <w:rPr>
          <w:rFonts w:ascii="Arial" w:cs="Arial" w:eastAsia="Arial" w:hAnsi="Arial"/>
          <w:sz w:val="22"/>
          <w:szCs w:val="22"/>
          <w:b w:val="1"/>
          <w:bCs w:val="1"/>
          <w:color w:val="auto"/>
        </w:rPr>
        <w:t>Investment Income</w:t>
      </w:r>
    </w:p>
    <w:p>
      <w:pPr>
        <w:spacing w:after="0" w:line="2"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Investment income for the three and nine months ended June 30, 2014 was $7.7 million and $22.1 million, respectively, and was attributable to $6.2 million and $17.9 million from senior secured loan investments, and $1.5 million and $4.2 million from second lien secured debt and subordinated debt investments. This compares to investment income for the three and nine months ended June 30, 2013, which was $4.7 million and $12.8 million, respectively, and was attributable to $3.9 million and $10.8 million from senior secured loan investments, and $0.8 million and $2.0 million from second lien secured debt and subordinated debt investments. The increase in investment income over the prior year was primarily due to the growth of our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Expenses for the three and nine months ended June 30, 2014 totaled $3.3 million and $10.8 million, respectively. Base management fee for the same periods totaled $1.0 million and $2.8 million, incentive fees totaled $0.8 million (including $0.1 million on net unrealized gains accrued but not payable) and $2.9 million (including $0.6 million on net unrealized gains accrued but not payable), our senior secured revolving credit facility, or the Credit Facility, expenses totaled $0.9 million and $3.3 million (including $0.7 million of Credit Facility amendment expenses), general and administrative expenses totaled $0.5 million and $1.4 million and excise taxes were $0.1 million and $0.4 million, respectively.</w:t>
      </w:r>
    </w:p>
    <w:p>
      <w:pPr>
        <w:spacing w:after="0" w:line="177"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This compares to expenses for the three and nine months ended June 30, 2013, which totaled $1.5 million and $5.8 million, respectively. Base management fee for the same periods totaled $0.5 million and $1.5 million, incentive fees totaled less than $0.1 million and $1.0 million, Credit Facility expenses totaled $0.4 million and $1.8 million (including $0.5 million of Credit Facility amendment expenses), general and administrative expenses totaled $0.5 million and $1.4 million and excise taxes were $0.1 million, respectively. The increase in expenses was due to the growth of our portfolio and expanding our borrowing capacity under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Net investment income totaled $4.4 million and $11.3 million, or $0.29 and $0.76 per share, for the three and nine months ended June 30, 2014, respectively. Net investment income totaled $3.2 million and $7.0 million, or $0.31 and $0.86 per share, for the three and nine months ended June 30, 2013, respectively. The increase in net investment income was due to a larger portfolio, which was partially offset by amendment costs. For the three months ended June 30, 2014, net investment income per share increased due to changes in yield environment over the prior year, whereas, for the nine months ended June 30, 2014, net investment income per share decreased over the prior year as a result of both changes in yield environment and share issuances of common stock during 2013.</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Sales and repayments of investments for the three and nine months ended June 30, 2014 totaled $55.6 million and $146.8 million and net realized gains totaled $0.7 million and $1.8 million, respectively. Sales and repayments of investments totaled $46.4 million and $120.7 million and realized gains totaled $1.7 million and $3.2 million for the three and nine months ended June 30, 2013, respectively. The decrease in realized gains was driven by fewer exits of our portfolio companies.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For the three and nine months ended June 30, 2014, we reported net unrealized (depreciation) appreciation on investments of $(0.1) million and $5.1 million, respectively. For the three and nine months ended June 30, 2013, we reported net unrealized (depreciation) on investments of $(3.3) million and $(3.2) million, respectively. As of June 30, 2014 and September 30, 2013, net unrealized appreciation (depreciation) on investments totaled $3.7 million and $(1.5) million, respectively. The change compared to September 30, 2013 was the result of changes in market values.</w:t>
      </w:r>
    </w:p>
    <w:p>
      <w:pPr>
        <w:spacing w:after="0" w:line="178"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For each of the three and nine months ended June 30, 2014, our Credit Facility had an unrealized appreciation of zero. For the three and nine months ended June 30, 2013, our Credit Facility had an unrealized appreciation of zero and $0.4 million, respectively. As of June 30, 2014 and September 30, 2013, net unrealized appreciation on our Credit Facility totaled zero. The change compared to last year was due to changes in the capital markets.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Net increase in net assets resulting from operations totaled $4.9 million and $18.2 million, or $0.33 and $1.22 per share, respectively, for the three and nine months ended June 30, 2014. This compares to a net increase in net assets resulting from operations which totaled $1.6 million and $6.5 million, or $0.15 and $0.81 per share, respectively, for the three and nine months ended June 30, 2013. We continue to find attractive investment opportunities to grow net assets from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w:t>
      </w:r>
    </w:p>
    <w:p>
      <w:pPr>
        <w:sectPr>
          <w:pgSz w:w="11900" w:h="16838" w:orient="portrait"/>
          <w:cols w:equalWidth="0" w:num="1">
            <w:col w:w="11220"/>
          </w:cols>
          <w:pgMar w:left="320" w:top="118" w:right="359" w:bottom="0" w:gutter="0" w:footer="0" w:header="0"/>
        </w:sectPr>
      </w:pPr>
    </w:p>
    <w:bookmarkStart w:id="4" w:name="page5"/>
    <w:bookmarkEnd w:id="4"/>
    <w:p>
      <w:pPr>
        <w:spacing w:after="0" w:line="64"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Facility, the rotation of our portfolio and proceeds from public and private offerings of securities to finance our investment objectives.</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As of June 30, 2014 and September 30, 2013, we had $154.9 million and $99.6 million of outstanding borrowings under the Credit Facility, respectively, and carried an annual interest rate of 2.16% and 2.18%, respectively, excluding the 0.375% undrawn commitment fee.</w:t>
      </w:r>
    </w:p>
    <w:p>
      <w:pPr>
        <w:spacing w:after="0" w:line="186"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The annualized weighted average cost of debt for the nine months ended June 30, 2014 and 2013, inclusive of the fee on the undrawn commitment on the Credit Facility but excluding amendment costs, was 2.36% and 2.68%, respectively.</w:t>
      </w:r>
    </w:p>
    <w:p>
      <w:pPr>
        <w:spacing w:after="0" w:line="10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$37.9 million for the nine months ended June 30, 2014, and our financing activities provided cash of $43.3 million for the same period. Our operating activities used cash primarily for our investment activities and our financing activities provided cash primarily from net draws under the Credit Facility.</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Our operating activities used cash of $47.1 million for the nine months ended June 30, 2013, and our financing activities provided cash of $50.2 million for the same period. Our operating activities used cash primarily for our investment activity that was offset by our financing activities, which provided cash primarily from a public offering and net repayments under the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During the three and nine months ended June 30, 2014, we declared to stockholders distributions of $0.270 and $0.808 per share, respectively, for total distributions of $4.0 million and $12.0 million, respectively. For the same periods in the prior year, we declared distributions of $0.263 and $0.765 per share, respectively, for total distributions of $2.7 million and $6.1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June 30, 2014</w:t>
            </w: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September 30, 2013</w:t>
            </w:r>
          </w:p>
        </w:tc>
      </w:tr>
      <w:tr>
        <w:trPr>
          <w:trHeight w:val="203"/>
        </w:trPr>
        <w:tc>
          <w:tcPr>
            <w:tcW w:w="41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(cost--$362,225,391 and</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$319,283,468, respectively)</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365,891,603</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317,803,894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9,940,930</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4,578,249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1,914,432</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2,140,802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3,284,879</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3,659,185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575,972</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619,737</w:t>
            </w:r>
          </w:p>
        </w:tc>
      </w:tr>
      <w:tr>
        <w:trPr>
          <w:trHeight w:val="203"/>
        </w:trPr>
        <w:tc>
          <w:tcPr>
            <w:tcW w:w="41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381,607,816</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328,801,867</w:t>
            </w:r>
          </w:p>
        </w:tc>
      </w:tr>
      <w:tr>
        <w:trPr>
          <w:trHeight w:val="203"/>
        </w:trPr>
        <w:tc>
          <w:tcPr>
            <w:tcW w:w="41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1,340,825</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1,303,580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2,194,497</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14,021,588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2,705,882</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934,555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$154,900,000 and $99,600,000,</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154,900,000</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99,600,000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282,449</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189,934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953,096</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731,635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Performance-based incentive fee payable</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2,352,551</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1,164,090</w:t>
            </w:r>
          </w:p>
        </w:tc>
      </w:tr>
      <w:tr>
        <w:trPr>
          <w:trHeight w:val="202"/>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606,450</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790,091</w:t>
            </w:r>
          </w:p>
        </w:tc>
      </w:tr>
      <w:tr>
        <w:trPr>
          <w:trHeight w:val="202"/>
        </w:trPr>
        <w:tc>
          <w:tcPr>
            <w:tcW w:w="41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165,335,750</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118,735,473</w:t>
            </w:r>
          </w:p>
        </w:tc>
      </w:tr>
      <w:tr>
        <w:trPr>
          <w:trHeight w:val="203"/>
        </w:trPr>
        <w:tc>
          <w:tcPr>
            <w:tcW w:w="41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14,898,056 shares issued</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outstanding. Par value $0.001 per</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and 100,000,000 shares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14,898</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207,481,368</w:t>
            </w:r>
          </w:p>
        </w:tc>
        <w:tc>
          <w:tcPr>
            <w:tcW w:w="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207,481,368</w:t>
            </w:r>
          </w:p>
        </w:tc>
      </w:tr>
      <w:tr>
        <w:trPr>
          <w:trHeight w:val="202"/>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ectPr>
          <w:pgSz w:w="11900" w:h="16903"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Undistributed net investment income</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(240,033)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474,766</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net realized gain on</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5,349,621</w:t>
            </w:r>
          </w:p>
        </w:tc>
        <w:tc>
          <w:tcPr>
            <w:tcW w:w="7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3,574,936</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unrealized appreciation</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(depreciation) on investments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3,666,212</w:t>
            </w:r>
          </w:p>
        </w:tc>
        <w:tc>
          <w:tcPr>
            <w:tcW w:w="7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(1,479,574)</w:t>
            </w:r>
          </w:p>
        </w:tc>
      </w:tr>
      <w:tr>
        <w:trPr>
          <w:trHeight w:val="203"/>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Total net assets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216,272,066</w:t>
            </w:r>
          </w:p>
        </w:tc>
        <w:tc>
          <w:tcPr>
            <w:tcW w:w="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210,066,394</w:t>
            </w:r>
          </w:p>
        </w:tc>
      </w:tr>
      <w:tr>
        <w:trPr>
          <w:trHeight w:val="203"/>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0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Total liabilities and net assets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381,607,816</w:t>
            </w:r>
          </w:p>
        </w:tc>
        <w:tc>
          <w:tcPr>
            <w:tcW w:w="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328,801,867</w:t>
            </w:r>
          </w:p>
        </w:tc>
      </w:tr>
      <w:tr>
        <w:trPr>
          <w:trHeight w:val="203"/>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0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14.52</w:t>
            </w:r>
          </w:p>
        </w:tc>
        <w:tc>
          <w:tcPr>
            <w:tcW w:w="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14.10</w:t>
            </w:r>
          </w:p>
        </w:tc>
      </w:tr>
      <w:tr>
        <w:trPr>
          <w:trHeight w:val="203"/>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8020" w:type="dxa"/>
            <w:vAlign w:val="bottom"/>
            <w:gridSpan w:val="8"/>
          </w:tcPr>
          <w:p>
            <w:pPr>
              <w:jc w:val="center"/>
              <w:ind w:right="3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r>
      <w:tr>
        <w:trPr>
          <w:trHeight w:val="203"/>
        </w:trPr>
        <w:tc>
          <w:tcPr>
            <w:tcW w:w="6580" w:type="dxa"/>
            <w:vAlign w:val="bottom"/>
            <w:gridSpan w:val="7"/>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4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900" w:type="dxa"/>
            <w:vAlign w:val="bottom"/>
            <w:gridSpan w:val="4"/>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290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Three Months Ended</w:t>
            </w:r>
          </w:p>
        </w:tc>
        <w:tc>
          <w:tcPr>
            <w:tcW w:w="28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320" w:type="dxa"/>
            <w:vAlign w:val="bottom"/>
          </w:tcPr>
          <w:p>
            <w:pPr>
              <w:spacing w:after="0"/>
              <w:rPr>
                <w:sz w:val="17"/>
                <w:szCs w:val="17"/>
                <w:color w:val="auto"/>
              </w:rPr>
            </w:pPr>
          </w:p>
        </w:tc>
        <w:tc>
          <w:tcPr>
            <w:tcW w:w="200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June 30,</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320" w:type="dxa"/>
            <w:vAlign w:val="bottom"/>
          </w:tcPr>
          <w:p>
            <w:pPr>
              <w:spacing w:after="0"/>
              <w:rPr>
                <w:sz w:val="17"/>
                <w:szCs w:val="17"/>
                <w:color w:val="auto"/>
              </w:rPr>
            </w:pPr>
          </w:p>
        </w:tc>
        <w:tc>
          <w:tcPr>
            <w:tcW w:w="29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320" w:type="dxa"/>
            <w:vAlign w:val="bottom"/>
          </w:tcPr>
          <w:p>
            <w:pPr>
              <w:spacing w:after="0"/>
              <w:rPr>
                <w:sz w:val="17"/>
                <w:szCs w:val="17"/>
                <w:color w:val="auto"/>
              </w:rPr>
            </w:pP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2014</w:t>
            </w:r>
          </w:p>
        </w:tc>
        <w:tc>
          <w:tcPr>
            <w:tcW w:w="20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2013</w:t>
            </w:r>
          </w:p>
        </w:tc>
        <w:tc>
          <w:tcPr>
            <w:tcW w:w="13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2014</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 non-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7,524,629</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4,192,816</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$ 21,808,074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$ 11,807,059</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143,904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477,487</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327,828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965,794</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7,668,533</w:t>
            </w:r>
          </w:p>
        </w:tc>
        <w:tc>
          <w:tcPr>
            <w:tcW w:w="2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4,670,303</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22,135,902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12,772,853</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953,096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548,779</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2,787,848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1,464,403</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825,796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37,709</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2,926,261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1,017,929</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the</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888,718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375,640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2,588,843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1,342,103</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276,000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144,052</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678,000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452,876</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241,985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317,192</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766,639</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956,400</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2"/>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excise tax and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3,185,595</w:t>
            </w:r>
          </w:p>
        </w:tc>
        <w:tc>
          <w:tcPr>
            <w:tcW w:w="2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1,423,372</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9,747,591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5,233,711</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29,355</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360,000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96,768</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712,930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3,305,595</w:t>
            </w:r>
          </w:p>
        </w:tc>
        <w:tc>
          <w:tcPr>
            <w:tcW w:w="2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1,452,727</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10,820,521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5,830,479</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4,362,938</w:t>
            </w:r>
          </w:p>
        </w:tc>
        <w:tc>
          <w:tcPr>
            <w:tcW w:w="2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3,217,576</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11,315,381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6,942,374</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non-controlled, non-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697,831</w:t>
            </w:r>
          </w:p>
        </w:tc>
        <w:tc>
          <w:tcPr>
            <w:tcW w:w="2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1,659,391</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1,774,685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3,206,861</w:t>
            </w:r>
          </w:p>
        </w:tc>
      </w:tr>
      <w:tr>
        <w:trPr>
          <w:trHeight w:val="202"/>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(118,995)</w:t>
            </w:r>
          </w:p>
        </w:tc>
        <w:tc>
          <w:tcPr>
            <w:tcW w:w="2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(3,309,840)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5,145,786</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(3,233,442)</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ind w:left="320"/>
        <w:spacing w:after="0" w:line="275" w:lineRule="auto"/>
        <w:rPr>
          <w:sz w:val="20"/>
          <w:szCs w:val="20"/>
          <w:color w:val="auto"/>
        </w:rPr>
      </w:pPr>
      <w:r>
        <w:rPr>
          <w:rFonts w:ascii="Courier New" w:cs="Courier New" w:eastAsia="Courier New" w:hAnsi="Courier New"/>
          <w:sz w:val="16"/>
          <w:szCs w:val="16"/>
          <w:color w:val="auto"/>
        </w:rPr>
        <w:t>(depreciation) appreciation on investments and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420"/>
        <w:spacing w:after="0"/>
        <w:tabs>
          <w:tab w:leader="none" w:pos="1660" w:val="left"/>
          <w:tab w:leader="none" w:pos="3240" w:val="left"/>
          <w:tab w:leader="none" w:pos="4520" w:val="left"/>
        </w:tabs>
        <w:rPr>
          <w:sz w:val="20"/>
          <w:szCs w:val="20"/>
          <w:color w:val="auto"/>
        </w:rPr>
      </w:pPr>
      <w:r>
        <w:rPr>
          <w:rFonts w:ascii="Courier New" w:cs="Courier New" w:eastAsia="Courier New" w:hAnsi="Courier New"/>
          <w:sz w:val="18"/>
          <w:szCs w:val="18"/>
          <w:color w:val="auto"/>
        </w:rPr>
        <w:t>(118,995)</w:t>
        <w:tab/>
        <w:t>(3,309,840)</w:t>
      </w:r>
      <w:r>
        <w:rPr>
          <w:sz w:val="20"/>
          <w:szCs w:val="20"/>
          <w:color w:val="auto"/>
        </w:rPr>
        <w:tab/>
      </w:r>
      <w:r>
        <w:rPr>
          <w:rFonts w:ascii="Courier New" w:cs="Courier New" w:eastAsia="Courier New" w:hAnsi="Courier New"/>
          <w:sz w:val="18"/>
          <w:szCs w:val="18"/>
          <w:color w:val="auto"/>
        </w:rPr>
        <w:t>5,145,786</w:t>
      </w:r>
      <w:r>
        <w:rPr>
          <w:sz w:val="20"/>
          <w:szCs w:val="20"/>
          <w:color w:val="auto"/>
        </w:rPr>
        <w:tab/>
      </w:r>
      <w:r>
        <w:rPr>
          <w:rFonts w:ascii="Courier New" w:cs="Courier New" w:eastAsia="Courier New" w:hAnsi="Courier New"/>
          <w:sz w:val="16"/>
          <w:szCs w:val="16"/>
          <w:color w:val="auto"/>
        </w:rPr>
        <w:t>(3,610,942)</w:t>
      </w:r>
    </w:p>
    <w:p>
      <w:pPr>
        <w:spacing w:after="0"/>
        <w:tabs>
          <w:tab w:leader="none" w:pos="1460" w:val="left"/>
          <w:tab w:leader="none" w:pos="29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ectPr>
          <w:pgSz w:w="11900" w:h="16838" w:orient="portrait"/>
          <w:cols w:equalWidth="0" w:num="2">
            <w:col w:w="1900" w:space="420"/>
            <w:col w:w="8880"/>
          </w:cols>
          <w:pgMar w:left="320" w:top="142" w:right="379" w:bottom="1440" w:gutter="0" w:footer="0" w:header="0"/>
        </w:sectPr>
      </w:pPr>
    </w:p>
    <w:p>
      <w:pPr>
        <w:spacing w:after="0"/>
        <w:rPr>
          <w:sz w:val="20"/>
          <w:szCs w:val="20"/>
          <w:color w:val="auto"/>
        </w:rPr>
      </w:pPr>
      <w:r>
        <w:rPr>
          <w:rFonts w:ascii="Courier New" w:cs="Courier New" w:eastAsia="Courier New" w:hAnsi="Courier New"/>
          <w:sz w:val="16"/>
          <w:szCs w:val="16"/>
          <w:color w:val="auto"/>
        </w:rPr>
        <w:t>Net realized and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unrealized gain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(loss) from</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investments and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0"/>
        <w:spacing w:after="0"/>
        <w:tabs>
          <w:tab w:leader="none" w:pos="1660" w:val="left"/>
          <w:tab w:leader="none" w:pos="3240" w:val="left"/>
          <w:tab w:leader="none" w:pos="4720" w:val="left"/>
        </w:tabs>
        <w:rPr>
          <w:sz w:val="20"/>
          <w:szCs w:val="20"/>
          <w:color w:val="auto"/>
        </w:rPr>
      </w:pPr>
      <w:r>
        <w:rPr>
          <w:rFonts w:ascii="Courier New" w:cs="Courier New" w:eastAsia="Courier New" w:hAnsi="Courier New"/>
          <w:sz w:val="18"/>
          <w:szCs w:val="18"/>
          <w:color w:val="auto"/>
        </w:rPr>
        <w:t>578,836</w:t>
      </w:r>
      <w:r>
        <w:rPr>
          <w:sz w:val="20"/>
          <w:szCs w:val="20"/>
          <w:color w:val="auto"/>
        </w:rPr>
        <w:tab/>
      </w:r>
      <w:r>
        <w:rPr>
          <w:rFonts w:ascii="Courier New" w:cs="Courier New" w:eastAsia="Courier New" w:hAnsi="Courier New"/>
          <w:sz w:val="18"/>
          <w:szCs w:val="18"/>
          <w:color w:val="auto"/>
        </w:rPr>
        <w:t>(1,650,449)</w:t>
      </w:r>
      <w:r>
        <w:rPr>
          <w:sz w:val="20"/>
          <w:szCs w:val="20"/>
          <w:color w:val="auto"/>
        </w:rPr>
        <w:tab/>
      </w:r>
      <w:r>
        <w:rPr>
          <w:rFonts w:ascii="Courier New" w:cs="Courier New" w:eastAsia="Courier New" w:hAnsi="Courier New"/>
          <w:sz w:val="18"/>
          <w:szCs w:val="18"/>
          <w:color w:val="auto"/>
        </w:rPr>
        <w:t>6,920,471</w:t>
      </w:r>
      <w:r>
        <w:rPr>
          <w:sz w:val="20"/>
          <w:szCs w:val="20"/>
          <w:color w:val="auto"/>
        </w:rPr>
        <w:tab/>
      </w:r>
      <w:r>
        <w:rPr>
          <w:rFonts w:ascii="Courier New" w:cs="Courier New" w:eastAsia="Courier New" w:hAnsi="Courier New"/>
          <w:sz w:val="16"/>
          <w:szCs w:val="16"/>
          <w:color w:val="auto"/>
        </w:rPr>
        <w:t>(404,081)</w:t>
      </w:r>
    </w:p>
    <w:p>
      <w:pPr>
        <w:spacing w:after="0"/>
        <w:tabs>
          <w:tab w:leader="none" w:pos="1460" w:val="left"/>
          <w:tab w:leader="none" w:pos="29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ectPr>
          <w:pgSz w:w="11900" w:h="16838" w:orient="portrait"/>
          <w:cols w:equalWidth="0" w:num="2">
            <w:col w:w="1700" w:space="620"/>
            <w:col w:w="8880"/>
          </w:cols>
          <w:pgMar w:left="320" w:top="142" w:right="3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increase in net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assets resulting</w:t>
      </w:r>
    </w:p>
    <w:p>
      <w:pPr>
        <w:ind w:left="120"/>
        <w:spacing w:after="0" w:line="238" w:lineRule="auto"/>
        <w:rPr>
          <w:sz w:val="20"/>
          <w:szCs w:val="20"/>
          <w:color w:val="auto"/>
        </w:rPr>
      </w:pPr>
      <w:r>
        <w:rPr>
          <w:rFonts w:ascii="Courier New" w:cs="Courier New" w:eastAsia="Courier New" w:hAnsi="Courier New"/>
          <w:sz w:val="18"/>
          <w:szCs w:val="18"/>
          <w:color w:val="auto"/>
        </w:rPr>
        <w:t>from operations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both"/>
        <w:ind w:right="3300"/>
        <w:spacing w:after="0" w:line="235" w:lineRule="auto"/>
        <w:rPr>
          <w:sz w:val="20"/>
          <w:szCs w:val="20"/>
          <w:color w:val="auto"/>
        </w:rPr>
      </w:pPr>
      <w:r>
        <w:rPr>
          <w:rFonts w:ascii="Courier New" w:cs="Courier New" w:eastAsia="Courier New" w:hAnsi="Courier New"/>
          <w:sz w:val="18"/>
          <w:szCs w:val="18"/>
          <w:color w:val="auto"/>
        </w:rPr>
        <w:t>$ 4,941,774 $ 1,567,127 $ 18,235,852 $ 6,538,293 ============ ============ ============ ============</w:t>
      </w:r>
    </w:p>
    <w:p>
      <w:pPr>
        <w:spacing w:after="0" w:line="1" w:lineRule="exact"/>
        <w:rPr>
          <w:sz w:val="20"/>
          <w:szCs w:val="20"/>
          <w:color w:val="auto"/>
        </w:rPr>
      </w:pPr>
    </w:p>
    <w:p>
      <w:pPr>
        <w:sectPr>
          <w:pgSz w:w="11900" w:h="16838" w:orient="portrait"/>
          <w:cols w:equalWidth="0" w:num="2">
            <w:col w:w="2000" w:space="320"/>
            <w:col w:w="8880"/>
          </w:cols>
          <w:pgMar w:left="320" w:top="142" w:right="37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Net increase in net</w:t>
      </w:r>
    </w:p>
    <w:p>
      <w:pPr>
        <w:ind w:left="120"/>
        <w:spacing w:after="0" w:line="238" w:lineRule="auto"/>
        <w:rPr>
          <w:sz w:val="20"/>
          <w:szCs w:val="20"/>
          <w:color w:val="auto"/>
        </w:rPr>
      </w:pPr>
      <w:r>
        <w:rPr>
          <w:rFonts w:ascii="Courier New" w:cs="Courier New" w:eastAsia="Courier New" w:hAnsi="Courier New"/>
          <w:sz w:val="18"/>
          <w:szCs w:val="18"/>
          <w:color w:val="auto"/>
        </w:rPr>
        <w:t>assets resulting</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from operations per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ind w:right="3300"/>
        <w:spacing w:after="0" w:line="235" w:lineRule="auto"/>
        <w:rPr>
          <w:sz w:val="20"/>
          <w:szCs w:val="20"/>
          <w:color w:val="auto"/>
        </w:rPr>
      </w:pPr>
      <w:r>
        <w:rPr>
          <w:rFonts w:ascii="Courier New" w:cs="Courier New" w:eastAsia="Courier New" w:hAnsi="Courier New"/>
          <w:sz w:val="18"/>
          <w:szCs w:val="18"/>
          <w:color w:val="auto"/>
        </w:rPr>
        <w:t>$ 0.33 $ 0.15 $ 1.22 $ 0.81 ------------ ------------ ------------ ------------</w:t>
      </w:r>
    </w:p>
    <w:p>
      <w:pPr>
        <w:spacing w:after="0" w:line="6" w:lineRule="exact"/>
        <w:rPr>
          <w:sz w:val="20"/>
          <w:szCs w:val="20"/>
          <w:color w:val="auto"/>
        </w:rPr>
      </w:pPr>
    </w:p>
    <w:p>
      <w:pPr>
        <w:sectPr>
          <w:pgSz w:w="11900" w:h="16838" w:orient="portrait"/>
          <w:cols w:equalWidth="0" w:num="2">
            <w:col w:w="2120" w:space="200"/>
            <w:col w:w="8880"/>
          </w:cols>
          <w:pgMar w:left="320" w:top="142" w:right="3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investment income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per common share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3300"/>
        <w:spacing w:after="0" w:line="235" w:lineRule="auto"/>
        <w:rPr>
          <w:sz w:val="20"/>
          <w:szCs w:val="20"/>
          <w:color w:val="auto"/>
        </w:rPr>
      </w:pPr>
      <w:r>
        <w:rPr>
          <w:rFonts w:ascii="Courier New" w:cs="Courier New" w:eastAsia="Courier New" w:hAnsi="Courier New"/>
          <w:sz w:val="18"/>
          <w:szCs w:val="18"/>
          <w:color w:val="auto"/>
        </w:rPr>
        <w:t>$ 0.29 $ 0.31 $ 0.76 $ 0.86 ------------ ------------ ------------ ------------</w:t>
      </w:r>
    </w:p>
    <w:p>
      <w:pPr>
        <w:spacing w:after="0" w:line="200" w:lineRule="exact"/>
        <w:rPr>
          <w:sz w:val="20"/>
          <w:szCs w:val="20"/>
          <w:color w:val="auto"/>
        </w:rPr>
      </w:pPr>
    </w:p>
    <w:p>
      <w:pPr>
        <w:sectPr>
          <w:pgSz w:w="11900" w:h="16838" w:orient="portrait"/>
          <w:cols w:equalWidth="0" w:num="2">
            <w:col w:w="2220" w:space="100"/>
            <w:col w:w="8880"/>
          </w:cols>
          <w:pgMar w:left="320" w:top="142" w:right="379"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4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2020-05-05T12:04:47Z</dcterms:created>
  <dcterms:modified xsi:type="dcterms:W3CDTF">2020-05-05T12:04:47Z</dcterms:modified>
</cp:coreProperties>
</file>