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40126.htm"/>
      <w:bookmarkStart w:id="1" w:name="ksf8k_0401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April 2,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April 2, 2026, PennantPark Floating Rate Capital Ltd.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w:t>
      </w:r>
    </w:p>
    <w:p>
      <w:pPr>
        <w:pStyle w:val="TextBody"/>
        <w:bidi w:val="0"/>
        <w:spacing w:before="0" w:after="0"/>
        <w:jc w:val="left"/>
        <w:rPr/>
      </w:pPr>
      <w:r>
        <w:rPr/>
        <w:t> </w:t>
      </w:r>
    </w:p>
    <w:p>
      <w:pPr>
        <w:pStyle w:val="TextBody"/>
        <w:bidi w:val="0"/>
        <w:spacing w:before="0" w:after="0"/>
        <w:jc w:val="left"/>
        <w:rPr/>
      </w:pPr>
      <w:r>
        <w:rPr>
          <w:rStyle w:val="StrongEmphasis"/>
          <w:sz w:val="20"/>
        </w:rPr>
        <w:t xml:space="preserve">Forward-Looking Statements </w:t>
      </w:r>
    </w:p>
    <w:p>
      <w:pPr>
        <w:pStyle w:val="TextBody"/>
        <w:bidi w:val="0"/>
        <w:spacing w:before="0" w:after="0"/>
        <w:jc w:val="left"/>
        <w:rPr/>
      </w:pPr>
      <w:r>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  </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 xml:space="preserve">(a) Financial statements: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(b) Pro forma financial information: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(c) Shell company transactions: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(d) Exhibits</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April 2,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974" w:type="dxa"/>
        <w:jc w:val="left"/>
        <w:tblInd w:w="0" w:type="dxa"/>
        <w:tblLayout w:type="fixed"/>
        <w:tblCellMar>
          <w:top w:w="0" w:type="dxa"/>
          <w:left w:w="0" w:type="dxa"/>
          <w:bottom w:w="0" w:type="dxa"/>
          <w:right w:w="0" w:type="dxa"/>
        </w:tblCellMar>
      </w:tblPr>
      <w:tblGrid>
        <w:gridCol w:w="1580"/>
        <w:gridCol w:w="383"/>
        <w:gridCol w:w="3011"/>
      </w:tblGrid>
      <w:tr>
        <w:trPr/>
        <w:tc>
          <w:tcPr>
            <w:tcW w:w="158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5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sz w:val="20"/>
              </w:rPr>
            </w:pPr>
            <w:r>
              <w:rPr>
                <w:sz w:val="20"/>
              </w:rPr>
              <w:t>Date: April 2, 2026</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5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5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April 02, 2026 (GLOBE NEWSWIRE) -- PennantPark Floating Rate Capital Ltd. (the "Company") (NYSE: PFLT) declares its monthly distribution for April 2026 of $0.1025 per share, payable on May 1, 2026 to stockholders of record as of April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jc w:val="both"/>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jc w:val="both"/>
        <w:rPr/>
      </w:pPr>
      <w:r>
        <w:rPr/>
        <w:t>ABOUT PENNANTPARK INVESTMENT ADVISERS, LLC</w:t>
      </w:r>
    </w:p>
    <w:p>
      <w:pPr>
        <w:pStyle w:val="TextBody"/>
        <w:bidi w:val="0"/>
        <w:jc w:val="both"/>
        <w:rPr/>
      </w:pPr>
      <w:r>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jc w:val="both"/>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both"/>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1347</Words>
  <Characters>7723</Characters>
  <CharactersWithSpaces>9039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