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724.htm"/>
      <w:bookmarkStart w:id="1" w:name="ksf8k_0807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7,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jc w:val="left"/>
        <w:rPr>
          <w:sz w:val="20"/>
        </w:rPr>
      </w:pPr>
      <w:r>
        <w:rPr>
          <w:sz w:val="20"/>
        </w:rPr>
        <w:t>On August 7, 2024, PennantPark Floating Rate Capital Ltd., or the Company, issued a press release announcing its financial results for the third fiscal quarter ended June 30, 2024. A copy of the press release is furnished as Exhibit 99.1 to this report pursuant to Item 2.02 on Form 8-K and Regulation FD.</w:t>
      </w:r>
    </w:p>
    <w:p>
      <w:pPr>
        <w:pStyle w:val="TextBody"/>
        <w:bidi w:val="0"/>
        <w:jc w:val="left"/>
        <w:rPr>
          <w:sz w:val="20"/>
        </w:rPr>
      </w:pPr>
      <w:r>
        <w:rPr>
          <w:sz w:val="20"/>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jc w:val="left"/>
        <w:rPr>
          <w:sz w:val="20"/>
        </w:rPr>
      </w:pPr>
      <w:r>
        <w:rPr>
          <w:sz w:val="20"/>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August 7,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139" w:type="dxa"/>
        <w:jc w:val="left"/>
        <w:tblInd w:w="0" w:type="dxa"/>
        <w:tblLayout w:type="fixed"/>
        <w:tblCellMar>
          <w:top w:w="0" w:type="dxa"/>
          <w:left w:w="0" w:type="dxa"/>
          <w:bottom w:w="0" w:type="dxa"/>
          <w:right w:w="0" w:type="dxa"/>
        </w:tblCellMar>
      </w:tblPr>
      <w:tblGrid>
        <w:gridCol w:w="1745"/>
        <w:gridCol w:w="383"/>
        <w:gridCol w:w="3011"/>
      </w:tblGrid>
      <w:tr>
        <w:trPr/>
        <w:tc>
          <w:tcPr>
            <w:tcW w:w="174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7, 2024</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Financial Results for the Quarter Ended June 30, 2024</w:t>
      </w:r>
    </w:p>
    <w:p>
      <w:pPr>
        <w:pStyle w:val="TextBody"/>
        <w:bidi w:val="0"/>
        <w:jc w:val="both"/>
        <w:rPr/>
      </w:pPr>
      <w:r>
        <w:rPr/>
        <w:t>MIAMI, Aug. 07, 2024 (GLOBE NEWSWIRE) -- PennantPark Floating Rate Capital Ltd. (NYSE: PFLT) announced today its financial results for the third quarter ended June 30, 2024.</w:t>
      </w:r>
    </w:p>
    <w:tbl>
      <w:tblPr>
        <w:tblW w:w="7567" w:type="dxa"/>
        <w:jc w:val="center"/>
        <w:tblInd w:w="0" w:type="dxa"/>
        <w:tblLayout w:type="fixed"/>
        <w:tblCellMar>
          <w:top w:w="28" w:type="dxa"/>
          <w:left w:w="28" w:type="dxa"/>
          <w:bottom w:w="28" w:type="dxa"/>
          <w:right w:w="28" w:type="dxa"/>
        </w:tblCellMar>
      </w:tblPr>
      <w:tblGrid>
        <w:gridCol w:w="5656"/>
        <w:gridCol w:w="146"/>
        <w:gridCol w:w="146"/>
        <w:gridCol w:w="146"/>
        <w:gridCol w:w="226"/>
        <w:gridCol w:w="826"/>
        <w:gridCol w:w="421"/>
      </w:tblGrid>
      <w:tr>
        <w:trPr/>
        <w:tc>
          <w:tcPr>
            <w:tcW w:w="7567" w:type="dxa"/>
            <w:gridSpan w:val="7"/>
            <w:tcBorders/>
            <w:vAlign w:val="center"/>
          </w:tcPr>
          <w:p>
            <w:pPr>
              <w:pStyle w:val="TableContents"/>
              <w:bidi w:val="0"/>
              <w:spacing w:before="0" w:after="283"/>
              <w:jc w:val="left"/>
              <w:rPr/>
            </w:pPr>
            <w:r>
              <w:rPr>
                <w:rStyle w:val="StrongEmphasis"/>
              </w:rPr>
              <w:t>HIGHLIGHTS</w:t>
            </w:r>
            <w:r>
              <w:rPr/>
              <w:br/>
              <w:t>Quarter ended June 30, 2024 (Unaudited)</w:t>
              <w:br/>
              <w:t>($ in millions, except per share amounts)</w:t>
            </w:r>
          </w:p>
        </w:tc>
      </w:tr>
      <w:tr>
        <w:trPr/>
        <w:tc>
          <w:tcPr>
            <w:tcW w:w="7567" w:type="dxa"/>
            <w:gridSpan w:val="7"/>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Assets and Liabilities: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1,658.9</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816.7</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GAAP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11.34</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Quarterly increase in GAAP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(0.5</w:t>
            </w:r>
          </w:p>
        </w:tc>
        <w:tc>
          <w:tcPr>
            <w:tcW w:w="421" w:type="dxa"/>
            <w:tcBorders/>
            <w:vAlign w:val="center"/>
          </w:tcPr>
          <w:p>
            <w:pPr>
              <w:pStyle w:val="TableContents"/>
              <w:bidi w:val="0"/>
              <w:spacing w:before="0" w:after="283"/>
              <w:jc w:val="left"/>
              <w:rPr/>
            </w:pPr>
            <w:r>
              <w:rPr/>
              <w:t>)%</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Adjusted net asset value per share</w:t>
            </w:r>
            <w:r>
              <w:rPr>
                <w:position w:val="8"/>
                <w:sz w:val="19"/>
              </w:rPr>
              <w:t xml:space="preserve"> (2)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11.34</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Quarterly increase in adjusted net asset value per share </w:t>
            </w:r>
            <w:r>
              <w:rPr>
                <w:position w:val="8"/>
                <w:sz w:val="19"/>
              </w:rPr>
              <w:t>(2)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(0.5</w:t>
            </w:r>
          </w:p>
        </w:tc>
        <w:tc>
          <w:tcPr>
            <w:tcW w:w="421" w:type="dxa"/>
            <w:tcBorders/>
            <w:vAlign w:val="center"/>
          </w:tcPr>
          <w:p>
            <w:pPr>
              <w:pStyle w:val="TableContents"/>
              <w:bidi w:val="0"/>
              <w:spacing w:before="0" w:after="283"/>
              <w:jc w:val="left"/>
              <w:rPr/>
            </w:pPr>
            <w:r>
              <w:rPr/>
              <w:t>)%</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Credit Facility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218.9</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2036 Asset-Backed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284.0</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2031 Asset-Backed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209.9</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2026 Notes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183.6</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Regulatory debt to equity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1.11x</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Weighted average yield on debt investments at quarter-end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12.1</w:t>
            </w:r>
          </w:p>
        </w:tc>
        <w:tc>
          <w:tcPr>
            <w:tcW w:w="421" w:type="dxa"/>
            <w:tcBorders/>
            <w:vAlign w:val="center"/>
          </w:tcPr>
          <w:p>
            <w:pPr>
              <w:pStyle w:val="TableContents"/>
              <w:bidi w:val="0"/>
              <w:spacing w:before="0" w:after="283"/>
              <w:jc w:val="left"/>
              <w:rPr/>
            </w:pPr>
            <w:r>
              <w:rPr/>
              <w:t>%</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Operating Results: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21.2</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 per share (GAAP)</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0.31</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0.31</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0.31</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Portfolio Activity: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320.9</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137.6</w:t>
            </w:r>
          </w:p>
        </w:tc>
        <w:tc>
          <w:tcPr>
            <w:tcW w:w="421"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PSSL Portfolio data: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PSSL investment portfolio</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904.2</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84.5</w:t>
            </w:r>
          </w:p>
        </w:tc>
        <w:tc>
          <w:tcPr>
            <w:tcW w:w="421"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47.0</w:t>
            </w:r>
          </w:p>
        </w:tc>
        <w:tc>
          <w:tcPr>
            <w:tcW w:w="421" w:type="dxa"/>
            <w:tcBorders/>
            <w:vAlign w:val="center"/>
          </w:tcPr>
          <w:p>
            <w:pPr>
              <w:pStyle w:val="TableContents"/>
              <w:bidi w:val="0"/>
              <w:spacing w:before="0" w:after="283"/>
              <w:jc w:val="left"/>
              <w:rPr/>
            </w:pPr>
            <w:r>
              <w:rPr/>
              <w:t> </w:t>
            </w:r>
          </w:p>
        </w:tc>
      </w:tr>
    </w:tbl>
    <w:p>
      <w:pPr>
        <w:pStyle w:val="TextBody"/>
        <w:bidi w:val="0"/>
        <w:jc w:val="both"/>
        <w:rPr/>
      </w:pPr>
      <w:r>
        <w:rPr/>
        <w:t>_______________________</w:t>
      </w:r>
    </w:p>
    <w:tbl>
      <w:tblPr>
        <w:tblW w:w="10205" w:type="dxa"/>
        <w:jc w:val="left"/>
        <w:tblInd w:w="0" w:type="dxa"/>
        <w:tblLayout w:type="fixed"/>
        <w:tblCellMar>
          <w:top w:w="28" w:type="dxa"/>
          <w:left w:w="28" w:type="dxa"/>
          <w:bottom w:w="28" w:type="dxa"/>
          <w:right w:w="28" w:type="dxa"/>
        </w:tblCellMar>
      </w:tblPr>
      <w:tblGrid>
        <w:gridCol w:w="328"/>
        <w:gridCol w:w="9877"/>
      </w:tblGrid>
      <w:tr>
        <w:trPr/>
        <w:tc>
          <w:tcPr>
            <w:tcW w:w="328" w:type="dxa"/>
            <w:tcBorders/>
            <w:vAlign w:val="center"/>
          </w:tcPr>
          <w:p>
            <w:pPr>
              <w:pStyle w:val="TableContents"/>
              <w:bidi w:val="0"/>
              <w:spacing w:before="0" w:after="283"/>
              <w:jc w:val="left"/>
              <w:rPr/>
            </w:pPr>
            <w:r>
              <w:rPr/>
              <w:t>(1)</w:t>
            </w:r>
          </w:p>
        </w:tc>
        <w:tc>
          <w:tcPr>
            <w:tcW w:w="9877" w:type="dxa"/>
            <w:tcBorders/>
            <w:vAlign w:val="center"/>
          </w:tcPr>
          <w:p>
            <w:pPr>
              <w:pStyle w:val="TableContents"/>
              <w:bidi w:val="0"/>
              <w:spacing w:before="0" w:after="283"/>
              <w:jc w:val="left"/>
              <w:rPr/>
            </w:pPr>
            <w:r>
              <w:rPr/>
              <w:t>Includes investments in PennantPark Senior Secured Loan Fund I LLC, or PSSL, an unconsolidated joint venture, totaling $297.0 million, at fair value.</w:t>
            </w:r>
          </w:p>
        </w:tc>
      </w:tr>
      <w:tr>
        <w:trPr/>
        <w:tc>
          <w:tcPr>
            <w:tcW w:w="328" w:type="dxa"/>
            <w:tcBorders/>
            <w:vAlign w:val="center"/>
          </w:tcPr>
          <w:p>
            <w:pPr>
              <w:pStyle w:val="TableContents"/>
              <w:bidi w:val="0"/>
              <w:spacing w:before="0" w:after="283"/>
              <w:jc w:val="left"/>
              <w:rPr/>
            </w:pPr>
            <w:r>
              <w:rPr/>
              <w:t>(2)</w:t>
            </w:r>
          </w:p>
        </w:tc>
        <w:tc>
          <w:tcPr>
            <w:tcW w:w="9877" w:type="dxa"/>
            <w:tcBorders/>
            <w:vAlign w:val="center"/>
          </w:tcPr>
          <w:p>
            <w:pPr>
              <w:pStyle w:val="TableContents"/>
              <w:bidi w:val="0"/>
              <w:spacing w:before="0" w:after="283"/>
              <w:jc w:val="left"/>
              <w:rPr/>
            </w:pPr>
            <w:r>
              <w:rPr/>
              <w:t>This is a non-GAAP financial measure. The Company believes that this number provides useful information to investors and management because it reflects the Company’s financial performance excluding the impact of the unrealized amounts on the Company's multi-currency senior secured revolving credit facility with Truist Bank and the other lenders (the "Credit Facility"). The presentation of this additional information is not meant to be considered in isolation or as a substitute for financial results prepared in accordance with GAAP.</w:t>
            </w:r>
          </w:p>
        </w:tc>
      </w:tr>
      <w:tr>
        <w:trPr/>
        <w:tc>
          <w:tcPr>
            <w:tcW w:w="328" w:type="dxa"/>
            <w:tcBorders/>
            <w:vAlign w:val="center"/>
          </w:tcPr>
          <w:p>
            <w:pPr>
              <w:pStyle w:val="TableContents"/>
              <w:bidi w:val="0"/>
              <w:spacing w:before="0" w:after="283"/>
              <w:jc w:val="left"/>
              <w:rPr/>
            </w:pPr>
            <w:r>
              <w:rPr/>
              <w:t>(3)</w:t>
            </w:r>
          </w:p>
        </w:tc>
        <w:tc>
          <w:tcPr>
            <w:tcW w:w="9877" w:type="dxa"/>
            <w:tcBorders/>
            <w:vAlign w:val="center"/>
          </w:tcPr>
          <w:p>
            <w:pPr>
              <w:pStyle w:val="TableContents"/>
              <w:bidi w:val="0"/>
              <w:spacing w:before="0" w:after="283"/>
              <w:jc w:val="left"/>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2024, there were no one-time events resulting in $0.31 of Core NII.</w:t>
            </w:r>
          </w:p>
        </w:tc>
      </w:tr>
      <w:tr>
        <w:trPr/>
        <w:tc>
          <w:tcPr>
            <w:tcW w:w="328"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CONFERENCE CALL AT 9:00 A.M. ET ON AUGUST 8, 2024</w:t>
      </w:r>
    </w:p>
    <w:p>
      <w:pPr>
        <w:pStyle w:val="TextBody"/>
        <w:bidi w:val="0"/>
        <w:jc w:val="both"/>
        <w:rPr/>
      </w:pPr>
      <w:r>
        <w:rPr/>
        <w:t>The Company will also host a conference call at 9:00 a.m. (Eastern Time) on Thursday August 8, 2024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#5158165 or PennantPark Floating Rate Capital Ltd.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w:t>
      </w:r>
      <w:r>
        <w:rPr/>
        <w:t>We are pleased to have another quarter of solid performance. We are actively investing in this strong vintage of new core middle market loans,” said Art Penn, Chairman and CEO. “We have been proactively growing PFLT's investment capacity in order to best position the company for meaningfully increased income.”</w:t>
      </w:r>
    </w:p>
    <w:p>
      <w:pPr>
        <w:pStyle w:val="TextBody"/>
        <w:bidi w:val="0"/>
        <w:jc w:val="both"/>
        <w:rPr/>
      </w:pPr>
      <w:r>
        <w:rPr/>
        <w:t>As of June 30, 2024, our portfolio totaled $1,658.9 million, and consisted of $1,449.2 million of first lien secured debt (including $237.7 million in PSSL), $1.2 million of second lien secured debt and subordinated debt and $208.6 million of preferred and common equity (including $59.3 million in PSSL). Our debt portfolio consisted of approximately 100% variable-rate investments. As of June 30, 2024, we had three portfolio companies on non-accrual, representing 1.5% and 1.1% of our overall portfolio on a cost and fair value basis, respectively. As of June 30, 2024, the portfolio had net unrealized depreciation of $15.7 million. Our overall portfolio consisted of 151 companies with an average investment size of $11.0 million and had a weighted average yield on debt investments of 12.1%.</w:t>
      </w:r>
    </w:p>
    <w:p>
      <w:pPr>
        <w:pStyle w:val="TextBody"/>
        <w:bidi w:val="0"/>
        <w:jc w:val="both"/>
        <w:rPr/>
      </w:pPr>
      <w:r>
        <w:rPr/>
        <w:t>As of September 30, 2023, our portfolio totaled $1,067.2 million and consisted of $906.2 million of first lien secured debt (including $210.1 million in PSSL), $0.1 million of second lien secured debt and $160.9 million of preferred and common equity (including $50.9 million in PSSL). Our debt portfolio consisted of approximately 100% variable-rate investments. As of September 30, 2023, we had three portfolio companies on non-accrual, representing 0.9% and 0.2% of our overall portfolio on a cost and fair value basis, respectively. As of September 30, 2023, the portfolio had net unrealized depreciation of $25.7 million. Our overall portfolio consisted of 131 companies with an average investment size of $8.1 million, had a weighted average yield on debt investments of 12.6%.</w:t>
      </w:r>
    </w:p>
    <w:p>
      <w:pPr>
        <w:pStyle w:val="TextBody"/>
        <w:bidi w:val="0"/>
        <w:jc w:val="both"/>
        <w:rPr/>
      </w:pPr>
      <w:r>
        <w:rPr/>
        <w:t>For the three months ended June 30, 2024, we invested $320.9 million in nine new and 45 existing portfolio companies at a weighted average yield on debt investments of 11.5%. For the three months ended June 30, 2024, sales and repayments of investments totaled $137.6 million, including $69.1 million of sales to PSSL. For the nine months ended June 30, 2024, we invested $961.8 million in 33 new and 71 existing portfolio companies at a weighted average yield on debt investments of 11.7%. For the nine months ended June 30, 2024, sales and repayments of investments totaled $386.3 million, including $209.0 million of sales to PSSL.</w:t>
      </w:r>
    </w:p>
    <w:p>
      <w:pPr>
        <w:pStyle w:val="TextBody"/>
        <w:bidi w:val="0"/>
        <w:jc w:val="both"/>
        <w:rPr/>
      </w:pPr>
      <w:r>
        <w:rPr>
          <w:rStyle w:val="StrongEmphasis"/>
        </w:rPr>
        <w:t>PennantPark Senior Secured Loan Fund I LLC</w:t>
      </w:r>
    </w:p>
    <w:p>
      <w:pPr>
        <w:pStyle w:val="TextBody"/>
        <w:bidi w:val="0"/>
        <w:jc w:val="both"/>
        <w:rPr/>
      </w:pPr>
      <w:r>
        <w:rPr/>
        <w:t>As of June 30, 2024, PSSL’s portfolio totaled $904.2 million and consisted of 108 companies with an average investment size of $8.4 million and at a weighted average yield on debt investments of 11.9%. As of September 30, 2023, PSSL’s portfolio totaled $785.9 million, consisted of 105 companies with an average investment size of $7.5 million and at a weighted average yield on debt investments of 12.1%.</w:t>
      </w:r>
    </w:p>
    <w:p>
      <w:pPr>
        <w:pStyle w:val="TextBody"/>
        <w:bidi w:val="0"/>
        <w:jc w:val="both"/>
        <w:rPr/>
      </w:pPr>
      <w:r>
        <w:rPr/>
        <w:t>For the three months ended June 30, 2024, PSSL invested $84.5 million (including $69.1 million purchased from the Company) in five new and 11 existing portfolio companies at a weighted average yield on debt investments of 11.6%. Sales and repayments of investments for the three months ended June 30, 2024 totaled $47.0 million. For the nine months ended June 30, 2024, PSSL invested $240.4 million (including $209.0 million purchased from the Company) in 15 new and 20 existing portfolio companies at a weighted average yield on debt investments of 11.8%. Sales and repayments of investments for the nine months ended June 30, 2024 totaled $124.2 million.</w:t>
      </w:r>
    </w:p>
    <w:p>
      <w:pPr>
        <w:pStyle w:val="TextBody"/>
        <w:bidi w:val="0"/>
        <w:jc w:val="both"/>
        <w:rPr/>
      </w:pPr>
      <w:r>
        <w:rPr>
          <w:rStyle w:val="StrongEmphasis"/>
        </w:rPr>
        <w:t xml:space="preserve">RESULTS OF OPERATIONS </w:t>
      </w:r>
    </w:p>
    <w:p>
      <w:pPr>
        <w:pStyle w:val="TextBody"/>
        <w:bidi w:val="0"/>
        <w:spacing w:before="0" w:after="283"/>
        <w:jc w:val="left"/>
        <w:rPr/>
      </w:pPr>
      <w:r>
        <w:rPr/>
        <w:t>Set forth below are the results of operations for the three and nine months ended June 30, 2024 and 2023.</w:t>
      </w:r>
    </w:p>
    <w:p>
      <w:pPr>
        <w:pStyle w:val="TextBody"/>
        <w:bidi w:val="0"/>
        <w:jc w:val="both"/>
        <w:rPr/>
      </w:pPr>
      <w:r>
        <w:rPr>
          <w:rStyle w:val="StrongEmphasis"/>
        </w:rPr>
        <w:t>Investment Income</w:t>
      </w:r>
    </w:p>
    <w:p>
      <w:pPr>
        <w:pStyle w:val="TextBody"/>
        <w:bidi w:val="0"/>
        <w:jc w:val="both"/>
        <w:rPr/>
      </w:pPr>
      <w:r>
        <w:rPr/>
        <w:t>For the three and nine months ended June 30, 2024, investment income was $48.5 million and $130.8 million, respectively, which was attributable to $42.7 million and $114.9 million from first lien secured debt and $5.8 million and $15.9 million from other investments, respectively. For the three and nine months ended June 30, 2023, investment income was $37.7 million and $103.6 million, respectively, which was attributable to $30.4 million and $88.6 million from first lien secured debt and $7.3 million and $15.0 million from other investments, respectively. The increase in investment income compared to the same period in the prior year was primarily due to the increase in the size of our debt portfolio.</w:t>
      </w:r>
    </w:p>
    <w:p>
      <w:pPr>
        <w:pStyle w:val="TextBody"/>
        <w:bidi w:val="0"/>
        <w:jc w:val="both"/>
        <w:rPr/>
      </w:pPr>
      <w:r>
        <w:rPr>
          <w:rStyle w:val="StrongEmphasis"/>
        </w:rPr>
        <w:t>Expenses</w:t>
      </w:r>
    </w:p>
    <w:p>
      <w:pPr>
        <w:pStyle w:val="TextBody"/>
        <w:bidi w:val="0"/>
        <w:jc w:val="both"/>
        <w:rPr/>
      </w:pPr>
      <w:r>
        <w:rPr/>
        <w:t>For the three and nine months ended June 30, 2024, expenses totaled $27.3 million and $71.1 million, respectively and were comprised of: $16.3 million and $39.9 million of debt related interest and expenses, $3.9 million and $10.3 million of base management fees, $5.3 million and $14.9 million of performance-based incentive fees, $1.5 million and $5.0 million of general and administrative expenses, $0.2 million and $0.9 million of taxes, and $0.1 million and $0.1 million of Credit Facility amendment costs. For the three and nine months ended June 30, 2023, expenses totaled $19.2 million and $54.6 million, respectively and were comprised of; $10.0 million and $29.6 million of debt related interest and expenses, $2.8 million and $8.6 million of base management fee, $4.6 million and $12.2 million of performance-based incentive fee, $1.6 million and $3.3 million of general and administrative expenses and $0.2 million and $0.8 million of taxes. The increase in expenses compared to the same period in the prior year was primarily due to the increase in  interest expense from increased borrowings and an increase in base management fees as a result of the increase in our investment portfolio.</w:t>
      </w:r>
    </w:p>
    <w:p>
      <w:pPr>
        <w:pStyle w:val="TextBody"/>
        <w:bidi w:val="0"/>
        <w:jc w:val="both"/>
        <w:rPr/>
      </w:pPr>
      <w:r>
        <w:rPr>
          <w:rStyle w:val="StrongEmphasis"/>
        </w:rPr>
        <w:t>Net Investment Income</w:t>
      </w:r>
    </w:p>
    <w:p>
      <w:pPr>
        <w:pStyle w:val="TextBody"/>
        <w:bidi w:val="0"/>
        <w:jc w:val="both"/>
        <w:rPr/>
      </w:pPr>
      <w:r>
        <w:rPr/>
        <w:t>For the three and nine months ended June 30, 2024, net investment income totaled $21.2 million or $0.31 per share, and $59.7 million or $0.95 per share, respectively. For the three and nine months ended June 30, 2023, net investment income totaled $18.5 million or $0.36 per share, and $49.0 million or $1.02 per share, respectively. The increase in net investment income was primarily due to an increase in investment income partially offset by an increase in expenses compared to the same period in the prior year.</w:t>
      </w:r>
    </w:p>
    <w:p>
      <w:pPr>
        <w:pStyle w:val="TextBody"/>
        <w:bidi w:val="0"/>
        <w:jc w:val="both"/>
        <w:rPr/>
      </w:pPr>
      <w:r>
        <w:rPr>
          <w:rStyle w:val="StrongEmphasis"/>
        </w:rPr>
        <w:t>Net Realized Gains or Losses</w:t>
      </w:r>
    </w:p>
    <w:p>
      <w:pPr>
        <w:pStyle w:val="TextBody"/>
        <w:bidi w:val="0"/>
        <w:jc w:val="both"/>
        <w:rPr/>
      </w:pPr>
      <w:r>
        <w:rPr/>
        <w:t>For the three and nine months ended June 30, 2024, net realized gains (losses) totaled $(0.4) million and $0.6 million, respectively. For the three and nine months ended June 30, 2023, net realized (losses) totaled $(6.1) million and $(13.8) million, respectively. The change in net realized gains (losses) compared to the same period in the prior year was primarily due to changes in the market conditions of our investments and the values at which they were realized.</w:t>
      </w:r>
    </w:p>
    <w:p>
      <w:pPr>
        <w:pStyle w:val="TextBody"/>
        <w:bidi w:val="0"/>
        <w:spacing w:before="0" w:after="283"/>
        <w:jc w:val="left"/>
        <w:rPr/>
      </w:pPr>
      <w:r>
        <w:rPr>
          <w:rStyle w:val="StrongEmphasis"/>
        </w:rPr>
        <w:t>Unrealized Appreciation or Depreciation on Investments and Debt</w:t>
      </w:r>
    </w:p>
    <w:p>
      <w:pPr>
        <w:pStyle w:val="TextBody"/>
        <w:bidi w:val="0"/>
        <w:jc w:val="both"/>
        <w:rPr/>
      </w:pPr>
      <w:r>
        <w:rPr/>
        <w:t>For the three and nine months ended June 30, 2024, we reported net change in unrealized appreciation (depreciation) on investments of $(4.0) million and $10.0 million, respectively. For the three and nine months ended June 30, 2023, we reported net change in unrealized appreciation (depreciation) on investments of $(1.1) million and $(22.0) million, respectively. As of June 30, 2024 and September 30, 2023, our net unrealized appreciation (depreciation) on investments totaled $(15.7) million and $(25.7) million, respectively. The net change in unrealized appreciation (depreciation) on our investments compared to the same period in the prior year was primarily due to the operating performance of the portfolio companies within our portfolio and changes in the capital market conditions of our investments.</w:t>
      </w:r>
    </w:p>
    <w:p>
      <w:pPr>
        <w:pStyle w:val="TextBody"/>
        <w:bidi w:val="0"/>
        <w:jc w:val="both"/>
        <w:rPr/>
      </w:pPr>
      <w:r>
        <w:rPr/>
        <w:t>For the three and nine months ended June 30, 2024, our Credit Facility had a net change in unrealized appreciation (depreciation) of less than $0.1 million and less than $(0.1) million, respectively. For the three and nine months ended June 30, 2023, our Credit Facility and the 2023 Notes had a net change in unrealized appreciation (depreciation) of $(5.8) million and $(4.8) million, respectively. As of June 30, 2024 and September 30, 2023, the net unrealized appreciation (depreciation) on the Credit Facility and the 2023 Notes totaled less than $0.1 million and zero, respectively. The net change in net unrealized appreciation or (depreciation) compared to the same period in the prior year was primarily due to changes in the capital markets. </w:t>
      </w:r>
    </w:p>
    <w:p>
      <w:pPr>
        <w:pStyle w:val="TextBody"/>
        <w:bidi w:val="0"/>
        <w:spacing w:before="0" w:after="283"/>
        <w:jc w:val="left"/>
        <w:rPr/>
      </w:pPr>
      <w:r>
        <w:rPr>
          <w:rStyle w:val="StrongEmphasis"/>
        </w:rPr>
        <w:t>Net Change in Net Assets Resulting from Operations</w:t>
      </w:r>
    </w:p>
    <w:p>
      <w:pPr>
        <w:pStyle w:val="TextBody"/>
        <w:bidi w:val="0"/>
        <w:jc w:val="both"/>
        <w:rPr/>
      </w:pPr>
      <w:r>
        <w:rPr/>
        <w:t>For the three and nine months ended June 30, 2024, net increase (decrease) in net assets resulting from operations totaled $16.9 million or $0.25 per share, and $70.5 million or $1.12 per share, respectively. For the three and nine months ended June 30, 2023, net increase (decrease) in net assets resulting from operations totaled $5.6 million or $0.11 per share and $11.2 million or $0.23 per share, respectively. The net increase or (decrease)  from operations compared to the same period in the prior year was primarily due to operating performance of our portfolio and changes in capital market conditions of our investments along with change in size and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pStyle w:val="TextBody"/>
        <w:bidi w:val="0"/>
        <w:jc w:val="both"/>
        <w:rPr/>
      </w:pPr>
      <w:r>
        <w:rPr/>
        <w:t>As of June 30, 2024 and September 30, 2023, we had $218.9 million and $9.4 million in outstanding borrowings under the Credit Facility, respectively, and the weighted average interest rate was 7.7% and 7.7%, respectively. As of June 30, 2024 and September 30, 2023, we had $392.1 million and $376.6 million of unused borrowing capacity under the Credit Facility, as applicable, respectively, subject to leverage and borrowing base restrictions.</w:t>
      </w:r>
    </w:p>
    <w:p>
      <w:pPr>
        <w:pStyle w:val="TextBody"/>
        <w:bidi w:val="0"/>
        <w:jc w:val="both"/>
        <w:rPr/>
      </w:pPr>
      <w:r>
        <w:rPr/>
        <w:t>As of June 30, 2024 and September 30, 2023, we had cash equivalents of $84.6 million and $100.6 million, respectively, available for investing and general corporate purposes. We believe our liquidity and capital resources are sufficient to allow us to efficiently operate the business.</w:t>
      </w:r>
    </w:p>
    <w:p>
      <w:pPr>
        <w:pStyle w:val="TextBody"/>
        <w:bidi w:val="0"/>
        <w:jc w:val="both"/>
        <w:rPr/>
      </w:pPr>
      <w:r>
        <w:rPr/>
        <w:t>For the nine months ended June 30, 2024, our operating activities used cash of $509.6 million and our financing activities provided cash of $493.7 million. Our operating activities used cash primarily due to our investment activities and our financing activities provided cash primarily due to borrowings under our Credit Facility, proceeds from public offerings under our ATM program and proceeds from the 2036 Asset-Backed Debt partially offset by the repayment of the 2023 Notes.</w:t>
      </w:r>
    </w:p>
    <w:p>
      <w:pPr>
        <w:pStyle w:val="TextBody"/>
        <w:bidi w:val="0"/>
        <w:jc w:val="both"/>
        <w:rPr/>
      </w:pPr>
      <w:r>
        <w:rPr/>
        <w:t>For the nine months ended June 30, 2023, our operating activities provided cash of $62.4 million and our financing activities used cash of $54.2 million. Our operating activities provided cash primarily realized from our investment activities and our financing activities used cash primarily due to repayments under our Credit Facility and principal repayment of our 2023 Notes partially offset by proceeds from our equity offering.</w:t>
      </w:r>
    </w:p>
    <w:p>
      <w:pPr>
        <w:pStyle w:val="TextBody"/>
        <w:bidi w:val="0"/>
        <w:jc w:val="both"/>
        <w:rPr/>
      </w:pPr>
      <w:r>
        <w:rPr>
          <w:rStyle w:val="StrongEmphasis"/>
        </w:rPr>
        <w:t>DISTRIBUTIONS</w:t>
      </w:r>
    </w:p>
    <w:p>
      <w:pPr>
        <w:pStyle w:val="TextBody"/>
        <w:bidi w:val="0"/>
        <w:jc w:val="both"/>
        <w:rPr/>
      </w:pPr>
      <w:r>
        <w:rPr/>
        <w:t>During the three and nine months ended June 30, 2024, we declared distributions of $0.3075 and $0.9225 per share for total distributions of $21.0 million and $57.9 million, respectively. During the three and nine months ended June 30, 2023, we declared distributions of $0.3025 and $0.8775 per share for total distributions of $15.4 million and $42.4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jc w:val="both"/>
        <w:rPr/>
      </w:pPr>
      <w:r>
        <w:rPr/>
        <w:t>On July 25, 2024, we completed the refinancing of the 2031 Asset-Backed Debt from a $301 million to $351 million debt securitization in the form of a collateralized loan obligation. We retained $85.0 million of the securitization in the form of Class D-R Notes and Subordinate Notes through a consolidated subsidiary.</w:t>
      </w:r>
    </w:p>
    <w:p>
      <w:pPr>
        <w:pStyle w:val="TextBody"/>
        <w:bidi w:val="0"/>
        <w:jc w:val="both"/>
        <w:rPr/>
      </w:pPr>
      <w:r>
        <w:rPr/>
        <w:t>For the period subsequent to June 30, 2024 through August 2, 2024, we invested $116.4 million in portfolio companies.</w:t>
      </w:r>
    </w:p>
    <w:p>
      <w:pPr>
        <w:pStyle w:val="TextBody"/>
        <w:bidi w:val="0"/>
        <w:jc w:val="both"/>
        <w:rPr/>
      </w:pPr>
      <w:r>
        <w:rPr>
          <w:rStyle w:val="StrongEmphasis"/>
        </w:rPr>
        <w:t xml:space="preserve">AVAILABLE INFORMATION </w:t>
      </w:r>
    </w:p>
    <w:p>
      <w:pPr>
        <w:pStyle w:val="TextBody"/>
        <w:bidi w:val="0"/>
        <w:jc w:val="both"/>
        <w:rPr/>
      </w:pPr>
      <w:r>
        <w:rPr/>
        <w:t xml:space="preserve">The Company makes available on its website its Quarterly Report on Form 10-Q filed with the SEC, and stockholders may find such report on its website at </w:t>
      </w:r>
      <w:r>
        <w:rPr>
          <w:u w:val="single"/>
        </w:rPr>
        <w:t>www.pennantpark.com</w:t>
      </w:r>
      <w:r>
        <w:rPr/>
        <w:t>.</w:t>
      </w:r>
    </w:p>
    <w:tbl>
      <w:tblPr>
        <w:tblW w:w="10205" w:type="dxa"/>
        <w:jc w:val="center"/>
        <w:tblInd w:w="0" w:type="dxa"/>
        <w:tblLayout w:type="fixed"/>
        <w:tblCellMar>
          <w:top w:w="28" w:type="dxa"/>
          <w:left w:w="28" w:type="dxa"/>
          <w:bottom w:w="28" w:type="dxa"/>
          <w:right w:w="28" w:type="dxa"/>
        </w:tblCellMar>
      </w:tblPr>
      <w:tblGrid>
        <w:gridCol w:w="6328"/>
        <w:gridCol w:w="146"/>
        <w:gridCol w:w="247"/>
        <w:gridCol w:w="1166"/>
        <w:gridCol w:w="181"/>
        <w:gridCol w:w="146"/>
        <w:gridCol w:w="308"/>
        <w:gridCol w:w="1455"/>
        <w:gridCol w:w="228"/>
      </w:tblGrid>
      <w:tr>
        <w:trPr/>
        <w:tc>
          <w:tcPr>
            <w:tcW w:w="10205" w:type="dxa"/>
            <w:gridSpan w:val="9"/>
            <w:tcBorders/>
            <w:vAlign w:val="center"/>
          </w:tcPr>
          <w:p>
            <w:pPr>
              <w:pStyle w:val="TableContents"/>
              <w:bidi w:val="0"/>
              <w:spacing w:before="0" w:after="283"/>
              <w:jc w:val="center"/>
              <w:rPr/>
            </w:pPr>
            <w:r>
              <w:rPr>
                <w:rStyle w:val="StrongEmphasis"/>
              </w:rPr>
              <w:t>PENNANTPARK FLOATING RATE CAPITAL LTD. AND SUBSIDIARIES</w:t>
              <w:br/>
              <w:t>CONSOLIDATED STATEMENTS OF ASSETS AND LIABILITIES</w:t>
              <w:br/>
              <w:t>(in thousands, except per share data)</w:t>
              <w:br/>
              <w:t>(Unaudited)</w:t>
            </w:r>
          </w:p>
        </w:tc>
      </w:tr>
      <w:tr>
        <w:trPr/>
        <w:tc>
          <w:tcPr>
            <w:tcW w:w="10205" w:type="dxa"/>
            <w:gridSpan w:val="9"/>
            <w:tcBorders/>
            <w:vAlign w:val="center"/>
          </w:tcPr>
          <w:p>
            <w:pPr>
              <w:pStyle w:val="TableContents"/>
              <w:bidi w:val="0"/>
              <w:spacing w:before="0" w:after="283"/>
              <w:jc w:val="center"/>
              <w:rPr/>
            </w:pPr>
            <w:r>
              <w:rPr/>
              <w:t> </w:t>
            </w:r>
          </w:p>
        </w:tc>
      </w:tr>
      <w:tr>
        <w:trPr/>
        <w:tc>
          <w:tcPr>
            <w:tcW w:w="632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1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2024</w:t>
            </w:r>
            <w:r>
              <w:rPr/>
              <w:br/>
            </w: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6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2023</w:t>
            </w:r>
          </w:p>
        </w:tc>
        <w:tc>
          <w:tcPr>
            <w:tcW w:w="228" w:type="dxa"/>
            <w:tcBorders/>
            <w:vAlign w:val="center"/>
          </w:tcPr>
          <w:p>
            <w:pPr>
              <w:pStyle w:val="TableContents"/>
              <w:bidi w:val="0"/>
              <w:spacing w:before="0" w:after="283"/>
              <w:jc w:val="center"/>
              <w:rPr/>
            </w:pPr>
            <w:r>
              <w:rPr/>
              <w:t> </w:t>
            </w:r>
          </w:p>
        </w:tc>
      </w:tr>
      <w:tr>
        <w:trPr/>
        <w:tc>
          <w:tcPr>
            <w:tcW w:w="6328"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41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6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28"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left"/>
              <w:rPr/>
            </w:pPr>
            <w:r>
              <w:rPr/>
              <w:t> </w:t>
            </w:r>
          </w:p>
        </w:tc>
        <w:tc>
          <w:tcPr>
            <w:tcW w:w="1413"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63"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28"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 $1,303,071 and $768,240, respectively)</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1,314,452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55" w:type="dxa"/>
            <w:tcBorders/>
            <w:vAlign w:val="center"/>
          </w:tcPr>
          <w:p>
            <w:pPr>
              <w:pStyle w:val="TableContents"/>
              <w:bidi w:val="0"/>
              <w:spacing w:before="0" w:after="283"/>
              <w:jc w:val="right"/>
              <w:rPr/>
            </w:pPr>
            <w:r>
              <w:rPr/>
              <w:t>772,178</w:t>
            </w:r>
          </w:p>
        </w:tc>
        <w:tc>
          <w:tcPr>
            <w:tcW w:w="228" w:type="dxa"/>
            <w:tcBorders/>
            <w:vAlign w:val="center"/>
          </w:tcPr>
          <w:p>
            <w:pPr>
              <w:pStyle w:val="TableContents"/>
              <w:bidi w:val="0"/>
              <w:spacing w:before="0" w:after="283"/>
              <w:jc w:val="left"/>
              <w:rPr/>
            </w:pPr>
            <w:r>
              <w:rPr/>
              <w:t> </w:t>
            </w:r>
          </w:p>
        </w:tc>
      </w:tr>
      <w:tr>
        <w:trPr/>
        <w:tc>
          <w:tcPr>
            <w:tcW w:w="6328"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 $371,613 and $324,639, respectively)</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344,492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294,996</w:t>
            </w:r>
          </w:p>
        </w:tc>
        <w:tc>
          <w:tcPr>
            <w:tcW w:w="228" w:type="dxa"/>
            <w:tcBorders/>
            <w:vAlign w:val="center"/>
          </w:tcPr>
          <w:p>
            <w:pPr>
              <w:pStyle w:val="TableContents"/>
              <w:bidi w:val="0"/>
              <w:spacing w:before="0" w:after="283"/>
              <w:jc w:val="left"/>
              <w:rPr/>
            </w:pPr>
            <w:r>
              <w:rPr/>
              <w:t> </w:t>
            </w:r>
          </w:p>
        </w:tc>
      </w:tr>
      <w:tr>
        <w:trPr/>
        <w:tc>
          <w:tcPr>
            <w:tcW w:w="6328" w:type="dxa"/>
            <w:tcBorders/>
            <w:tcMar>
              <w:top w:w="0" w:type="dxa"/>
              <w:left w:w="0" w:type="dxa"/>
              <w:bottom w:w="0" w:type="dxa"/>
              <w:right w:w="0" w:type="dxa"/>
            </w:tcMar>
            <w:vAlign w:val="center"/>
          </w:tcPr>
          <w:p>
            <w:pPr>
              <w:pStyle w:val="TableContents"/>
              <w:bidi w:val="0"/>
              <w:spacing w:before="0" w:after="283"/>
              <w:jc w:val="left"/>
              <w:rPr/>
            </w:pPr>
            <w:r>
              <w:rPr/>
              <w:t>Total investments (amortized cost— $1,674,684 and $1,092,878, respectively)</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1,658,944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1,067,174</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Cash and cash equivalents (cost— $84,589 and $100,555, respectively)</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84,590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100,555</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12,510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10,423</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Distributions receivable</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565</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Due from affiliate</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894</w:t>
            </w:r>
          </w:p>
        </w:tc>
        <w:tc>
          <w:tcPr>
            <w:tcW w:w="228" w:type="dxa"/>
            <w:tcBorders/>
            <w:vAlign w:val="center"/>
          </w:tcPr>
          <w:p>
            <w:pPr>
              <w:pStyle w:val="TableContents"/>
              <w:bidi w:val="0"/>
              <w:spacing w:before="0" w:after="283"/>
              <w:jc w:val="left"/>
              <w:rPr/>
            </w:pPr>
            <w:r>
              <w:rPr/>
              <w:t> </w:t>
            </w:r>
          </w:p>
        </w:tc>
      </w:tr>
      <w:tr>
        <w:trPr/>
        <w:tc>
          <w:tcPr>
            <w:tcW w:w="632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1,756,896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1,179,611</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left"/>
              <w:rPr/>
            </w:pPr>
            <w:r>
              <w:rPr/>
              <w:t> </w:t>
            </w:r>
          </w:p>
        </w:tc>
        <w:tc>
          <w:tcPr>
            <w:tcW w:w="141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6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28" w:type="dxa"/>
            <w:tcBorders/>
            <w:vAlign w:val="center"/>
          </w:tcPr>
          <w:p>
            <w:pPr>
              <w:pStyle w:val="TableContents"/>
              <w:bidi w:val="0"/>
              <w:spacing w:before="0" w:after="283"/>
              <w:jc w:val="left"/>
              <w:rPr/>
            </w:pPr>
            <w:r>
              <w:rPr/>
              <w:t>Credit Facility payable, at fair value (cost— $218,855 and $9,400, respectively)</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218,862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9,400</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2036 Asset-Backed Debt, net (par—$287,000)</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283,951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2031 Asset-Backed Debt, net (par—$210,699 and $228,000, respectively)</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209,931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226,759</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2026 Notes payable, net (par—$185,000)</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183,637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183,054</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15,119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8,615</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7,380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6,020</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Payable for investments purchased</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9,201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4,905</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5,307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4,628</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3,908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2,759</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Deferred tax liability</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1,564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1,794</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1,310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1,287</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Due to affiliates</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566</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2023 Notes payable, at fair value (par—$0 and $76,219, respectively)</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76,219</w:t>
            </w:r>
          </w:p>
        </w:tc>
        <w:tc>
          <w:tcPr>
            <w:tcW w:w="228" w:type="dxa"/>
            <w:tcBorders/>
            <w:vAlign w:val="center"/>
          </w:tcPr>
          <w:p>
            <w:pPr>
              <w:pStyle w:val="TableContents"/>
              <w:bidi w:val="0"/>
              <w:spacing w:before="0" w:after="283"/>
              <w:jc w:val="left"/>
              <w:rPr/>
            </w:pPr>
            <w:r>
              <w:rPr/>
              <w:t> </w:t>
            </w:r>
          </w:p>
        </w:tc>
      </w:tr>
      <w:tr>
        <w:trPr/>
        <w:tc>
          <w:tcPr>
            <w:tcW w:w="632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940,170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526,006</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6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28"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left"/>
              <w:rPr/>
            </w:pPr>
            <w:r>
              <w:rPr/>
              <w:t> </w:t>
            </w:r>
          </w:p>
        </w:tc>
        <w:tc>
          <w:tcPr>
            <w:tcW w:w="1413"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63"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28" w:type="dxa"/>
            <w:tcBorders/>
            <w:vAlign w:val="center"/>
          </w:tcPr>
          <w:p>
            <w:pPr>
              <w:pStyle w:val="TableContents"/>
              <w:bidi w:val="0"/>
              <w:spacing w:before="0" w:after="283"/>
              <w:jc w:val="left"/>
              <w:rPr/>
            </w:pPr>
            <w:r>
              <w:rPr/>
              <w:t>Common stock, 71,998,138 and 58,734,702 shares issued and outstanding, respectively</w:t>
              <w:br/>
              <w:t>Par value $0.001 per share and 100,000,000 shares authorized</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59</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915,684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right"/>
              <w:rPr/>
            </w:pPr>
            <w:r>
              <w:rPr/>
              <w:t>765,187</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(99,030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(111,641</w:t>
            </w:r>
          </w:p>
        </w:tc>
        <w:tc>
          <w:tcPr>
            <w:tcW w:w="228" w:type="dxa"/>
            <w:tcBorders/>
            <w:vAlign w:val="center"/>
          </w:tcPr>
          <w:p>
            <w:pPr>
              <w:pStyle w:val="TableContents"/>
              <w:bidi w:val="0"/>
              <w:spacing w:before="0" w:after="283"/>
              <w:jc w:val="left"/>
              <w:rPr/>
            </w:pPr>
            <w:r>
              <w:rPr/>
              <w:t>)</w:t>
            </w:r>
          </w:p>
        </w:tc>
      </w:tr>
      <w:tr>
        <w:trPr/>
        <w:tc>
          <w:tcPr>
            <w:tcW w:w="632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1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816,726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653,605</w:t>
            </w:r>
          </w:p>
        </w:tc>
        <w:tc>
          <w:tcPr>
            <w:tcW w:w="228" w:type="dxa"/>
            <w:tcBorders/>
            <w:vAlign w:val="center"/>
          </w:tcPr>
          <w:p>
            <w:pPr>
              <w:pStyle w:val="TableContents"/>
              <w:bidi w:val="0"/>
              <w:spacing w:before="0" w:after="283"/>
              <w:jc w:val="left"/>
              <w:rPr/>
            </w:pPr>
            <w:r>
              <w:rPr/>
              <w:t> </w:t>
            </w:r>
          </w:p>
        </w:tc>
      </w:tr>
      <w:tr>
        <w:trPr/>
        <w:tc>
          <w:tcPr>
            <w:tcW w:w="632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1,756,896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1,179,611</w:t>
            </w:r>
          </w:p>
        </w:tc>
        <w:tc>
          <w:tcPr>
            <w:tcW w:w="228" w:type="dxa"/>
            <w:tcBorders/>
            <w:vAlign w:val="center"/>
          </w:tcPr>
          <w:p>
            <w:pPr>
              <w:pStyle w:val="TableContents"/>
              <w:bidi w:val="0"/>
              <w:spacing w:before="0" w:after="283"/>
              <w:jc w:val="left"/>
              <w:rPr/>
            </w:pPr>
            <w:r>
              <w:rPr/>
              <w:t> </w:t>
            </w:r>
          </w:p>
        </w:tc>
      </w:tr>
      <w:tr>
        <w:trPr/>
        <w:tc>
          <w:tcPr>
            <w:tcW w:w="6328"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5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11.13</w:t>
            </w:r>
          </w:p>
        </w:tc>
        <w:tc>
          <w:tcPr>
            <w:tcW w:w="228"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108"/>
        <w:gridCol w:w="146"/>
        <w:gridCol w:w="252"/>
        <w:gridCol w:w="856"/>
        <w:gridCol w:w="202"/>
        <w:gridCol w:w="163"/>
        <w:gridCol w:w="252"/>
        <w:gridCol w:w="940"/>
        <w:gridCol w:w="181"/>
        <w:gridCol w:w="146"/>
        <w:gridCol w:w="241"/>
        <w:gridCol w:w="948"/>
        <w:gridCol w:w="193"/>
        <w:gridCol w:w="156"/>
        <w:gridCol w:w="241"/>
        <w:gridCol w:w="948"/>
        <w:gridCol w:w="232"/>
      </w:tblGrid>
      <w:tr>
        <w:trPr/>
        <w:tc>
          <w:tcPr>
            <w:tcW w:w="10205" w:type="dxa"/>
            <w:gridSpan w:val="17"/>
            <w:tcBorders/>
            <w:vAlign w:val="center"/>
          </w:tcPr>
          <w:p>
            <w:pPr>
              <w:pStyle w:val="TableContents"/>
              <w:bidi w:val="0"/>
              <w:spacing w:before="0" w:after="283"/>
              <w:jc w:val="center"/>
              <w:rPr/>
            </w:pPr>
            <w:r>
              <w:rPr>
                <w:rStyle w:val="StrongEmphasis"/>
              </w:rPr>
              <w:t>PENNANTPARK FLOATING RATE CAPITAL LTD. AND SUBSIDIARIES</w:t>
            </w:r>
            <w:r>
              <w:rPr/>
              <w:br/>
            </w:r>
            <w:r>
              <w:rPr>
                <w:rStyle w:val="StrongEmphasis"/>
              </w:rPr>
              <w:t>CONSOLIDATED STATEMENTS OF OPERATIONS</w:t>
            </w:r>
            <w:r>
              <w:rPr/>
              <w:br/>
            </w:r>
            <w:r>
              <w:rPr>
                <w:rStyle w:val="StrongEmphasis"/>
              </w:rPr>
              <w:t>(in thousands, except per share data)</w:t>
            </w:r>
            <w:r>
              <w:rPr/>
              <w:br/>
            </w:r>
            <w:r>
              <w:rPr>
                <w:rStyle w:val="StrongEmphasis"/>
              </w:rPr>
              <w:t>(Unaudited)</w:t>
            </w:r>
          </w:p>
        </w:tc>
      </w:tr>
      <w:tr>
        <w:trPr/>
        <w:tc>
          <w:tcPr>
            <w:tcW w:w="10205" w:type="dxa"/>
            <w:gridSpan w:val="17"/>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727"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June 30,</w:t>
            </w:r>
          </w:p>
        </w:tc>
        <w:tc>
          <w:tcPr>
            <w:tcW w:w="232" w:type="dxa"/>
            <w:tcBorders/>
            <w:vAlign w:val="center"/>
          </w:tcPr>
          <w:p>
            <w:pPr>
              <w:pStyle w:val="TableContents"/>
              <w:bidi w:val="0"/>
              <w:spacing w:before="0" w:after="283"/>
              <w:jc w:val="center"/>
              <w:rPr/>
            </w:pPr>
            <w:r>
              <w:rPr/>
              <w:t> </w:t>
            </w:r>
          </w:p>
        </w:tc>
      </w:tr>
      <w:tr>
        <w:trPr/>
        <w:tc>
          <w:tcPr>
            <w:tcW w:w="41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8"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202" w:type="dxa"/>
            <w:tcBorders/>
            <w:vAlign w:val="center"/>
          </w:tcPr>
          <w:p>
            <w:pPr>
              <w:pStyle w:val="TableContents"/>
              <w:bidi w:val="0"/>
              <w:spacing w:before="0" w:after="283"/>
              <w:jc w:val="center"/>
              <w:rPr/>
            </w:pPr>
            <w:r>
              <w:rPr/>
              <w:t> </w:t>
            </w:r>
          </w:p>
        </w:tc>
        <w:tc>
          <w:tcPr>
            <w:tcW w:w="16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193" w:type="dxa"/>
            <w:tcBorders/>
            <w:vAlign w:val="center"/>
          </w:tcPr>
          <w:p>
            <w:pPr>
              <w:pStyle w:val="TableContents"/>
              <w:bidi w:val="0"/>
              <w:spacing w:before="0" w:after="283"/>
              <w:jc w:val="center"/>
              <w:rPr/>
            </w:pPr>
            <w:r>
              <w:rPr/>
              <w:t> </w:t>
            </w:r>
          </w:p>
        </w:tc>
        <w:tc>
          <w:tcPr>
            <w:tcW w:w="15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232" w:type="dxa"/>
            <w:tcBorders/>
            <w:vAlign w:val="center"/>
          </w:tcPr>
          <w:p>
            <w:pPr>
              <w:pStyle w:val="TableContents"/>
              <w:bidi w:val="0"/>
              <w:spacing w:before="0" w:after="283"/>
              <w:jc w:val="center"/>
              <w:rPr/>
            </w:pPr>
            <w:r>
              <w:rPr/>
              <w:t> </w:t>
            </w:r>
          </w:p>
        </w:tc>
      </w:tr>
      <w:tr>
        <w:trPr/>
        <w:tc>
          <w:tcPr>
            <w:tcW w:w="4108"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left"/>
              <w:rPr/>
            </w:pPr>
            <w:r>
              <w:rPr/>
              <w:t> </w:t>
            </w:r>
          </w:p>
        </w:tc>
        <w:tc>
          <w:tcPr>
            <w:tcW w:w="1108"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1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8"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34,456</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21,988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88,693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65,440</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768</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4,390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1,853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5,602</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591</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734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3,622</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1,460</w:t>
            </w:r>
          </w:p>
        </w:tc>
        <w:tc>
          <w:tcPr>
            <w:tcW w:w="232"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8,841</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8,151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25,595</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22,701</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3,719</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10,938</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8,400</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130</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130</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48,505</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37,713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130,831</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103,603</w:t>
            </w:r>
          </w:p>
        </w:tc>
        <w:tc>
          <w:tcPr>
            <w:tcW w:w="232"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left"/>
              <w:rPr/>
            </w:pPr>
            <w:r>
              <w:rPr/>
              <w:t> </w:t>
            </w:r>
          </w:p>
        </w:tc>
        <w:tc>
          <w:tcPr>
            <w:tcW w:w="110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1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16,293</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9,985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39,923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29,595</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Performance-based incentive fee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5,307</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4,625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14,937</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12,245</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3,908</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2,840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10,283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8,643</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1,050</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1,134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3,293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2,545</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1,661</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764</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provision for taxes and financing costs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27,008</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19,061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70,097</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53,792</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193</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894</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834</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Credit Facility amendment costs</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27,295</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71,085</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54,626</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21,210</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59,746</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48,977</w:t>
            </w:r>
          </w:p>
        </w:tc>
        <w:tc>
          <w:tcPr>
            <w:tcW w:w="232"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left"/>
              <w:rPr/>
            </w:pPr>
            <w:r>
              <w:rPr/>
              <w:t> </w:t>
            </w:r>
          </w:p>
        </w:tc>
        <w:tc>
          <w:tcPr>
            <w:tcW w:w="110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1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8" w:type="dxa"/>
            <w:tcBorders/>
            <w:vAlign w:val="center"/>
          </w:tcPr>
          <w:p>
            <w:pPr>
              <w:pStyle w:val="TableContents"/>
              <w:bidi w:val="0"/>
              <w:spacing w:before="0" w:after="283"/>
              <w:jc w:val="left"/>
              <w:rPr/>
            </w:pPr>
            <w:r>
              <w:rPr/>
              <w:t>Net realized gain (loss) on:</w:t>
            </w:r>
          </w:p>
        </w:tc>
        <w:tc>
          <w:tcPr>
            <w:tcW w:w="146"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(353</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(6,065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568</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(13,520</w:t>
            </w:r>
          </w:p>
        </w:tc>
        <w:tc>
          <w:tcPr>
            <w:tcW w:w="232" w:type="dxa"/>
            <w:tcBorders/>
            <w:vAlign w:val="center"/>
          </w:tcPr>
          <w:p>
            <w:pPr>
              <w:pStyle w:val="TableContents"/>
              <w:bidi w:val="0"/>
              <w:spacing w:before="0" w:after="283"/>
              <w:jc w:val="left"/>
              <w:rPr/>
            </w:pPr>
            <w:r>
              <w:rPr/>
              <w:t>)</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(300</w:t>
            </w:r>
          </w:p>
        </w:tc>
        <w:tc>
          <w:tcPr>
            <w:tcW w:w="232" w:type="dxa"/>
            <w:tcBorders/>
            <w:vAlign w:val="center"/>
          </w:tcPr>
          <w:p>
            <w:pPr>
              <w:pStyle w:val="TableContents"/>
              <w:bidi w:val="0"/>
              <w:spacing w:before="0" w:after="283"/>
              <w:jc w:val="left"/>
              <w:rPr/>
            </w:pPr>
            <w:r>
              <w:rPr/>
              <w:t>)</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(353</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(6,065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568</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(13,820</w:t>
            </w:r>
          </w:p>
        </w:tc>
        <w:tc>
          <w:tcPr>
            <w:tcW w:w="232" w:type="dxa"/>
            <w:tcBorders/>
            <w:vAlign w:val="center"/>
          </w:tcPr>
          <w:p>
            <w:pPr>
              <w:pStyle w:val="TableContents"/>
              <w:bidi w:val="0"/>
              <w:spacing w:before="0" w:after="283"/>
              <w:jc w:val="left"/>
              <w:rPr/>
            </w:pPr>
            <w:r>
              <w:rPr/>
              <w:t>)</w:t>
            </w:r>
          </w:p>
        </w:tc>
      </w:tr>
      <w:tr>
        <w:trPr/>
        <w:tc>
          <w:tcPr>
            <w:tcW w:w="4108"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(1,064</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3,051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7,443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(12,204</w:t>
            </w:r>
          </w:p>
        </w:tc>
        <w:tc>
          <w:tcPr>
            <w:tcW w:w="232" w:type="dxa"/>
            <w:tcBorders/>
            <w:vAlign w:val="center"/>
          </w:tcPr>
          <w:p>
            <w:pPr>
              <w:pStyle w:val="TableContents"/>
              <w:bidi w:val="0"/>
              <w:spacing w:before="0" w:after="283"/>
              <w:jc w:val="left"/>
              <w:rPr/>
            </w:pPr>
            <w:r>
              <w:rPr/>
              <w:t>)</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Controlled and non-controlled, affiliated investments</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(2,889</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(4,143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2,519</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(9,825</w:t>
            </w:r>
          </w:p>
        </w:tc>
        <w:tc>
          <w:tcPr>
            <w:tcW w:w="232" w:type="dxa"/>
            <w:tcBorders/>
            <w:vAlign w:val="center"/>
          </w:tcPr>
          <w:p>
            <w:pPr>
              <w:pStyle w:val="TableContents"/>
              <w:bidi w:val="0"/>
              <w:spacing w:before="0" w:after="283"/>
              <w:jc w:val="left"/>
              <w:rPr/>
            </w:pPr>
            <w:r>
              <w:rPr/>
              <w:t>)</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230</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2,929</w:t>
            </w:r>
          </w:p>
        </w:tc>
        <w:tc>
          <w:tcPr>
            <w:tcW w:w="232" w:type="dxa"/>
            <w:tcBorders/>
            <w:vAlign w:val="center"/>
          </w:tcPr>
          <w:p>
            <w:pPr>
              <w:pStyle w:val="TableContents"/>
              <w:bidi w:val="0"/>
              <w:spacing w:before="0" w:after="283"/>
              <w:jc w:val="left"/>
              <w:rPr/>
            </w:pPr>
            <w:r>
              <w:rPr/>
              <w:t> </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(5,752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w:t>
            </w:r>
          </w:p>
        </w:tc>
        <w:tc>
          <w:tcPr>
            <w:tcW w:w="193"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(4,842</w:t>
            </w:r>
          </w:p>
        </w:tc>
        <w:tc>
          <w:tcPr>
            <w:tcW w:w="232" w:type="dxa"/>
            <w:tcBorders/>
            <w:vAlign w:val="center"/>
          </w:tcPr>
          <w:p>
            <w:pPr>
              <w:pStyle w:val="TableContents"/>
              <w:bidi w:val="0"/>
              <w:spacing w:before="0" w:after="283"/>
              <w:jc w:val="left"/>
              <w:rPr/>
            </w:pPr>
            <w:r>
              <w:rPr/>
              <w:t>)</w:t>
            </w:r>
          </w:p>
        </w:tc>
      </w:tr>
      <w:tr>
        <w:trPr/>
        <w:tc>
          <w:tcPr>
            <w:tcW w:w="4108"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(3,937</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(6,844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10,185</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(23,942</w:t>
            </w:r>
          </w:p>
        </w:tc>
        <w:tc>
          <w:tcPr>
            <w:tcW w:w="232" w:type="dxa"/>
            <w:tcBorders/>
            <w:vAlign w:val="center"/>
          </w:tcPr>
          <w:p>
            <w:pPr>
              <w:pStyle w:val="TableContents"/>
              <w:bidi w:val="0"/>
              <w:spacing w:before="0" w:after="283"/>
              <w:jc w:val="left"/>
              <w:rPr/>
            </w:pPr>
            <w:r>
              <w:rPr/>
              <w:t>)</w:t>
            </w:r>
          </w:p>
        </w:tc>
      </w:tr>
      <w:tr>
        <w:trPr/>
        <w:tc>
          <w:tcPr>
            <w:tcW w:w="4108"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(4,290</w:t>
            </w:r>
          </w:p>
        </w:tc>
        <w:tc>
          <w:tcPr>
            <w:tcW w:w="202"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(12,909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10,753</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(37,762</w:t>
            </w:r>
          </w:p>
        </w:tc>
        <w:tc>
          <w:tcPr>
            <w:tcW w:w="232" w:type="dxa"/>
            <w:tcBorders/>
            <w:vAlign w:val="center"/>
          </w:tcPr>
          <w:p>
            <w:pPr>
              <w:pStyle w:val="TableContents"/>
              <w:bidi w:val="0"/>
              <w:spacing w:before="0" w:after="283"/>
              <w:jc w:val="left"/>
              <w:rPr/>
            </w:pPr>
            <w:r>
              <w:rPr/>
              <w:t>)</w:t>
            </w:r>
          </w:p>
        </w:tc>
      </w:tr>
      <w:tr>
        <w:trPr/>
        <w:tc>
          <w:tcPr>
            <w:tcW w:w="4108"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left"/>
              <w:rPr/>
            </w:pPr>
            <w:r>
              <w:rPr/>
              <w:t> </w:t>
            </w:r>
          </w:p>
        </w:tc>
        <w:tc>
          <w:tcPr>
            <w:tcW w:w="25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5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16,920</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5,593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70,499</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11,215</w:t>
            </w:r>
          </w:p>
        </w:tc>
        <w:tc>
          <w:tcPr>
            <w:tcW w:w="232"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left"/>
              <w:rPr/>
            </w:pPr>
            <w:r>
              <w:rPr/>
              <w:t> </w:t>
            </w:r>
          </w:p>
        </w:tc>
        <w:tc>
          <w:tcPr>
            <w:tcW w:w="25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5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0.25</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1.12</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0.23</w:t>
            </w:r>
          </w:p>
        </w:tc>
        <w:tc>
          <w:tcPr>
            <w:tcW w:w="232" w:type="dxa"/>
            <w:tcBorders/>
            <w:vAlign w:val="center"/>
          </w:tcPr>
          <w:p>
            <w:pPr>
              <w:pStyle w:val="TableContents"/>
              <w:bidi w:val="0"/>
              <w:spacing w:before="0" w:after="283"/>
              <w:jc w:val="left"/>
              <w:rPr/>
            </w:pPr>
            <w:r>
              <w:rPr/>
              <w:t> </w:t>
            </w:r>
          </w:p>
        </w:tc>
      </w:tr>
      <w:tr>
        <w:trPr/>
        <w:tc>
          <w:tcPr>
            <w:tcW w:w="4108"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left"/>
              <w:rPr/>
            </w:pPr>
            <w:r>
              <w:rPr/>
              <w:t> </w:t>
            </w:r>
          </w:p>
        </w:tc>
        <w:tc>
          <w:tcPr>
            <w:tcW w:w="25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5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0.31</w:t>
            </w:r>
          </w:p>
        </w:tc>
        <w:tc>
          <w:tcPr>
            <w:tcW w:w="202"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25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0.95</w:t>
            </w:r>
          </w:p>
        </w:tc>
        <w:tc>
          <w:tcPr>
            <w:tcW w:w="19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1.02</w:t>
            </w:r>
          </w:p>
        </w:tc>
        <w:tc>
          <w:tcPr>
            <w:tcW w:w="232" w:type="dxa"/>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FLOATING RATE CAPITAL LTD.</w:t>
      </w:r>
    </w:p>
    <w:p>
      <w:pPr>
        <w:pStyle w:val="TextBody"/>
        <w:bidi w:val="0"/>
        <w:jc w:val="both"/>
        <w:rPr/>
      </w:pPr>
      <w:r>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rStyle w:val="StrongEmphasis"/>
        </w:rPr>
        <w:t xml:space="preserve">ABOUT PENNANTPARK INVESTMENT ADVISERS, LLC </w:t>
      </w:r>
    </w:p>
    <w:p>
      <w:pPr>
        <w:pStyle w:val="TextBody"/>
        <w:bidi w:val="0"/>
        <w:jc w:val="both"/>
        <w:rPr/>
      </w:pPr>
      <w:r>
        <w:rPr/>
        <w:t>PennantPark Investment Advisers, LLC is a leading middle-market credit platform, managing $7.7 billion of investable capital, including available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5222" w:type="dxa"/>
        <w:jc w:val="center"/>
        <w:tblInd w:w="0" w:type="dxa"/>
        <w:tblLayout w:type="fixed"/>
        <w:tblCellMar>
          <w:top w:w="28" w:type="dxa"/>
          <w:left w:w="28" w:type="dxa"/>
          <w:bottom w:w="28" w:type="dxa"/>
          <w:right w:w="28" w:type="dxa"/>
        </w:tblCellMar>
      </w:tblPr>
      <w:tblGrid>
        <w:gridCol w:w="1351"/>
        <w:gridCol w:w="3871"/>
      </w:tblGrid>
      <w:tr>
        <w:trPr/>
        <w:tc>
          <w:tcPr>
            <w:tcW w:w="1351" w:type="dxa"/>
            <w:tcBorders/>
            <w:vAlign w:val="center"/>
          </w:tcPr>
          <w:p>
            <w:pPr>
              <w:pStyle w:val="TableContents"/>
              <w:bidi w:val="0"/>
              <w:spacing w:before="0" w:after="283"/>
              <w:jc w:val="left"/>
              <w:rPr/>
            </w:pPr>
            <w:r>
              <w:rPr/>
              <w:t>CONTACT:</w:t>
            </w:r>
          </w:p>
        </w:tc>
        <w:tc>
          <w:tcPr>
            <w:tcW w:w="3871" w:type="dxa"/>
            <w:tcBorders/>
            <w:vAlign w:val="center"/>
          </w:tcPr>
          <w:p>
            <w:pPr>
              <w:pStyle w:val="TableContents"/>
              <w:bidi w:val="0"/>
              <w:spacing w:before="0" w:after="283"/>
              <w:jc w:val="both"/>
              <w:rPr/>
            </w:pPr>
            <w:r>
              <w:rPr/>
              <w:t>Richard T. Allorto, Jr.</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pPr>
            <w:r>
              <w:rPr/>
              <w:t>PennantPark Floating Rate Capital Ltd.</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(212) 905-1000</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u w:val="single"/>
              </w:rPr>
            </w:pPr>
            <w:r>
              <w:rPr>
                <w:u w:val="single"/>
              </w:rPr>
              <w:t>www.pennantpark.com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4455</Words>
  <Characters>24802</Characters>
  <CharactersWithSpaces>29566</CharactersWithSpaces>
  <Paragraphs>1279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