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849630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One)r</w:t>
      </w:r>
    </w:p>
    <w:p>
      <w:pPr>
        <w:spacing w:after="0" w:line="29" w:lineRule="exact"/>
        <w:rPr>
          <w:sz w:val="24"/>
          <w:szCs w:val="24"/>
          <w:color w:val="auto"/>
        </w:rPr>
      </w:pPr>
    </w:p>
    <w:p>
      <w:pPr>
        <w:ind w:left="3420" w:right="2360" w:hanging="3402"/>
        <w:spacing w:after="0" w:line="434" w:lineRule="auto"/>
        <w:tabs>
          <w:tab w:leader="none" w:pos="25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319" w:lineRule="exact"/>
        <w:rPr>
          <w:sz w:val="24"/>
          <w:szCs w:val="24"/>
          <w:color w:val="auto"/>
        </w:rPr>
      </w:pPr>
    </w:p>
    <w:p>
      <w:pPr>
        <w:ind w:left="240" w:hanging="222"/>
        <w:spacing w:after="0"/>
        <w:tabs>
          <w:tab w:leader="none" w:pos="2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ind w:left="3680"/>
              <w:spacing w:after="0"/>
              <w:rPr>
                <w:sz w:val="20"/>
                <w:szCs w:val="20"/>
                <w:color w:val="auto"/>
              </w:rPr>
            </w:pPr>
            <w:r>
              <w:rPr>
                <w:rFonts w:ascii="Times New Roman" w:cs="Times New Roman" w:eastAsia="Times New Roman" w:hAnsi="Times New Roman"/>
                <w:sz w:val="16"/>
                <w:szCs w:val="16"/>
                <w:b w:val="1"/>
                <w:bCs w:val="1"/>
                <w:color w:val="auto"/>
                <w:w w:val="97"/>
              </w:rPr>
              <w:t>FOR THE TRANSITION PERIOD FROM</w:t>
            </w:r>
          </w:p>
        </w:tc>
        <w:tc>
          <w:tcPr>
            <w:tcW w:w="480" w:type="dxa"/>
            <w:vAlign w:val="bottom"/>
            <w:tcBorders>
              <w:bottom w:val="single" w:sz="8" w:color="auto"/>
            </w:tcBorders>
          </w:tcPr>
          <w:p>
            <w:pPr>
              <w:spacing w:after="0"/>
              <w:rPr>
                <w:sz w:val="16"/>
                <w:szCs w:val="16"/>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14"/>
        </w:trPr>
        <w:tc>
          <w:tcPr>
            <w:tcW w:w="7080" w:type="dxa"/>
            <w:vAlign w:val="bottom"/>
            <w:gridSpan w:val="2"/>
          </w:tcPr>
          <w:p>
            <w:pPr>
              <w:jc w:val="center"/>
              <w:ind w:left="3429"/>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814-00891</w:t>
            </w:r>
          </w:p>
        </w:tc>
        <w:tc>
          <w:tcPr>
            <w:tcW w:w="3480" w:type="dxa"/>
            <w:vAlign w:val="bottom"/>
          </w:tcPr>
          <w:p>
            <w:pPr>
              <w:spacing w:after="0"/>
              <w:rPr>
                <w:sz w:val="24"/>
                <w:szCs w:val="24"/>
                <w:color w:val="auto"/>
              </w:rPr>
            </w:pPr>
          </w:p>
        </w:tc>
      </w:tr>
      <w:tr>
        <w:trPr>
          <w:trHeight w:val="146"/>
        </w:trPr>
        <w:tc>
          <w:tcPr>
            <w:tcW w:w="6600" w:type="dxa"/>
            <w:vAlign w:val="bottom"/>
            <w:tcBorders>
              <w:bottom w:val="single" w:sz="8" w:color="auto"/>
            </w:tcBorders>
          </w:tcPr>
          <w:p>
            <w:pPr>
              <w:spacing w:after="0"/>
              <w:rPr>
                <w:sz w:val="12"/>
                <w:szCs w:val="12"/>
                <w:color w:val="auto"/>
              </w:rPr>
            </w:pPr>
          </w:p>
        </w:tc>
        <w:tc>
          <w:tcPr>
            <w:tcW w:w="3960" w:type="dxa"/>
            <w:vAlign w:val="bottom"/>
            <w:tcBorders>
              <w:bottom w:val="single" w:sz="8" w:color="auto"/>
            </w:tcBorders>
            <w:gridSpan w:val="2"/>
          </w:tcPr>
          <w:p>
            <w:pPr>
              <w:spacing w:after="0"/>
              <w:rPr>
                <w:sz w:val="12"/>
                <w:szCs w:val="12"/>
                <w:color w:val="auto"/>
              </w:rPr>
            </w:pPr>
          </w:p>
        </w:tc>
      </w:tr>
      <w:tr>
        <w:trPr>
          <w:trHeight w:val="411"/>
        </w:trPr>
        <w:tc>
          <w:tcPr>
            <w:tcW w:w="10560" w:type="dxa"/>
            <w:vAlign w:val="bottom"/>
            <w:gridSpan w:val="3"/>
          </w:tcPr>
          <w:p>
            <w:pPr>
              <w:jc w:val="center"/>
              <w:spacing w:after="0"/>
              <w:rPr>
                <w:sz w:val="20"/>
                <w:szCs w:val="20"/>
                <w:color w:val="auto"/>
              </w:rPr>
            </w:pPr>
            <w:r>
              <w:rPr>
                <w:rFonts w:ascii="Times New Roman" w:cs="Times New Roman" w:eastAsia="Times New Roman" w:hAnsi="Times New Roman"/>
                <w:sz w:val="28"/>
                <w:szCs w:val="28"/>
                <w:b w:val="1"/>
                <w:bCs w:val="1"/>
                <w:color w:val="auto"/>
                <w:w w:val="98"/>
              </w:rPr>
              <w:t>PENNANTPARK FLOATING RATE CAPITAL LTD.</w:t>
            </w:r>
          </w:p>
        </w:tc>
      </w:tr>
      <w:tr>
        <w:trPr>
          <w:trHeight w:val="174"/>
        </w:trPr>
        <w:tc>
          <w:tcPr>
            <w:tcW w:w="7080" w:type="dxa"/>
            <w:vAlign w:val="bottom"/>
            <w:gridSpan w:val="2"/>
          </w:tcPr>
          <w:p>
            <w:pPr>
              <w:jc w:val="center"/>
              <w:ind w:left="340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480" w:type="dxa"/>
            <w:vAlign w:val="bottom"/>
          </w:tcPr>
          <w:p>
            <w:pPr>
              <w:spacing w:after="0"/>
              <w:rPr>
                <w:sz w:val="15"/>
                <w:szCs w:val="15"/>
                <w:color w:val="auto"/>
              </w:rPr>
            </w:pPr>
          </w:p>
        </w:tc>
      </w:tr>
      <w:tr>
        <w:trPr>
          <w:trHeight w:val="348"/>
        </w:trPr>
        <w:tc>
          <w:tcPr>
            <w:tcW w:w="7080" w:type="dxa"/>
            <w:vAlign w:val="bottom"/>
            <w:gridSpan w:val="2"/>
          </w:tcPr>
          <w:p>
            <w:pPr>
              <w:jc w:val="center"/>
              <w:ind w:right="1780"/>
              <w:spacing w:after="0"/>
              <w:rPr>
                <w:sz w:val="20"/>
                <w:szCs w:val="20"/>
                <w:color w:val="auto"/>
              </w:rPr>
            </w:pPr>
            <w:r>
              <w:rPr>
                <w:rFonts w:ascii="Times New Roman" w:cs="Times New Roman" w:eastAsia="Times New Roman" w:hAnsi="Times New Roman"/>
                <w:sz w:val="13"/>
                <w:szCs w:val="13"/>
                <w:b w:val="1"/>
                <w:bCs w:val="1"/>
                <w:color w:val="auto"/>
              </w:rPr>
              <w:t>MARYLAND</w:t>
            </w:r>
          </w:p>
        </w:tc>
        <w:tc>
          <w:tcPr>
            <w:tcW w:w="3480" w:type="dxa"/>
            <w:vAlign w:val="bottom"/>
          </w:tcPr>
          <w:p>
            <w:pPr>
              <w:jc w:val="center"/>
              <w:ind w:right="1496"/>
              <w:spacing w:after="0"/>
              <w:rPr>
                <w:sz w:val="20"/>
                <w:szCs w:val="20"/>
                <w:color w:val="auto"/>
              </w:rPr>
            </w:pPr>
            <w:r>
              <w:rPr>
                <w:rFonts w:ascii="Times New Roman" w:cs="Times New Roman" w:eastAsia="Times New Roman" w:hAnsi="Times New Roman"/>
                <w:sz w:val="13"/>
                <w:szCs w:val="13"/>
                <w:b w:val="1"/>
                <w:bCs w:val="1"/>
                <w:color w:val="auto"/>
              </w:rPr>
              <w:t>27-3794690</w:t>
            </w:r>
          </w:p>
        </w:tc>
      </w:tr>
      <w:tr>
        <w:trPr>
          <w:trHeight w:val="160"/>
        </w:trPr>
        <w:tc>
          <w:tcPr>
            <w:tcW w:w="7080" w:type="dxa"/>
            <w:vAlign w:val="bottom"/>
            <w:gridSpan w:val="2"/>
          </w:tcPr>
          <w:p>
            <w:pPr>
              <w:jc w:val="center"/>
              <w:ind w:right="1780"/>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 incorporation or organization)</w:t>
            </w:r>
          </w:p>
        </w:tc>
        <w:tc>
          <w:tcPr>
            <w:tcW w:w="3480" w:type="dxa"/>
            <w:vAlign w:val="bottom"/>
          </w:tcPr>
          <w:p>
            <w:pPr>
              <w:jc w:val="center"/>
              <w:ind w:right="1516"/>
              <w:spacing w:after="0"/>
              <w:rPr>
                <w:sz w:val="20"/>
                <w:szCs w:val="20"/>
                <w:color w:val="auto"/>
              </w:rPr>
            </w:pPr>
            <w:r>
              <w:rPr>
                <w:rFonts w:ascii="Times New Roman" w:cs="Times New Roman" w:eastAsia="Times New Roman" w:hAnsi="Times New Roman"/>
                <w:sz w:val="11"/>
                <w:szCs w:val="11"/>
                <w:b w:val="1"/>
                <w:bCs w:val="1"/>
                <w:color w:val="auto"/>
                <w:w w:val="98"/>
              </w:rPr>
              <w:t>(I.R.S. Employer Identification No.)</w:t>
            </w:r>
          </w:p>
        </w:tc>
      </w:tr>
      <w:tr>
        <w:trPr>
          <w:trHeight w:val="471"/>
        </w:trPr>
        <w:tc>
          <w:tcPr>
            <w:tcW w:w="7080" w:type="dxa"/>
            <w:vAlign w:val="bottom"/>
            <w:gridSpan w:val="2"/>
          </w:tcPr>
          <w:p>
            <w:pPr>
              <w:jc w:val="center"/>
              <w:ind w:right="1760"/>
              <w:spacing w:after="0"/>
              <w:rPr>
                <w:sz w:val="20"/>
                <w:szCs w:val="20"/>
                <w:color w:val="auto"/>
              </w:rPr>
            </w:pPr>
            <w:r>
              <w:rPr>
                <w:rFonts w:ascii="Times New Roman" w:cs="Times New Roman" w:eastAsia="Times New Roman" w:hAnsi="Times New Roman"/>
                <w:sz w:val="13"/>
                <w:szCs w:val="13"/>
                <w:b w:val="1"/>
                <w:bCs w:val="1"/>
                <w:color w:val="auto"/>
              </w:rPr>
              <w:t>1691 Michigan Avenue</w:t>
            </w:r>
          </w:p>
        </w:tc>
        <w:tc>
          <w:tcPr>
            <w:tcW w:w="3480" w:type="dxa"/>
            <w:vAlign w:val="bottom"/>
          </w:tcPr>
          <w:p>
            <w:pPr>
              <w:spacing w:after="0"/>
              <w:rPr>
                <w:sz w:val="24"/>
                <w:szCs w:val="24"/>
                <w:color w:val="auto"/>
              </w:rPr>
            </w:pPr>
          </w:p>
        </w:tc>
      </w:tr>
      <w:tr>
        <w:trPr>
          <w:trHeight w:val="174"/>
        </w:trPr>
        <w:tc>
          <w:tcPr>
            <w:tcW w:w="7080" w:type="dxa"/>
            <w:vAlign w:val="bottom"/>
            <w:gridSpan w:val="2"/>
          </w:tcPr>
          <w:p>
            <w:pPr>
              <w:jc w:val="center"/>
              <w:ind w:right="1780"/>
              <w:spacing w:after="0"/>
              <w:rPr>
                <w:sz w:val="20"/>
                <w:szCs w:val="20"/>
                <w:color w:val="auto"/>
              </w:rPr>
            </w:pPr>
            <w:r>
              <w:rPr>
                <w:rFonts w:ascii="Times New Roman" w:cs="Times New Roman" w:eastAsia="Times New Roman" w:hAnsi="Times New Roman"/>
                <w:sz w:val="13"/>
                <w:szCs w:val="13"/>
                <w:b w:val="1"/>
                <w:bCs w:val="1"/>
                <w:color w:val="auto"/>
              </w:rPr>
              <w:t>Miami Beach, Florida</w:t>
            </w:r>
          </w:p>
        </w:tc>
        <w:tc>
          <w:tcPr>
            <w:tcW w:w="3480" w:type="dxa"/>
            <w:vAlign w:val="bottom"/>
          </w:tcPr>
          <w:p>
            <w:pPr>
              <w:jc w:val="center"/>
              <w:ind w:right="1516"/>
              <w:spacing w:after="0"/>
              <w:rPr>
                <w:sz w:val="20"/>
                <w:szCs w:val="20"/>
                <w:color w:val="auto"/>
              </w:rPr>
            </w:pPr>
            <w:r>
              <w:rPr>
                <w:rFonts w:ascii="Times New Roman" w:cs="Times New Roman" w:eastAsia="Times New Roman" w:hAnsi="Times New Roman"/>
                <w:sz w:val="13"/>
                <w:szCs w:val="13"/>
                <w:b w:val="1"/>
                <w:bCs w:val="1"/>
                <w:color w:val="auto"/>
              </w:rPr>
              <w:t>33139</w:t>
            </w:r>
          </w:p>
        </w:tc>
      </w:tr>
      <w:tr>
        <w:trPr>
          <w:trHeight w:val="160"/>
        </w:trPr>
        <w:tc>
          <w:tcPr>
            <w:tcW w:w="7080" w:type="dxa"/>
            <w:vAlign w:val="bottom"/>
            <w:gridSpan w:val="2"/>
          </w:tcPr>
          <w:p>
            <w:pPr>
              <w:jc w:val="center"/>
              <w:ind w:right="1780"/>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480" w:type="dxa"/>
            <w:vAlign w:val="bottom"/>
          </w:tcPr>
          <w:p>
            <w:pPr>
              <w:jc w:val="center"/>
              <w:ind w:right="151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278"/>
        </w:trPr>
        <w:tc>
          <w:tcPr>
            <w:tcW w:w="6600" w:type="dxa"/>
            <w:vAlign w:val="bottom"/>
          </w:tcPr>
          <w:p>
            <w:pPr>
              <w:jc w:val="center"/>
              <w:ind w:left="3909"/>
              <w:spacing w:after="0"/>
              <w:rPr>
                <w:sz w:val="20"/>
                <w:szCs w:val="20"/>
                <w:color w:val="auto"/>
              </w:rPr>
            </w:pPr>
            <w:r>
              <w:rPr>
                <w:rFonts w:ascii="Times New Roman" w:cs="Times New Roman" w:eastAsia="Times New Roman" w:hAnsi="Times New Roman"/>
                <w:sz w:val="13"/>
                <w:szCs w:val="13"/>
                <w:b w:val="1"/>
                <w:bCs w:val="1"/>
                <w:color w:val="auto"/>
              </w:rPr>
              <w:t>(786) 297-9500</w:t>
            </w:r>
          </w:p>
        </w:tc>
        <w:tc>
          <w:tcPr>
            <w:tcW w:w="4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42"/>
        </w:trPr>
        <w:tc>
          <w:tcPr>
            <w:tcW w:w="7080" w:type="dxa"/>
            <w:vAlign w:val="bottom"/>
            <w:gridSpan w:val="2"/>
          </w:tcPr>
          <w:p>
            <w:pPr>
              <w:jc w:val="center"/>
              <w:ind w:left="3429"/>
              <w:spacing w:after="0"/>
              <w:rPr>
                <w:sz w:val="20"/>
                <w:szCs w:val="20"/>
                <w:color w:val="auto"/>
              </w:rPr>
            </w:pPr>
            <w:r>
              <w:rPr>
                <w:rFonts w:ascii="Times New Roman" w:cs="Times New Roman" w:eastAsia="Times New Roman" w:hAnsi="Times New Roman"/>
                <w:sz w:val="11"/>
                <w:szCs w:val="11"/>
                <w:b w:val="1"/>
                <w:bCs w:val="1"/>
                <w:color w:val="auto"/>
                <w:w w:val="98"/>
              </w:rPr>
              <w:t>(Registrant’s Telephone Number, Including Area Code)</w:t>
            </w:r>
          </w:p>
        </w:tc>
        <w:tc>
          <w:tcPr>
            <w:tcW w:w="3480" w:type="dxa"/>
            <w:vAlign w:val="bottom"/>
          </w:tcPr>
          <w:p>
            <w:pPr>
              <w:spacing w:after="0"/>
              <w:rPr>
                <w:sz w:val="12"/>
                <w:szCs w:val="12"/>
                <w:color w:val="auto"/>
              </w:rPr>
            </w:pPr>
          </w:p>
        </w:tc>
      </w:tr>
    </w:tbl>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50" w:lineRule="exact"/>
        <w:rPr>
          <w:sz w:val="24"/>
          <w:szCs w:val="24"/>
          <w:color w:val="auto"/>
        </w:rPr>
      </w:pPr>
    </w:p>
    <w:tbl>
      <w:tblPr>
        <w:tblLayout w:type="fixed"/>
        <w:tblInd w:w="460" w:type="dxa"/>
        <w:tblCellMar>
          <w:top w:w="0" w:type="dxa"/>
          <w:left w:w="0" w:type="dxa"/>
          <w:bottom w:w="0" w:type="dxa"/>
          <w:right w:w="0" w:type="dxa"/>
        </w:tblCellMar>
      </w:tblPr>
      <w:tr>
        <w:trPr>
          <w:trHeight w:val="172"/>
        </w:trPr>
        <w:tc>
          <w:tcPr>
            <w:tcW w:w="366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25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348"/>
        </w:trPr>
        <w:tc>
          <w:tcPr>
            <w:tcW w:w="3660" w:type="dxa"/>
            <w:vAlign w:val="bottom"/>
          </w:tcPr>
          <w:p>
            <w:pPr>
              <w:jc w:val="center"/>
              <w:ind w:right="974"/>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54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3440" w:type="dxa"/>
            <w:vAlign w:val="bottom"/>
          </w:tcPr>
          <w:p>
            <w:pPr>
              <w:jc w:val="center"/>
              <w:ind w:left="79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96"/>
        </w:trPr>
        <w:tc>
          <w:tcPr>
            <w:tcW w:w="3660" w:type="dxa"/>
            <w:vAlign w:val="bottom"/>
          </w:tcPr>
          <w:p>
            <w:pPr>
              <w:jc w:val="center"/>
              <w:ind w:right="954"/>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2540" w:type="dxa"/>
            <w:vAlign w:val="bottom"/>
          </w:tcPr>
          <w:p>
            <w:pPr>
              <w:jc w:val="center"/>
              <w:ind w:right="134"/>
              <w:spacing w:after="0"/>
              <w:rPr>
                <w:sz w:val="20"/>
                <w:szCs w:val="20"/>
                <w:color w:val="auto"/>
              </w:rPr>
            </w:pPr>
            <w:r>
              <w:rPr>
                <w:rFonts w:ascii="Times New Roman" w:cs="Times New Roman" w:eastAsia="Times New Roman" w:hAnsi="Times New Roman"/>
                <w:sz w:val="13"/>
                <w:szCs w:val="13"/>
                <w:color w:val="auto"/>
                <w:w w:val="98"/>
              </w:rPr>
              <w:t>PFLT</w:t>
            </w:r>
          </w:p>
        </w:tc>
        <w:tc>
          <w:tcPr>
            <w:tcW w:w="3440" w:type="dxa"/>
            <w:vAlign w:val="bottom"/>
          </w:tcPr>
          <w:p>
            <w:pPr>
              <w:jc w:val="center"/>
              <w:ind w:left="791"/>
              <w:spacing w:after="0"/>
              <w:rPr>
                <w:sz w:val="20"/>
                <w:szCs w:val="20"/>
                <w:color w:val="auto"/>
              </w:rPr>
            </w:pPr>
            <w:r>
              <w:rPr>
                <w:rFonts w:ascii="Times New Roman" w:cs="Times New Roman" w:eastAsia="Times New Roman" w:hAnsi="Times New Roman"/>
                <w:sz w:val="14"/>
                <w:szCs w:val="14"/>
                <w:color w:val="auto"/>
              </w:rPr>
              <w:t>The New York Stock Exchange</w:t>
            </w:r>
          </w:p>
        </w:tc>
      </w:tr>
    </w:tbl>
    <w:p>
      <w:pPr>
        <w:spacing w:after="0" w:line="148" w:lineRule="exact"/>
        <w:rPr>
          <w:sz w:val="24"/>
          <w:szCs w:val="24"/>
          <w:color w:val="auto"/>
        </w:rPr>
      </w:pPr>
    </w:p>
    <w:p>
      <w:pPr>
        <w:ind w:firstLine="444"/>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1" w:lineRule="exact"/>
        <w:rPr>
          <w:sz w:val="24"/>
          <w:szCs w:val="24"/>
          <w:color w:val="auto"/>
        </w:rPr>
      </w:pPr>
    </w:p>
    <w:p>
      <w:pPr>
        <w:ind w:right="360" w:firstLine="444"/>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1" w:lineRule="exact"/>
        <w:rPr>
          <w:sz w:val="24"/>
          <w:szCs w:val="24"/>
          <w:color w:val="auto"/>
        </w:rPr>
      </w:pPr>
    </w:p>
    <w:p>
      <w:pPr>
        <w:ind w:right="180" w:firstLine="444"/>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ind w:left="2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42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5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96" w:lineRule="exact"/>
        <w:rPr>
          <w:sz w:val="24"/>
          <w:szCs w:val="24"/>
          <w:color w:val="auto"/>
        </w:rPr>
      </w:pPr>
    </w:p>
    <w:p>
      <w:pPr>
        <w:ind w:right="320" w:firstLine="444"/>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4" w:lineRule="exact"/>
        <w:rPr>
          <w:sz w:val="24"/>
          <w:szCs w:val="24"/>
          <w:color w:val="auto"/>
        </w:rPr>
      </w:pPr>
    </w:p>
    <w:p>
      <w:pPr>
        <w:ind w:left="460" w:right="3160"/>
        <w:spacing w:after="0" w:line="24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the registrant’s common stock, $0.001 par value per share, outstanding as of May 8, 2024 was 66,728,138.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58420</wp:posOffset>
            </wp:positionV>
            <wp:extent cx="670750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152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716915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7" w:right="68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10-Q FOR THE QUARTER ENDED 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0" w:type="dxa"/>
            <w:vAlign w:val="bottom"/>
            <w:gridSpan w:val="14"/>
          </w:tcPr>
          <w:p>
            <w:pPr>
              <w:jc w:val="center"/>
              <w:ind w:right="240"/>
              <w:spacing w:after="0"/>
              <w:rPr>
                <w:rFonts w:ascii="Times New Roman" w:cs="Times New Roman" w:eastAsia="Times New Roman" w:hAnsi="Times New Roman"/>
                <w:sz w:val="13"/>
                <w:szCs w:val="13"/>
                <w:b w:val="1"/>
                <w:bCs w:val="1"/>
                <w:color w:val="0000FF"/>
              </w:rPr>
            </w:pPr>
            <w:hyperlink w:anchor="page3">
              <w:r>
                <w:rPr>
                  <w:rFonts w:ascii="Times New Roman" w:cs="Times New Roman" w:eastAsia="Times New Roman" w:hAnsi="Times New Roman"/>
                  <w:sz w:val="13"/>
                  <w:szCs w:val="13"/>
                  <w:b w:val="1"/>
                  <w:bCs w:val="1"/>
                  <w:color w:val="0000FF"/>
                </w:rPr>
                <w:t>PART I. CONSOLIDATED FINANCIAL INFORMATION</w:t>
              </w:r>
            </w:hyperlink>
          </w:p>
        </w:tc>
        <w:tc>
          <w:tcPr>
            <w:tcW w:w="3660" w:type="dxa"/>
            <w:vAlign w:val="bottom"/>
          </w:tcPr>
          <w:p>
            <w:pPr>
              <w:spacing w:after="0"/>
              <w:rPr>
                <w:sz w:val="12"/>
                <w:szCs w:val="12"/>
                <w:color w:val="auto"/>
              </w:rPr>
            </w:pPr>
          </w:p>
        </w:tc>
      </w:tr>
      <w:tr>
        <w:trPr>
          <w:trHeight w:val="316"/>
        </w:trPr>
        <w:tc>
          <w:tcPr>
            <w:tcW w:w="3300" w:type="dxa"/>
            <w:vAlign w:val="bottom"/>
            <w:gridSpan w:val="12"/>
          </w:tcPr>
          <w:p>
            <w:pPr>
              <w:ind w:left="20"/>
              <w:spacing w:after="0"/>
              <w:rPr>
                <w:rFonts w:ascii="Times New Roman" w:cs="Times New Roman" w:eastAsia="Times New Roman" w:hAnsi="Times New Roman"/>
                <w:sz w:val="13"/>
                <w:szCs w:val="13"/>
                <w:b w:val="1"/>
                <w:bCs w:val="1"/>
                <w:color w:val="0000FF"/>
              </w:rPr>
            </w:pPr>
            <w:hyperlink w:anchor="page4">
              <w:r>
                <w:rPr>
                  <w:rFonts w:ascii="Times New Roman" w:cs="Times New Roman" w:eastAsia="Times New Roman" w:hAnsi="Times New Roman"/>
                  <w:sz w:val="13"/>
                  <w:szCs w:val="13"/>
                  <w:b w:val="1"/>
                  <w:bCs w:val="1"/>
                  <w:color w:val="0000FF"/>
                </w:rPr>
                <w:t>Item 1. Consolidated Financial Statements</w:t>
              </w:r>
            </w:hyperlink>
          </w:p>
        </w:tc>
        <w:tc>
          <w:tcPr>
            <w:tcW w:w="3360" w:type="dxa"/>
            <w:vAlign w:val="bottom"/>
            <w:tcBorders>
              <w:top w:val="single" w:sz="8" w:color="0000FF"/>
            </w:tcBorders>
            <w:gridSpan w:val="13"/>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4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w:anchor="page4">
              <w:r>
                <w:rPr>
                  <w:rFonts w:ascii="Times New Roman" w:cs="Times New Roman" w:eastAsia="Times New Roman" w:hAnsi="Times New Roman"/>
                  <w:sz w:val="13"/>
                  <w:szCs w:val="13"/>
                  <w:color w:val="0000FF"/>
                </w:rPr>
                <w:t>Consolidated Statements of Assets and Liabilities as of March 31, 2024 (unaudited) and September 30, 2023</w:t>
              </w:r>
            </w:hyperlink>
          </w:p>
        </w:tc>
        <w:tc>
          <w:tcPr>
            <w:tcW w:w="820" w:type="dxa"/>
            <w:vAlign w:val="bottom"/>
            <w:gridSpan w:val="3"/>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6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rPr>
            </w:pPr>
            <w:hyperlink w:anchor="page5">
              <w:r>
                <w:rPr>
                  <w:rFonts w:ascii="Times New Roman" w:cs="Times New Roman" w:eastAsia="Times New Roman" w:hAnsi="Times New Roman"/>
                  <w:sz w:val="13"/>
                  <w:szCs w:val="13"/>
                  <w:color w:val="0000FF"/>
                </w:rPr>
                <w:t>Consolidated Statements of Operations for the three and six months ended March 31, 2024 and 2023 (unaudited)</w:t>
              </w:r>
            </w:hyperlink>
          </w:p>
        </w:tc>
        <w:tc>
          <w:tcPr>
            <w:tcW w:w="600" w:type="dxa"/>
            <w:vAlign w:val="bottom"/>
            <w:gridSpan w:val="2"/>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rPr>
            </w:pPr>
            <w:hyperlink w:anchor="page6">
              <w:r>
                <w:rPr>
                  <w:rFonts w:ascii="Times New Roman" w:cs="Times New Roman" w:eastAsia="Times New Roman" w:hAnsi="Times New Roman"/>
                  <w:sz w:val="13"/>
                  <w:szCs w:val="13"/>
                  <w:color w:val="0000FF"/>
                </w:rPr>
                <w:t>Consolidated Statements of Changes in Net Assets for the three and six months ended March 31, 2024 and 2023 (unaudited)</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24"/>
          </w:tcPr>
          <w:p>
            <w:pPr>
              <w:spacing w:after="0"/>
              <w:rPr>
                <w:rFonts w:ascii="Times New Roman" w:cs="Times New Roman" w:eastAsia="Times New Roman" w:hAnsi="Times New Roman"/>
                <w:sz w:val="13"/>
                <w:szCs w:val="13"/>
                <w:color w:val="0000FF"/>
              </w:rPr>
            </w:pPr>
            <w:hyperlink w:anchor="page7">
              <w:r>
                <w:rPr>
                  <w:rFonts w:ascii="Times New Roman" w:cs="Times New Roman" w:eastAsia="Times New Roman" w:hAnsi="Times New Roman"/>
                  <w:sz w:val="13"/>
                  <w:szCs w:val="13"/>
                  <w:color w:val="0000FF"/>
                </w:rPr>
                <w:t>Consolidated Statements of Cash Flows for the six months ended March 31, 2024 and 2023 (unaudited)</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0" w:type="dxa"/>
            <w:vAlign w:val="bottom"/>
            <w:tcBorders>
              <w:bottom w:val="single" w:sz="8" w:color="0000FF"/>
            </w:tcBorders>
            <w:gridSpan w:val="18"/>
          </w:tcPr>
          <w:p>
            <w:pPr>
              <w:spacing w:after="0"/>
              <w:rPr>
                <w:rFonts w:ascii="Times New Roman" w:cs="Times New Roman" w:eastAsia="Times New Roman" w:hAnsi="Times New Roman"/>
                <w:sz w:val="13"/>
                <w:szCs w:val="13"/>
                <w:color w:val="0000FF"/>
              </w:rPr>
            </w:pPr>
            <w:hyperlink w:anchor="page8">
              <w:r>
                <w:rPr>
                  <w:rFonts w:ascii="Times New Roman" w:cs="Times New Roman" w:eastAsia="Times New Roman" w:hAnsi="Times New Roman"/>
                  <w:sz w:val="13"/>
                  <w:szCs w:val="13"/>
                  <w:color w:val="0000FF"/>
                </w:rPr>
                <w:t>Consolidated Schedules of Investments as of March 31, 2024 (unaudited) and September 30, 2023</w:t>
              </w:r>
            </w:hyperlink>
          </w:p>
        </w:tc>
        <w:tc>
          <w:tcPr>
            <w:tcW w:w="1360" w:type="dxa"/>
            <w:vAlign w:val="bottom"/>
            <w:gridSpan w:val="6"/>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rPr>
            </w:pPr>
            <w:hyperlink w:anchor="page21">
              <w:r>
                <w:rPr>
                  <w:rFonts w:ascii="Times New Roman" w:cs="Times New Roman" w:eastAsia="Times New Roman" w:hAnsi="Times New Roman"/>
                  <w:sz w:val="13"/>
                  <w:szCs w:val="13"/>
                  <w:color w:val="0000FF"/>
                </w:rPr>
                <w:t>Notes to Consolidated Financial Statements (unaudited)</w:t>
              </w:r>
            </w:hyperlink>
          </w:p>
        </w:tc>
        <w:tc>
          <w:tcPr>
            <w:tcW w:w="3600" w:type="dxa"/>
            <w:vAlign w:val="bottom"/>
            <w:gridSpan w:val="14"/>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340"/>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rPr>
            </w:pPr>
            <w:hyperlink w:anchor="page41">
              <w:r>
                <w:rPr>
                  <w:rFonts w:ascii="Times New Roman" w:cs="Times New Roman" w:eastAsia="Times New Roman" w:hAnsi="Times New Roman"/>
                  <w:sz w:val="13"/>
                  <w:szCs w:val="13"/>
                  <w:color w:val="0000FF"/>
                </w:rPr>
                <w:t>Report of Independent Registered Public Accounting Firm (PCAOB ID 49)</w:t>
              </w:r>
            </w:hyperlink>
          </w:p>
        </w:tc>
        <w:tc>
          <w:tcPr>
            <w:tcW w:w="2560" w:type="dxa"/>
            <w:vAlign w:val="bottom"/>
            <w:gridSpan w:val="10"/>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316"/>
        </w:trPr>
        <w:tc>
          <w:tcPr>
            <w:tcW w:w="40" w:type="dxa"/>
            <w:vAlign w:val="bottom"/>
          </w:tcPr>
          <w:p>
            <w:pPr>
              <w:spacing w:after="0"/>
              <w:rPr>
                <w:sz w:val="24"/>
                <w:szCs w:val="24"/>
                <w:color w:val="auto"/>
              </w:rPr>
            </w:pPr>
          </w:p>
        </w:tc>
        <w:tc>
          <w:tcPr>
            <w:tcW w:w="6860" w:type="dxa"/>
            <w:vAlign w:val="bottom"/>
            <w:gridSpan w:val="25"/>
          </w:tcPr>
          <w:p>
            <w:pPr>
              <w:spacing w:after="0"/>
              <w:rPr>
                <w:rFonts w:ascii="Times New Roman" w:cs="Times New Roman" w:eastAsia="Times New Roman" w:hAnsi="Times New Roman"/>
                <w:sz w:val="13"/>
                <w:szCs w:val="13"/>
                <w:b w:val="1"/>
                <w:bCs w:val="1"/>
                <w:color w:val="0000FF"/>
              </w:rPr>
            </w:pPr>
            <w:hyperlink w:anchor="page43">
              <w:r>
                <w:rPr>
                  <w:rFonts w:ascii="Times New Roman" w:cs="Times New Roman" w:eastAsia="Times New Roman" w:hAnsi="Times New Roman"/>
                  <w:sz w:val="13"/>
                  <w:szCs w:val="13"/>
                  <w:b w:val="1"/>
                  <w:bCs w:val="1"/>
                  <w:color w:val="0000FF"/>
                </w:rPr>
                <w:t>Item 2. Management’s Discussion and Analysis of Financial Condition and Results of Operations</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316"/>
        </w:trPr>
        <w:tc>
          <w:tcPr>
            <w:tcW w:w="40" w:type="dxa"/>
            <w:vAlign w:val="bottom"/>
          </w:tcPr>
          <w:p>
            <w:pPr>
              <w:spacing w:after="0"/>
              <w:rPr>
                <w:sz w:val="24"/>
                <w:szCs w:val="24"/>
                <w:color w:val="auto"/>
              </w:rPr>
            </w:pPr>
          </w:p>
        </w:tc>
        <w:tc>
          <w:tcPr>
            <w:tcW w:w="384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3"/>
                <w:szCs w:val="13"/>
                <w:b w:val="1"/>
                <w:bCs w:val="1"/>
                <w:color w:val="0000FF"/>
              </w:rPr>
            </w:pPr>
            <w:hyperlink w:anchor="page59">
              <w:r>
                <w:rPr>
                  <w:rFonts w:ascii="Times New Roman" w:cs="Times New Roman" w:eastAsia="Times New Roman" w:hAnsi="Times New Roman"/>
                  <w:sz w:val="13"/>
                  <w:szCs w:val="13"/>
                  <w:b w:val="1"/>
                  <w:bCs w:val="1"/>
                  <w:color w:val="0000FF"/>
                </w:rPr>
                <w:t>Item 3. Quantitative and Qualitative Disclosures About Market Risk</w:t>
              </w:r>
            </w:hyperlink>
          </w:p>
        </w:tc>
        <w:tc>
          <w:tcPr>
            <w:tcW w:w="1580" w:type="dxa"/>
            <w:vAlign w:val="bottom"/>
            <w:tcBorders>
              <w:top w:val="single" w:sz="8" w:color="0000FF"/>
            </w:tcBorders>
            <w:gridSpan w:val="5"/>
          </w:tcPr>
          <w:p>
            <w:pPr>
              <w:spacing w:after="0"/>
              <w:rPr>
                <w:sz w:val="24"/>
                <w:szCs w:val="24"/>
                <w:color w:val="auto"/>
              </w:rPr>
            </w:pPr>
          </w:p>
        </w:tc>
        <w:tc>
          <w:tcPr>
            <w:tcW w:w="1440" w:type="dxa"/>
            <w:vAlign w:val="bottom"/>
            <w:gridSpan w:val="7"/>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316"/>
        </w:trPr>
        <w:tc>
          <w:tcPr>
            <w:tcW w:w="40" w:type="dxa"/>
            <w:vAlign w:val="bottom"/>
          </w:tcPr>
          <w:p>
            <w:pPr>
              <w:spacing w:after="0"/>
              <w:rPr>
                <w:sz w:val="24"/>
                <w:szCs w:val="24"/>
                <w:color w:val="auto"/>
              </w:rPr>
            </w:pPr>
          </w:p>
        </w:tc>
        <w:tc>
          <w:tcPr>
            <w:tcW w:w="6860" w:type="dxa"/>
            <w:vAlign w:val="bottom"/>
            <w:gridSpan w:val="25"/>
          </w:tcPr>
          <w:p>
            <w:pPr>
              <w:spacing w:after="0"/>
              <w:rPr>
                <w:rFonts w:ascii="Times New Roman" w:cs="Times New Roman" w:eastAsia="Times New Roman" w:hAnsi="Times New Roman"/>
                <w:sz w:val="13"/>
                <w:szCs w:val="13"/>
                <w:b w:val="1"/>
                <w:bCs w:val="1"/>
                <w:color w:val="0000FF"/>
              </w:rPr>
            </w:pPr>
            <w:hyperlink w:anchor="page59">
              <w:r>
                <w:rPr>
                  <w:rFonts w:ascii="Times New Roman" w:cs="Times New Roman" w:eastAsia="Times New Roman" w:hAnsi="Times New Roman"/>
                  <w:sz w:val="13"/>
                  <w:szCs w:val="13"/>
                  <w:b w:val="1"/>
                  <w:bCs w:val="1"/>
                  <w:color w:val="0000FF"/>
                </w:rPr>
                <w:t>Item 4. Controls and Procedures</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316"/>
        </w:trPr>
        <w:tc>
          <w:tcPr>
            <w:tcW w:w="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11"/>
          </w:tcPr>
          <w:p>
            <w:pPr>
              <w:jc w:val="center"/>
              <w:ind w:right="900"/>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PART II. OTHER INFORMATION</w:t>
              </w:r>
            </w:hyperlink>
          </w:p>
        </w:tc>
        <w:tc>
          <w:tcPr>
            <w:tcW w:w="3660" w:type="dxa"/>
            <w:vAlign w:val="bottom"/>
          </w:tcPr>
          <w:p>
            <w:pPr>
              <w:spacing w:after="0"/>
              <w:rPr>
                <w:sz w:val="24"/>
                <w:szCs w:val="24"/>
                <w:color w:val="auto"/>
              </w:rPr>
            </w:pPr>
          </w:p>
        </w:tc>
      </w:tr>
      <w:tr>
        <w:trPr>
          <w:trHeight w:val="316"/>
        </w:trPr>
        <w:tc>
          <w:tcPr>
            <w:tcW w:w="40" w:type="dxa"/>
            <w:vAlign w:val="bottom"/>
          </w:tcPr>
          <w:p>
            <w:pPr>
              <w:spacing w:after="0"/>
              <w:rPr>
                <w:sz w:val="24"/>
                <w:szCs w:val="24"/>
                <w:color w:val="auto"/>
              </w:rPr>
            </w:pPr>
          </w:p>
        </w:tc>
        <w:tc>
          <w:tcPr>
            <w:tcW w:w="3920" w:type="dxa"/>
            <w:vAlign w:val="bottom"/>
            <w:gridSpan w:val="14"/>
          </w:tcPr>
          <w:p>
            <w:pPr>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Item 1. Legal Proceedings</w:t>
              </w:r>
            </w:hyperlink>
          </w:p>
        </w:tc>
        <w:tc>
          <w:tcPr>
            <w:tcW w:w="2040" w:type="dxa"/>
            <w:vAlign w:val="bottom"/>
            <w:tcBorders>
              <w:top w:val="single" w:sz="8" w:color="0000FF"/>
            </w:tcBorders>
            <w:gridSpan w:val="7"/>
          </w:tcPr>
          <w:p>
            <w:pPr>
              <w:spacing w:after="0"/>
              <w:rPr>
                <w:sz w:val="24"/>
                <w:szCs w:val="24"/>
                <w:color w:val="auto"/>
              </w:rPr>
            </w:pPr>
          </w:p>
        </w:tc>
        <w:tc>
          <w:tcPr>
            <w:tcW w:w="900" w:type="dxa"/>
            <w:vAlign w:val="bottom"/>
            <w:gridSpan w:val="4"/>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316"/>
        </w:trPr>
        <w:tc>
          <w:tcPr>
            <w:tcW w:w="40" w:type="dxa"/>
            <w:vAlign w:val="bottom"/>
          </w:tcPr>
          <w:p>
            <w:pPr>
              <w:spacing w:after="0"/>
              <w:rPr>
                <w:sz w:val="24"/>
                <w:szCs w:val="24"/>
                <w:color w:val="auto"/>
              </w:rPr>
            </w:pPr>
          </w:p>
        </w:tc>
        <w:tc>
          <w:tcPr>
            <w:tcW w:w="1440" w:type="dxa"/>
            <w:vAlign w:val="bottom"/>
            <w:tcBorders>
              <w:top w:val="single" w:sz="8" w:color="0000FF"/>
            </w:tcBorders>
            <w:gridSpan w:val="5"/>
          </w:tcPr>
          <w:p>
            <w:pPr>
              <w:spacing w:after="0"/>
              <w:rPr>
                <w:rFonts w:ascii="Times New Roman" w:cs="Times New Roman" w:eastAsia="Times New Roman" w:hAnsi="Times New Roman"/>
                <w:sz w:val="13"/>
                <w:szCs w:val="13"/>
                <w:b w:val="1"/>
                <w:bCs w:val="1"/>
                <w:color w:val="0000FF"/>
              </w:rPr>
            </w:pPr>
            <w:hyperlink w:anchor="page60">
              <w:r>
                <w:rPr>
                  <w:rFonts w:ascii="Times New Roman" w:cs="Times New Roman" w:eastAsia="Times New Roman" w:hAnsi="Times New Roman"/>
                  <w:sz w:val="13"/>
                  <w:szCs w:val="13"/>
                  <w:b w:val="1"/>
                  <w:bCs w:val="1"/>
                  <w:color w:val="0000FF"/>
                </w:rPr>
                <w:t>Item 1A. Risk Factors</w:t>
              </w:r>
            </w:hyperlink>
          </w:p>
        </w:tc>
        <w:tc>
          <w:tcPr>
            <w:tcW w:w="5420" w:type="dxa"/>
            <w:vAlign w:val="bottom"/>
            <w:gridSpan w:val="20"/>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080" w:type="dxa"/>
            <w:vAlign w:val="bottom"/>
            <w:gridSpan w:val="1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16"/>
        </w:trPr>
        <w:tc>
          <w:tcPr>
            <w:tcW w:w="40" w:type="dxa"/>
            <w:vAlign w:val="bottom"/>
          </w:tcPr>
          <w:p>
            <w:pPr>
              <w:spacing w:after="0"/>
              <w:rPr>
                <w:sz w:val="24"/>
                <w:szCs w:val="24"/>
                <w:color w:val="auto"/>
              </w:rPr>
            </w:pPr>
          </w:p>
        </w:tc>
        <w:tc>
          <w:tcPr>
            <w:tcW w:w="3780" w:type="dxa"/>
            <w:vAlign w:val="bottom"/>
            <w:tcBorders>
              <w:bottom w:val="single" w:sz="8" w:color="0000FF"/>
            </w:tcBorders>
            <w:gridSpan w:val="12"/>
          </w:tcPr>
          <w:p>
            <w:pPr>
              <w:spacing w:after="0"/>
              <w:rPr>
                <w:rFonts w:ascii="Times New Roman" w:cs="Times New Roman" w:eastAsia="Times New Roman" w:hAnsi="Times New Roman"/>
                <w:sz w:val="13"/>
                <w:szCs w:val="13"/>
                <w:b w:val="1"/>
                <w:bCs w:val="1"/>
                <w:color w:val="0000FF"/>
              </w:rPr>
            </w:pPr>
            <w:hyperlink w:anchor="page61">
              <w:r>
                <w:rPr>
                  <w:rFonts w:ascii="Times New Roman" w:cs="Times New Roman" w:eastAsia="Times New Roman" w:hAnsi="Times New Roman"/>
                  <w:sz w:val="13"/>
                  <w:szCs w:val="13"/>
                  <w:b w:val="1"/>
                  <w:bCs w:val="1"/>
                  <w:color w:val="0000FF"/>
                </w:rPr>
                <w:t>Item 2. Unregistered Sales of Equity Securities and Use of Proceeds</w:t>
              </w:r>
            </w:hyperlink>
          </w:p>
        </w:tc>
        <w:tc>
          <w:tcPr>
            <w:tcW w:w="3080" w:type="dxa"/>
            <w:vAlign w:val="bottom"/>
            <w:gridSpan w:val="13"/>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16"/>
        </w:trPr>
        <w:tc>
          <w:tcPr>
            <w:tcW w:w="40" w:type="dxa"/>
            <w:vAlign w:val="bottom"/>
          </w:tcPr>
          <w:p>
            <w:pPr>
              <w:spacing w:after="0"/>
              <w:rPr>
                <w:sz w:val="24"/>
                <w:szCs w:val="24"/>
                <w:color w:val="auto"/>
              </w:rPr>
            </w:pPr>
          </w:p>
        </w:tc>
        <w:tc>
          <w:tcPr>
            <w:tcW w:w="2220" w:type="dxa"/>
            <w:vAlign w:val="bottom"/>
            <w:tcBorders>
              <w:bottom w:val="single" w:sz="8" w:color="0000FF"/>
            </w:tcBorders>
            <w:gridSpan w:val="9"/>
          </w:tcPr>
          <w:p>
            <w:pPr>
              <w:spacing w:after="0"/>
              <w:rPr>
                <w:rFonts w:ascii="Times New Roman" w:cs="Times New Roman" w:eastAsia="Times New Roman" w:hAnsi="Times New Roman"/>
                <w:sz w:val="13"/>
                <w:szCs w:val="13"/>
                <w:b w:val="1"/>
                <w:bCs w:val="1"/>
                <w:color w:val="0000FF"/>
              </w:rPr>
            </w:pPr>
            <w:hyperlink w:anchor="page61">
              <w:r>
                <w:rPr>
                  <w:rFonts w:ascii="Times New Roman" w:cs="Times New Roman" w:eastAsia="Times New Roman" w:hAnsi="Times New Roman"/>
                  <w:sz w:val="13"/>
                  <w:szCs w:val="13"/>
                  <w:b w:val="1"/>
                  <w:bCs w:val="1"/>
                  <w:color w:val="0000FF"/>
                </w:rPr>
                <w:t>Item 3. Defaults Upon Senior Securities</w:t>
              </w:r>
            </w:hyperlink>
          </w:p>
        </w:tc>
        <w:tc>
          <w:tcPr>
            <w:tcW w:w="4640" w:type="dxa"/>
            <w:vAlign w:val="bottom"/>
            <w:gridSpan w:val="16"/>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16"/>
        </w:trPr>
        <w:tc>
          <w:tcPr>
            <w:tcW w:w="40" w:type="dxa"/>
            <w:vAlign w:val="bottom"/>
          </w:tcPr>
          <w:p>
            <w:pPr>
              <w:spacing w:after="0"/>
              <w:rPr>
                <w:sz w:val="24"/>
                <w:szCs w:val="24"/>
                <w:color w:val="auto"/>
              </w:rPr>
            </w:pPr>
          </w:p>
        </w:tc>
        <w:tc>
          <w:tcPr>
            <w:tcW w:w="6860" w:type="dxa"/>
            <w:vAlign w:val="bottom"/>
            <w:gridSpan w:val="25"/>
          </w:tcPr>
          <w:p>
            <w:pPr>
              <w:spacing w:after="0"/>
              <w:rPr>
                <w:rFonts w:ascii="Times New Roman" w:cs="Times New Roman" w:eastAsia="Times New Roman" w:hAnsi="Times New Roman"/>
                <w:sz w:val="13"/>
                <w:szCs w:val="13"/>
                <w:b w:val="1"/>
                <w:bCs w:val="1"/>
                <w:color w:val="0000FF"/>
              </w:rPr>
            </w:pPr>
            <w:hyperlink w:anchor="page61">
              <w:r>
                <w:rPr>
                  <w:rFonts w:ascii="Times New Roman" w:cs="Times New Roman" w:eastAsia="Times New Roman" w:hAnsi="Times New Roman"/>
                  <w:sz w:val="13"/>
                  <w:szCs w:val="13"/>
                  <w:b w:val="1"/>
                  <w:bCs w:val="1"/>
                  <w:color w:val="0000FF"/>
                </w:rPr>
                <w:t>Item 4. Mine Safety Disclosures</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16"/>
        </w:trPr>
        <w:tc>
          <w:tcPr>
            <w:tcW w:w="40" w:type="dxa"/>
            <w:vAlign w:val="bottom"/>
          </w:tcPr>
          <w:p>
            <w:pPr>
              <w:spacing w:after="0"/>
              <w:rPr>
                <w:sz w:val="24"/>
                <w:szCs w:val="24"/>
                <w:color w:val="auto"/>
              </w:rPr>
            </w:pPr>
          </w:p>
        </w:tc>
        <w:tc>
          <w:tcPr>
            <w:tcW w:w="148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3"/>
                <w:szCs w:val="13"/>
                <w:b w:val="1"/>
                <w:bCs w:val="1"/>
                <w:color w:val="0000FF"/>
                <w:w w:val="99"/>
              </w:rPr>
            </w:pPr>
            <w:hyperlink w:anchor="page61">
              <w:r>
                <w:rPr>
                  <w:rFonts w:ascii="Times New Roman" w:cs="Times New Roman" w:eastAsia="Times New Roman" w:hAnsi="Times New Roman"/>
                  <w:sz w:val="13"/>
                  <w:szCs w:val="13"/>
                  <w:b w:val="1"/>
                  <w:bCs w:val="1"/>
                  <w:color w:val="0000FF"/>
                  <w:w w:val="99"/>
                </w:rPr>
                <w:t>Item 5. Other Information</w:t>
              </w:r>
            </w:hyperlink>
          </w:p>
        </w:tc>
        <w:tc>
          <w:tcPr>
            <w:tcW w:w="280" w:type="dxa"/>
            <w:vAlign w:val="bottom"/>
            <w:tcBorders>
              <w:top w:val="single" w:sz="8" w:color="0000FF"/>
            </w:tcBorders>
          </w:tcPr>
          <w:p>
            <w:pPr>
              <w:spacing w:after="0"/>
              <w:rPr>
                <w:sz w:val="24"/>
                <w:szCs w:val="24"/>
                <w:color w:val="auto"/>
              </w:rPr>
            </w:pPr>
          </w:p>
        </w:tc>
        <w:tc>
          <w:tcPr>
            <w:tcW w:w="5100" w:type="dxa"/>
            <w:vAlign w:val="bottom"/>
            <w:gridSpan w:val="18"/>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16"/>
        </w:trPr>
        <w:tc>
          <w:tcPr>
            <w:tcW w:w="40" w:type="dxa"/>
            <w:vAlign w:val="bottom"/>
          </w:tcPr>
          <w:p>
            <w:pPr>
              <w:spacing w:after="0"/>
              <w:rPr>
                <w:sz w:val="24"/>
                <w:szCs w:val="24"/>
                <w:color w:val="auto"/>
              </w:rPr>
            </w:pPr>
          </w:p>
        </w:tc>
        <w:tc>
          <w:tcPr>
            <w:tcW w:w="900" w:type="dxa"/>
            <w:vAlign w:val="bottom"/>
            <w:tcBorders>
              <w:bottom w:val="single" w:sz="8" w:color="0000FF"/>
            </w:tcBorders>
            <w:gridSpan w:val="3"/>
          </w:tcPr>
          <w:p>
            <w:pPr>
              <w:spacing w:after="0"/>
              <w:rPr>
                <w:rFonts w:ascii="Times New Roman" w:cs="Times New Roman" w:eastAsia="Times New Roman" w:hAnsi="Times New Roman"/>
                <w:sz w:val="13"/>
                <w:szCs w:val="13"/>
                <w:b w:val="1"/>
                <w:bCs w:val="1"/>
                <w:color w:val="0000FF"/>
                <w:w w:val="99"/>
              </w:rPr>
            </w:pPr>
            <w:hyperlink w:anchor="page62">
              <w:r>
                <w:rPr>
                  <w:rFonts w:ascii="Times New Roman" w:cs="Times New Roman" w:eastAsia="Times New Roman" w:hAnsi="Times New Roman"/>
                  <w:sz w:val="13"/>
                  <w:szCs w:val="13"/>
                  <w:b w:val="1"/>
                  <w:bCs w:val="1"/>
                  <w:color w:val="0000FF"/>
                  <w:w w:val="99"/>
                </w:rPr>
                <w:t>Item 6. Exhibits</w:t>
              </w:r>
            </w:hyperlink>
          </w:p>
        </w:tc>
        <w:tc>
          <w:tcPr>
            <w:tcW w:w="5960" w:type="dxa"/>
            <w:vAlign w:val="bottom"/>
            <w:gridSpan w:val="22"/>
          </w:tcPr>
          <w:p>
            <w:pPr>
              <w:spacing w:after="0"/>
              <w:rPr>
                <w:sz w:val="24"/>
                <w:szCs w:val="24"/>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316"/>
        </w:trPr>
        <w:tc>
          <w:tcPr>
            <w:tcW w:w="40" w:type="dxa"/>
            <w:vAlign w:val="bottom"/>
          </w:tcPr>
          <w:p>
            <w:pPr>
              <w:spacing w:after="0"/>
              <w:rPr>
                <w:sz w:val="24"/>
                <w:szCs w:val="24"/>
                <w:color w:val="auto"/>
              </w:rPr>
            </w:pPr>
          </w:p>
        </w:tc>
        <w:tc>
          <w:tcPr>
            <w:tcW w:w="6860" w:type="dxa"/>
            <w:vAlign w:val="bottom"/>
            <w:gridSpan w:val="25"/>
          </w:tcPr>
          <w:p>
            <w:pPr>
              <w:spacing w:after="0"/>
              <w:rPr>
                <w:rFonts w:ascii="Times New Roman" w:cs="Times New Roman" w:eastAsia="Times New Roman" w:hAnsi="Times New Roman"/>
                <w:sz w:val="13"/>
                <w:szCs w:val="13"/>
                <w:b w:val="1"/>
                <w:bCs w:val="1"/>
                <w:color w:val="0000FF"/>
              </w:rPr>
            </w:pPr>
            <w:hyperlink w:anchor="page63">
              <w:r>
                <w:rPr>
                  <w:rFonts w:ascii="Times New Roman" w:cs="Times New Roman" w:eastAsia="Times New Roman" w:hAnsi="Times New Roman"/>
                  <w:sz w:val="13"/>
                  <w:szCs w:val="13"/>
                  <w:b w:val="1"/>
                  <w:bCs w:val="1"/>
                  <w:color w:val="0000FF"/>
                </w:rPr>
                <w:t>SIGNATURES</w:t>
              </w:r>
            </w:hyperlink>
          </w:p>
        </w:tc>
        <w:tc>
          <w:tcPr>
            <w:tcW w:w="3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512"/>
        </w:trPr>
        <w:tc>
          <w:tcPr>
            <w:tcW w:w="40" w:type="dxa"/>
            <w:vAlign w:val="bottom"/>
          </w:tcPr>
          <w:p>
            <w:pPr>
              <w:spacing w:after="0"/>
              <w:rPr>
                <w:sz w:val="24"/>
                <w:szCs w:val="24"/>
                <w:color w:val="auto"/>
              </w:rPr>
            </w:pPr>
          </w:p>
        </w:tc>
        <w:tc>
          <w:tcPr>
            <w:tcW w:w="840" w:type="dxa"/>
            <w:vAlign w:val="bottom"/>
            <w:tcBorders>
              <w:top w:val="single" w:sz="8" w:color="0000FF"/>
            </w:tcBorders>
            <w:gridSpan w:val="2"/>
          </w:tcPr>
          <w:p>
            <w:pPr>
              <w:spacing w:after="0"/>
              <w:rPr>
                <w:sz w:val="24"/>
                <w:szCs w:val="24"/>
                <w:color w:val="auto"/>
              </w:rPr>
            </w:pPr>
          </w:p>
        </w:tc>
        <w:tc>
          <w:tcPr>
            <w:tcW w:w="4580" w:type="dxa"/>
            <w:vAlign w:val="bottom"/>
            <w:gridSpan w:val="16"/>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680"/>
        </w:trPr>
        <w:tc>
          <w:tcPr>
            <w:tcW w:w="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36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-3993515</wp:posOffset>
            </wp:positionV>
            <wp:extent cx="22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-3993515</wp:posOffset>
            </wp:positionV>
            <wp:extent cx="22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1264" w:right="680"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PART I—CONSOLIDATED FINANCIAL INFORMATION</w:t>
      </w:r>
    </w:p>
    <w:p>
      <w:pPr>
        <w:spacing w:after="0" w:line="23" w:lineRule="exact"/>
        <w:rPr>
          <w:sz w:val="20"/>
          <w:szCs w:val="20"/>
          <w:color w:val="auto"/>
        </w:rPr>
      </w:pPr>
    </w:p>
    <w:p>
      <w:pPr>
        <w:ind w:firstLine="420"/>
        <w:spacing w:after="0" w:line="252" w:lineRule="auto"/>
        <w:rPr>
          <w:sz w:val="20"/>
          <w:szCs w:val="20"/>
          <w:color w:val="auto"/>
        </w:rPr>
      </w:pPr>
      <w:r>
        <w:rPr>
          <w:rFonts w:ascii="Times New Roman" w:cs="Times New Roman" w:eastAsia="Times New Roman" w:hAnsi="Times New Roman"/>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collectively our consolidated subsidiaries PFLT Investment Holdings II, LLC and PFLT Investment Holdings, LLC; “PSSL” refers to PennantPark Senior Secured Loan Fund I LLC, an unconsolidated joint venture; “PTSF” refers to PennantPark -TSO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w:t>
      </w:r>
    </w:p>
    <w:p>
      <w:pPr>
        <w:spacing w:after="0" w:line="4" w:lineRule="exact"/>
        <w:rPr>
          <w:sz w:val="20"/>
          <w:szCs w:val="20"/>
          <w:color w:val="auto"/>
        </w:rPr>
      </w:pPr>
    </w:p>
    <w:p>
      <w:pPr>
        <w:spacing w:after="0" w:line="157" w:lineRule="exact"/>
        <w:rPr>
          <w:sz w:val="20"/>
          <w:szCs w:val="20"/>
          <w:color w:val="auto"/>
        </w:rPr>
      </w:pPr>
      <w:r>
        <w:rPr>
          <w:rFonts w:ascii="Times New Roman" w:cs="Times New Roman" w:eastAsia="Times New Roman" w:hAnsi="Times New Roman"/>
          <w:sz w:val="13"/>
          <w:szCs w:val="13"/>
          <w:color w:val="auto"/>
        </w:rPr>
        <w:t>refers to the Internal Revenue Code of 1986, as amended; “RIC” refers to a regulated investment company under the Code; “BDC” refers to a business development company under the 1940 Act;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 -1 Senior Secured Floating Rate Notes due 2031, the Class A-2 Senior Secured Fixed Rate Notes due 2031, the Class B-1 Senior Secured Floating Rate Notes due 2031, the Class B-2 Senior Secured Fixed Rate Notes due 2031, the Class C- 1 Secured Deferrable Floating Rate Notes due 2031, the Class C- 2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Notes due 2031 by the Securitization Issuers in connection with the Debt Securitization; and “Depositor” refers to PennantPark CLO I Depositor, LLC. 2036 Securitization Issuer refers to PennantPark CLO VIII, LLC; “2036-Debt Securitization” refers to the $350.6 million term debt securitization completed by the "2036 Securitization Issuers"; “2036 Asset-Backed Debt” refers to the issuance of the AAA(sf) Class A-1 Notes, AAA(sf) Class A-2 Notes, AA(sf) Class B Notes, A(sf) Class C Notes, BBB-(sf) Class D Notes, and the borrowing issuance of AAA(sf) Class A-1 floating rate loans. (the "Class A-1 Loans" with the 2036-Secured Notes.) References to our portfolio, our investments, our multi-currency, senior secured revolving credit facility, as amended and restated, or the Credit Facility, and our business include investments we make through our subsidiaries.</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264" w:right="76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color w:val="auto"/>
        </w:rPr>
        <w:t>Item 1.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ASSETS AND LIABILITIES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00" w:type="dxa"/>
            <w:vAlign w:val="bottom"/>
          </w:tcPr>
          <w:p>
            <w:pPr>
              <w:spacing w:after="0"/>
              <w:rPr>
                <w:sz w:val="15"/>
                <w:szCs w:val="15"/>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84"/>
        </w:trPr>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CECFF"/>
          </w:tcPr>
          <w:p>
            <w:pPr>
              <w:spacing w:after="0"/>
              <w:rPr>
                <w:sz w:val="16"/>
                <w:szCs w:val="16"/>
                <w:color w:val="auto"/>
              </w:rPr>
            </w:pPr>
          </w:p>
        </w:tc>
        <w:tc>
          <w:tcPr>
            <w:tcW w:w="12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 (amortized cost— $1,164,243 and $768,240, respectively)</w:t>
            </w:r>
          </w:p>
        </w:tc>
        <w:tc>
          <w:tcPr>
            <w:tcW w:w="160" w:type="dxa"/>
            <w:vAlign w:val="bottom"/>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1,176,680</w:t>
            </w: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772,178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Controlled, affiliated investments (amortized cost— $325,436 and $324,639, respectively)</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301,203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294,996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Total investments (amortized cost— $1,489,679 and $1,092,878, respectively)</w:t>
            </w:r>
          </w:p>
        </w:tc>
        <w:tc>
          <w:tcPr>
            <w:tcW w:w="1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1,477,883</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1,067,174</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520" w:type="dxa"/>
            <w:vAlign w:val="bottom"/>
            <w:vMerge w:val="continue"/>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 $125,246 and $100,555, respectively)</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125,252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6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11,888</w:t>
            </w: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receivable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6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3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1,615,840</w:t>
            </w: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1,179,611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 at fair value (cost— $168,855 and $9,400, respectively)</w:t>
            </w:r>
          </w:p>
        </w:tc>
        <w:tc>
          <w:tcPr>
            <w:tcW w:w="1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168,878</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2036 Asset-Backed Debt, net (par—$287,000)</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283,816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2031 Asset-Backed Debt, net (par—$226,259 and $228,000, respectively)</w:t>
            </w:r>
          </w:p>
        </w:tc>
        <w:tc>
          <w:tcPr>
            <w:tcW w:w="16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225,333</w:t>
            </w: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226,759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 payable, net (par—$185,000)</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183,443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debt</w:t>
            </w:r>
          </w:p>
        </w:tc>
        <w:tc>
          <w:tcPr>
            <w:tcW w:w="160" w:type="dxa"/>
            <w:vAlign w:val="bottom"/>
            <w:shd w:val="clear" w:color="auto" w:fill="CCECFF"/>
          </w:tcPr>
          <w:p>
            <w:pPr>
              <w:spacing w:after="0"/>
              <w:rPr>
                <w:sz w:val="15"/>
                <w:szCs w:val="15"/>
                <w:color w:val="auto"/>
              </w:rPr>
            </w:pPr>
          </w:p>
        </w:tc>
        <w:tc>
          <w:tcPr>
            <w:tcW w:w="12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11,304</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8,615</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520" w:type="dxa"/>
            <w:vAlign w:val="bottom"/>
            <w:vMerge w:val="continue"/>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1200" w:type="dxa"/>
            <w:vAlign w:val="bottom"/>
            <w:vMerge w:val="continue"/>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260" w:type="dxa"/>
            <w:vAlign w:val="bottom"/>
            <w:shd w:val="clear" w:color="auto" w:fill="CCECFF"/>
          </w:tcPr>
          <w:p>
            <w:pPr>
              <w:spacing w:after="0"/>
              <w:rPr>
                <w:sz w:val="6"/>
                <w:szCs w:val="6"/>
                <w:color w:val="auto"/>
              </w:rPr>
            </w:pPr>
          </w:p>
        </w:tc>
        <w:tc>
          <w:tcPr>
            <w:tcW w:w="8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payable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6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4,905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 payable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16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3,424</w:t>
            </w: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2,759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liability</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160" w:type="dxa"/>
            <w:vAlign w:val="bottom"/>
            <w:shd w:val="clear" w:color="auto" w:fill="CCECFF"/>
          </w:tcPr>
          <w:p>
            <w:pPr>
              <w:spacing w:after="0"/>
              <w:rPr>
                <w:sz w:val="16"/>
                <w:szCs w:val="16"/>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2,098</w:t>
            </w:r>
          </w:p>
        </w:tc>
        <w:tc>
          <w:tcPr>
            <w:tcW w:w="2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2023 Notes payable, at fair value (par—$0 and $76,219, respectively)</w:t>
            </w:r>
          </w:p>
        </w:tc>
        <w:tc>
          <w:tcPr>
            <w:tcW w:w="160" w:type="dxa"/>
            <w:vAlign w:val="bottom"/>
            <w:shd w:val="clear" w:color="auto" w:fill="CCECFF"/>
          </w:tcPr>
          <w:p>
            <w:pPr>
              <w:spacing w:after="0"/>
              <w:rPr>
                <w:sz w:val="16"/>
                <w:szCs w:val="16"/>
                <w:color w:val="auto"/>
              </w:rPr>
            </w:pPr>
          </w:p>
        </w:tc>
        <w:tc>
          <w:tcPr>
            <w:tcW w:w="14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6"/>
                <w:szCs w:val="16"/>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76,219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5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895,129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(See Note 11)</w:t>
            </w:r>
          </w:p>
        </w:tc>
        <w:tc>
          <w:tcPr>
            <w:tcW w:w="160" w:type="dxa"/>
            <w:vAlign w:val="bottom"/>
            <w:shd w:val="clear" w:color="auto" w:fill="CCECFF"/>
          </w:tcPr>
          <w:p>
            <w:pPr>
              <w:spacing w:after="0"/>
              <w:rPr>
                <w:sz w:val="15"/>
                <w:szCs w:val="15"/>
                <w:color w:val="auto"/>
              </w:rPr>
            </w:pPr>
          </w:p>
        </w:tc>
        <w:tc>
          <w:tcPr>
            <w:tcW w:w="12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Common stock, 63,228,138 and 58,734,702 shares issued and outstanding, respectively</w:t>
            </w:r>
          </w:p>
        </w:tc>
        <w:tc>
          <w:tcPr>
            <w:tcW w:w="1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5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Par value $0.001 per share and 100,000,000 shares authorized</w:t>
            </w:r>
          </w:p>
        </w:tc>
        <w:tc>
          <w:tcPr>
            <w:tcW w:w="1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Paid-in capital in excess of par value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815,587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765,187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160" w:type="dxa"/>
            <w:vAlign w:val="bottom"/>
            <w:shd w:val="clear" w:color="auto" w:fill="CCECFF"/>
          </w:tcPr>
          <w:p>
            <w:pPr>
              <w:spacing w:after="0"/>
              <w:rPr>
                <w:sz w:val="16"/>
                <w:szCs w:val="16"/>
                <w:color w:val="auto"/>
              </w:rPr>
            </w:pPr>
          </w:p>
        </w:tc>
        <w:tc>
          <w:tcPr>
            <w:tcW w:w="14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(94,939 )</w:t>
            </w:r>
          </w:p>
        </w:tc>
        <w:tc>
          <w:tcPr>
            <w:tcW w:w="100" w:type="dxa"/>
            <w:vAlign w:val="bottom"/>
            <w:shd w:val="clear" w:color="auto" w:fill="CCECFF"/>
          </w:tcPr>
          <w:p>
            <w:pPr>
              <w:spacing w:after="0"/>
              <w:rPr>
                <w:sz w:val="16"/>
                <w:szCs w:val="16"/>
                <w:color w:val="auto"/>
              </w:rPr>
            </w:pPr>
          </w:p>
        </w:tc>
        <w:tc>
          <w:tcPr>
            <w:tcW w:w="13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(111,641 )</w:t>
            </w:r>
          </w:p>
        </w:tc>
        <w:tc>
          <w:tcPr>
            <w:tcW w:w="0" w:type="dxa"/>
            <w:vAlign w:val="bottom"/>
          </w:tcPr>
          <w:p>
            <w:pPr>
              <w:spacing w:after="0"/>
              <w:rPr>
                <w:sz w:val="1"/>
                <w:szCs w:val="1"/>
                <w:color w:val="auto"/>
              </w:rPr>
            </w:pPr>
          </w:p>
        </w:tc>
      </w:tr>
      <w:tr>
        <w:trPr>
          <w:trHeight w:val="177"/>
        </w:trPr>
        <w:tc>
          <w:tcPr>
            <w:tcW w:w="75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720,711</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653,605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2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1,615,840</w:t>
            </w:r>
          </w:p>
        </w:tc>
        <w:tc>
          <w:tcPr>
            <w:tcW w:w="24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1,179,611</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20" w:type="dxa"/>
            <w:vAlign w:val="bottom"/>
          </w:tcPr>
          <w:p>
            <w:pPr>
              <w:spacing w:after="0"/>
              <w:rPr>
                <w:sz w:val="15"/>
                <w:szCs w:val="15"/>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non-controlled, non-affiliated investments:</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30,470</w:t>
            </w:r>
          </w:p>
        </w:tc>
        <w:tc>
          <w:tcPr>
            <w:tcW w:w="48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22,717</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54,238</w:t>
            </w:r>
          </w:p>
        </w:tc>
        <w:tc>
          <w:tcPr>
            <w:tcW w:w="22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43,452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1,085</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From controlled, affiliated investments:</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14,550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Dividend</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3,719</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7,219</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44,354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34,554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82,327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65,891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and expenses on debt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9,752</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Performance-based incentive fee</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4,767</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4,186</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9,630</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7,619</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Base management fee</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1,410</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Administrative services expenses</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Expenses before provision for taxes</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24,719</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17,660</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43,089</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34,731</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net investment income</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25,266</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17,810</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43,790</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35,415</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38,537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30,476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 and debt:</w:t>
            </w: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4,010</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(7,518 )</w:t>
            </w: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(7,455 )</w:t>
            </w: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and controlled, affiliated investments</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Provision for taxes on realized gain on investments</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(300 )</w:t>
            </w: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(300 )</w:t>
            </w:r>
          </w:p>
        </w:tc>
        <w:tc>
          <w:tcPr>
            <w:tcW w:w="0" w:type="dxa"/>
            <w:vAlign w:val="bottom"/>
          </w:tcPr>
          <w:p>
            <w:pPr>
              <w:spacing w:after="0"/>
              <w:rPr>
                <w:sz w:val="1"/>
                <w:szCs w:val="1"/>
                <w:color w:val="auto"/>
              </w:rPr>
            </w:pPr>
          </w:p>
        </w:tc>
      </w:tr>
      <w:tr>
        <w:trPr>
          <w:trHeight w:val="177"/>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gain (loss) on investments</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(7,818 )</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(7,755 )</w:t>
            </w:r>
          </w:p>
        </w:tc>
        <w:tc>
          <w:tcPr>
            <w:tcW w:w="0" w:type="dxa"/>
            <w:vAlign w:val="bottom"/>
          </w:tcPr>
          <w:p>
            <w:pPr>
              <w:spacing w:after="0"/>
              <w:rPr>
                <w:sz w:val="1"/>
                <w:szCs w:val="1"/>
                <w:color w:val="auto"/>
              </w:rPr>
            </w:pPr>
          </w:p>
        </w:tc>
      </w:tr>
      <w:tr>
        <w:trPr>
          <w:trHeight w:val="183"/>
        </w:trPr>
        <w:tc>
          <w:tcPr>
            <w:tcW w:w="5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 on:</w:t>
            </w: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(2,561 )</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(15,254 )</w:t>
            </w: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Controlled and non-controlled, affiliated investments</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4,466</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(1,618 )</w:t>
            </w: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5,408</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(5,682 )</w:t>
            </w:r>
          </w:p>
        </w:tc>
        <w:tc>
          <w:tcPr>
            <w:tcW w:w="0" w:type="dxa"/>
            <w:vAlign w:val="bottom"/>
          </w:tcPr>
          <w:p>
            <w:pPr>
              <w:spacing w:after="0"/>
              <w:rPr>
                <w:sz w:val="1"/>
                <w:szCs w:val="1"/>
                <w:color w:val="auto"/>
              </w:rPr>
            </w:pPr>
          </w:p>
        </w:tc>
      </w:tr>
      <w:tr>
        <w:trPr>
          <w:trHeight w:val="176"/>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taxes on unrealized appreciation (depreciation) on investments</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Debt (appreciation) depreciation</w:t>
            </w: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(1,158 )</w:t>
            </w: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(23 )</w:t>
            </w: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3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change in unrealized appreciation (depreciation) on investments and debt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(1,683 )</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(17,098 )</w:t>
            </w:r>
          </w:p>
        </w:tc>
        <w:tc>
          <w:tcPr>
            <w:tcW w:w="0" w:type="dxa"/>
            <w:vAlign w:val="bottom"/>
          </w:tcPr>
          <w:p>
            <w:pPr>
              <w:spacing w:after="0"/>
              <w:rPr>
                <w:sz w:val="1"/>
                <w:szCs w:val="1"/>
                <w:color w:val="auto"/>
              </w:rPr>
            </w:pPr>
          </w:p>
        </w:tc>
      </w:tr>
      <w:tr>
        <w:trPr>
          <w:trHeight w:val="183"/>
        </w:trPr>
        <w:tc>
          <w:tcPr>
            <w:tcW w:w="53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from investments and debt</w:t>
            </w: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12,023</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(9,501 )</w:t>
            </w:r>
          </w:p>
        </w:tc>
        <w:tc>
          <w:tcPr>
            <w:tcW w:w="22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15,042</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(24,853 )</w:t>
            </w:r>
          </w:p>
        </w:tc>
        <w:tc>
          <w:tcPr>
            <w:tcW w:w="0" w:type="dxa"/>
            <w:vAlign w:val="bottom"/>
          </w:tcPr>
          <w:p>
            <w:pPr>
              <w:spacing w:after="0"/>
              <w:rPr>
                <w:sz w:val="1"/>
                <w:szCs w:val="1"/>
                <w:color w:val="auto"/>
              </w:rPr>
            </w:pPr>
          </w:p>
        </w:tc>
      </w:tr>
      <w:tr>
        <w:trPr>
          <w:trHeight w:val="174"/>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31,111</w:t>
            </w:r>
          </w:p>
        </w:tc>
        <w:tc>
          <w:tcPr>
            <w:tcW w:w="48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7,243</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53,579</w:t>
            </w:r>
          </w:p>
        </w:tc>
        <w:tc>
          <w:tcPr>
            <w:tcW w:w="22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5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380" w:type="dxa"/>
            <w:vAlign w:val="bottom"/>
            <w:shd w:val="clear" w:color="auto" w:fill="CCECFF"/>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 per common share (See Note</w:t>
            </w:r>
          </w:p>
        </w:tc>
        <w:tc>
          <w:tcPr>
            <w:tcW w:w="180" w:type="dxa"/>
            <w:vAlign w:val="bottom"/>
            <w:vMerge w:val="restart"/>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240" w:type="dxa"/>
            <w:vAlign w:val="bottom"/>
            <w:vMerge w:val="restart"/>
            <w:shd w:val="clear" w:color="auto" w:fill="CCECFF"/>
          </w:tcPr>
          <w:p>
            <w:pPr>
              <w:spacing w:after="0"/>
              <w:rPr>
                <w:sz w:val="11"/>
                <w:szCs w:val="11"/>
                <w:color w:val="auto"/>
              </w:rPr>
            </w:pPr>
          </w:p>
        </w:tc>
        <w:tc>
          <w:tcPr>
            <w:tcW w:w="240" w:type="dxa"/>
            <w:vAlign w:val="bottom"/>
            <w:vMerge w:val="restart"/>
            <w:shd w:val="clear" w:color="auto" w:fill="CCEC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220" w:type="dxa"/>
            <w:vAlign w:val="bottom"/>
            <w:shd w:val="clear" w:color="auto" w:fill="CCECFF"/>
          </w:tcPr>
          <w:p>
            <w:pPr>
              <w:spacing w:after="0"/>
              <w:rPr>
                <w:sz w:val="11"/>
                <w:szCs w:val="11"/>
                <w:color w:val="auto"/>
              </w:rPr>
            </w:pP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0.89</w:t>
            </w:r>
          </w:p>
        </w:tc>
        <w:tc>
          <w:tcPr>
            <w:tcW w:w="220" w:type="dxa"/>
            <w:vAlign w:val="bottom"/>
            <w:shd w:val="clear" w:color="auto" w:fill="CCECFF"/>
          </w:tcPr>
          <w:p>
            <w:pPr>
              <w:spacing w:after="0"/>
              <w:rPr>
                <w:sz w:val="11"/>
                <w:szCs w:val="11"/>
                <w:color w:val="auto"/>
              </w:rPr>
            </w:pPr>
          </w:p>
        </w:tc>
        <w:tc>
          <w:tcPr>
            <w:tcW w:w="240" w:type="dxa"/>
            <w:vAlign w:val="bottom"/>
            <w:vMerge w:val="restart"/>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2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5380" w:type="dxa"/>
            <w:vAlign w:val="bottom"/>
            <w:tcBorders>
              <w:bottom w:val="single" w:sz="8" w:color="CCECFF"/>
            </w:tcBorders>
            <w:shd w:val="clear" w:color="auto" w:fill="CCEC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Borders>
              <w:bottom w:val="single" w:sz="8" w:color="auto"/>
            </w:tcBorders>
            <w:vMerge w:val="continue"/>
            <w:shd w:val="clear" w:color="auto" w:fill="CCECFF"/>
          </w:tcPr>
          <w:p>
            <w:pPr>
              <w:spacing w:after="0"/>
              <w:rPr>
                <w:sz w:val="16"/>
                <w:szCs w:val="16"/>
                <w:color w:val="auto"/>
              </w:rPr>
            </w:pPr>
          </w:p>
        </w:tc>
        <w:tc>
          <w:tcPr>
            <w:tcW w:w="900" w:type="dxa"/>
            <w:vAlign w:val="bottom"/>
            <w:tcBorders>
              <w:bottom w:val="single" w:sz="8" w:color="auto"/>
            </w:tcBorders>
            <w:vMerge w:val="continue"/>
            <w:shd w:val="clear" w:color="auto" w:fill="CCECFF"/>
          </w:tcPr>
          <w:p>
            <w:pPr>
              <w:spacing w:after="0"/>
              <w:rPr>
                <w:sz w:val="16"/>
                <w:szCs w:val="16"/>
                <w:color w:val="auto"/>
              </w:rPr>
            </w:pPr>
          </w:p>
        </w:tc>
        <w:tc>
          <w:tcPr>
            <w:tcW w:w="240" w:type="dxa"/>
            <w:vAlign w:val="bottom"/>
            <w:tcBorders>
              <w:bottom w:val="single" w:sz="8" w:color="CCECFF"/>
            </w:tcBorders>
            <w:vMerge w:val="continue"/>
            <w:shd w:val="clear" w:color="auto" w:fill="CCECFF"/>
          </w:tcPr>
          <w:p>
            <w:pPr>
              <w:spacing w:after="0"/>
              <w:rPr>
                <w:sz w:val="16"/>
                <w:szCs w:val="16"/>
                <w:color w:val="auto"/>
              </w:rPr>
            </w:pPr>
          </w:p>
        </w:tc>
        <w:tc>
          <w:tcPr>
            <w:tcW w:w="240" w:type="dxa"/>
            <w:vAlign w:val="bottom"/>
            <w:tcBorders>
              <w:bottom w:val="single" w:sz="8" w:color="auto"/>
            </w:tcBorders>
            <w:vMerge w:val="continue"/>
            <w:shd w:val="clear" w:color="auto" w:fill="CCECFF"/>
          </w:tcPr>
          <w:p>
            <w:pPr>
              <w:spacing w:after="0"/>
              <w:rPr>
                <w:sz w:val="16"/>
                <w:szCs w:val="16"/>
                <w:color w:val="auto"/>
              </w:rPr>
            </w:pPr>
          </w:p>
        </w:tc>
        <w:tc>
          <w:tcPr>
            <w:tcW w:w="840" w:type="dxa"/>
            <w:vAlign w:val="bottom"/>
            <w:tcBorders>
              <w:bottom w:val="single" w:sz="8" w:color="auto"/>
            </w:tcBorders>
            <w:vMerge w:val="continue"/>
            <w:shd w:val="clear" w:color="auto" w:fill="CCECFF"/>
          </w:tcPr>
          <w:p>
            <w:pPr>
              <w:spacing w:after="0"/>
              <w:rPr>
                <w:sz w:val="16"/>
                <w:szCs w:val="16"/>
                <w:color w:val="auto"/>
              </w:rPr>
            </w:pPr>
          </w:p>
        </w:tc>
        <w:tc>
          <w:tcPr>
            <w:tcW w:w="220" w:type="dxa"/>
            <w:vAlign w:val="bottom"/>
            <w:tcBorders>
              <w:bottom w:val="single" w:sz="8" w:color="CCECFF"/>
            </w:tcBorders>
            <w:shd w:val="clear" w:color="auto" w:fill="CCECFF"/>
          </w:tcPr>
          <w:p>
            <w:pPr>
              <w:spacing w:after="0"/>
              <w:rPr>
                <w:sz w:val="16"/>
                <w:szCs w:val="16"/>
                <w:color w:val="auto"/>
              </w:rPr>
            </w:pPr>
          </w:p>
        </w:tc>
        <w:tc>
          <w:tcPr>
            <w:tcW w:w="220" w:type="dxa"/>
            <w:vAlign w:val="bottom"/>
            <w:tcBorders>
              <w:bottom w:val="single" w:sz="8" w:color="auto"/>
            </w:tcBorders>
            <w:vMerge w:val="continue"/>
            <w:shd w:val="clear" w:color="auto" w:fill="CCECFF"/>
          </w:tcPr>
          <w:p>
            <w:pPr>
              <w:spacing w:after="0"/>
              <w:rPr>
                <w:sz w:val="16"/>
                <w:szCs w:val="16"/>
                <w:color w:val="auto"/>
              </w:rPr>
            </w:pPr>
          </w:p>
        </w:tc>
        <w:tc>
          <w:tcPr>
            <w:tcW w:w="860" w:type="dxa"/>
            <w:vAlign w:val="bottom"/>
            <w:tcBorders>
              <w:bottom w:val="single" w:sz="8" w:color="auto"/>
            </w:tcBorders>
            <w:vMerge w:val="continue"/>
            <w:shd w:val="clear" w:color="auto" w:fill="CCECFF"/>
          </w:tcPr>
          <w:p>
            <w:pPr>
              <w:spacing w:after="0"/>
              <w:rPr>
                <w:sz w:val="16"/>
                <w:szCs w:val="16"/>
                <w:color w:val="auto"/>
              </w:rPr>
            </w:pPr>
          </w:p>
        </w:tc>
        <w:tc>
          <w:tcPr>
            <w:tcW w:w="22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auto"/>
            </w:tcBorders>
            <w:vMerge w:val="continue"/>
            <w:shd w:val="clear" w:color="auto" w:fill="CCECFF"/>
          </w:tcPr>
          <w:p>
            <w:pPr>
              <w:spacing w:after="0"/>
              <w:rPr>
                <w:sz w:val="16"/>
                <w:szCs w:val="16"/>
                <w:color w:val="auto"/>
              </w:rPr>
            </w:pPr>
          </w:p>
        </w:tc>
        <w:tc>
          <w:tcPr>
            <w:tcW w:w="820" w:type="dxa"/>
            <w:vAlign w:val="bottom"/>
            <w:tcBorders>
              <w:bottom w:val="single" w:sz="8" w:color="auto"/>
            </w:tcBorders>
            <w:vMerge w:val="continue"/>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 per common share</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48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22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220" w:type="dxa"/>
            <w:vAlign w:val="bottom"/>
          </w:tcPr>
          <w:p>
            <w:pPr>
              <w:spacing w:after="0"/>
              <w:rPr>
                <w:sz w:val="13"/>
                <w:szCs w:val="13"/>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CHANGES IN NET ASSETS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issue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20" w:type="dxa"/>
            <w:vAlign w:val="bottom"/>
          </w:tcPr>
          <w:p>
            <w:pPr>
              <w:spacing w:after="0"/>
              <w:rPr>
                <w:sz w:val="15"/>
                <w:szCs w:val="15"/>
                <w:color w:val="auto"/>
              </w:rPr>
            </w:pPr>
          </w:p>
        </w:tc>
        <w:tc>
          <w:tcPr>
            <w:tcW w:w="224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r>
      <w:tr>
        <w:trPr>
          <w:trHeight w:val="184"/>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r>
      <w:tr>
        <w:trPr>
          <w:trHeight w:val="184"/>
        </w:trPr>
        <w:tc>
          <w:tcPr>
            <w:tcW w:w="5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from operations:</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investment income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19,088</w:t>
            </w:r>
          </w:p>
        </w:tc>
        <w:tc>
          <w:tcPr>
            <w:tcW w:w="24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16,744</w:t>
            </w:r>
          </w:p>
        </w:tc>
        <w:tc>
          <w:tcPr>
            <w:tcW w:w="22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38,537</w:t>
            </w:r>
          </w:p>
        </w:tc>
        <w:tc>
          <w:tcPr>
            <w:tcW w:w="22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30,476</w:t>
            </w:r>
          </w:p>
        </w:tc>
        <w:tc>
          <w:tcPr>
            <w:tcW w:w="80" w:type="dxa"/>
            <w:vAlign w:val="bottom"/>
          </w:tcPr>
          <w:p>
            <w:pPr>
              <w:spacing w:after="0"/>
              <w:rPr>
                <w:sz w:val="15"/>
                <w:szCs w:val="15"/>
                <w:color w:val="auto"/>
              </w:rPr>
            </w:pPr>
          </w:p>
        </w:tc>
      </w:tr>
      <w:tr>
        <w:trPr>
          <w:trHeight w:val="184"/>
        </w:trPr>
        <w:tc>
          <w:tcPr>
            <w:tcW w:w="54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4,010</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(7,518 )</w:t>
            </w: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(7,455 )</w:t>
            </w:r>
          </w:p>
        </w:tc>
      </w:tr>
      <w:tr>
        <w:trPr>
          <w:trHeight w:val="17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(4,179 )</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(20,936 )</w:t>
            </w:r>
          </w:p>
        </w:tc>
      </w:tr>
      <w:tr>
        <w:trPr>
          <w:trHeight w:val="184"/>
        </w:trPr>
        <w:tc>
          <w:tcPr>
            <w:tcW w:w="54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provision for taxes on unrealized appreciation (depreciation) on investments</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3,654</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80" w:type="dxa"/>
            <w:vAlign w:val="bottom"/>
            <w:shd w:val="clear" w:color="auto" w:fill="CCECFF"/>
          </w:tcPr>
          <w:p>
            <w:pPr>
              <w:spacing w:after="0"/>
              <w:rPr>
                <w:sz w:val="16"/>
                <w:szCs w:val="16"/>
                <w:color w:val="auto"/>
              </w:rPr>
            </w:pPr>
          </w:p>
        </w:tc>
      </w:tr>
      <w:tr>
        <w:trPr>
          <w:trHeight w:val="17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provision for taxes on realized loss on investments</w:t>
            </w:r>
          </w:p>
        </w:tc>
        <w:tc>
          <w:tcPr>
            <w:tcW w:w="18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(300 )</w:t>
            </w:r>
          </w:p>
        </w:tc>
        <w:tc>
          <w:tcPr>
            <w:tcW w:w="2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(300 )</w:t>
            </w:r>
          </w:p>
        </w:tc>
      </w:tr>
      <w:tr>
        <w:trPr>
          <w:trHeight w:val="184"/>
        </w:trPr>
        <w:tc>
          <w:tcPr>
            <w:tcW w:w="54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depreciation (appreciation) on debt</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(1,158 )</w:t>
            </w: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(23 )</w:t>
            </w: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80" w:type="dxa"/>
            <w:vAlign w:val="bottom"/>
            <w:shd w:val="clear" w:color="auto" w:fill="CCECFF"/>
          </w:tcPr>
          <w:p>
            <w:pPr>
              <w:spacing w:after="0"/>
              <w:rPr>
                <w:sz w:val="16"/>
                <w:szCs w:val="16"/>
                <w:color w:val="auto"/>
              </w:rPr>
            </w:pPr>
          </w:p>
        </w:tc>
      </w:tr>
      <w:tr>
        <w:trPr>
          <w:trHeight w:val="177"/>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31,111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53,579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5,623</w:t>
            </w:r>
          </w:p>
        </w:tc>
        <w:tc>
          <w:tcPr>
            <w:tcW w:w="80" w:type="dxa"/>
            <w:vAlign w:val="bottom"/>
          </w:tcPr>
          <w:p>
            <w:pPr>
              <w:spacing w:after="0"/>
              <w:rPr>
                <w:sz w:val="15"/>
                <w:szCs w:val="15"/>
                <w:color w:val="auto"/>
              </w:rPr>
            </w:pPr>
          </w:p>
        </w:tc>
      </w:tr>
      <w:tr>
        <w:trPr>
          <w:trHeight w:val="183"/>
        </w:trPr>
        <w:tc>
          <w:tcPr>
            <w:tcW w:w="5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Distributions to stockholders:</w:t>
            </w:r>
          </w:p>
        </w:tc>
        <w:tc>
          <w:tcPr>
            <w:tcW w:w="1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 of net investment income</w:t>
            </w: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(18,818 )</w:t>
            </w:r>
          </w:p>
        </w:tc>
        <w:tc>
          <w:tcPr>
            <w:tcW w:w="2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(14,014 )</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(36,878 )</w:t>
            </w:r>
          </w:p>
        </w:tc>
        <w:tc>
          <w:tcPr>
            <w:tcW w:w="2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(26,945 )</w:t>
            </w:r>
          </w:p>
        </w:tc>
      </w:tr>
      <w:tr>
        <w:trPr>
          <w:trHeight w:val="184"/>
        </w:trPr>
        <w:tc>
          <w:tcPr>
            <w:tcW w:w="54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distributions to stockholders</w:t>
            </w:r>
          </w:p>
        </w:tc>
        <w:tc>
          <w:tcPr>
            <w:tcW w:w="18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(18,818 )</w:t>
            </w:r>
          </w:p>
        </w:tc>
        <w:tc>
          <w:tcPr>
            <w:tcW w:w="24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(14,014 )</w:t>
            </w: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(36,878 )</w:t>
            </w:r>
          </w:p>
        </w:tc>
        <w:tc>
          <w:tcPr>
            <w:tcW w:w="240" w:type="dxa"/>
            <w:vAlign w:val="bottom"/>
            <w:shd w:val="clear" w:color="auto" w:fill="CCECFF"/>
          </w:tcPr>
          <w:p>
            <w:pPr>
              <w:spacing w:after="0"/>
              <w:rPr>
                <w:sz w:val="16"/>
                <w:szCs w:val="16"/>
                <w:color w:val="auto"/>
              </w:rPr>
            </w:pPr>
          </w:p>
        </w:tc>
        <w:tc>
          <w:tcPr>
            <w:tcW w:w="9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(26,945 )</w:t>
            </w:r>
          </w:p>
        </w:tc>
      </w:tr>
      <w:tr>
        <w:trPr>
          <w:trHeight w:val="177"/>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transactions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54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Public offering</w:t>
            </w:r>
          </w:p>
        </w:tc>
        <w:tc>
          <w:tcPr>
            <w:tcW w:w="18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51,391</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48,159</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51,391</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49,154</w:t>
            </w:r>
          </w:p>
        </w:tc>
        <w:tc>
          <w:tcPr>
            <w:tcW w:w="80" w:type="dxa"/>
            <w:vAlign w:val="bottom"/>
            <w:shd w:val="clear" w:color="auto" w:fill="CCECFF"/>
          </w:tcPr>
          <w:p>
            <w:pPr>
              <w:spacing w:after="0"/>
              <w:rPr>
                <w:sz w:val="15"/>
                <w:szCs w:val="15"/>
                <w:color w:val="auto"/>
              </w:rPr>
            </w:pPr>
          </w:p>
        </w:tc>
      </w:tr>
      <w:tr>
        <w:trPr>
          <w:trHeight w:val="17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Offering costs</w:t>
            </w: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(986 )</w:t>
            </w:r>
          </w:p>
        </w:tc>
        <w:tc>
          <w:tcPr>
            <w:tcW w:w="2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(250 )</w:t>
            </w:r>
          </w:p>
        </w:tc>
        <w:tc>
          <w:tcPr>
            <w:tcW w:w="2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(986 )</w:t>
            </w:r>
          </w:p>
        </w:tc>
        <w:tc>
          <w:tcPr>
            <w:tcW w:w="2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(255 )</w:t>
            </w:r>
          </w:p>
        </w:tc>
      </w:tr>
      <w:tr>
        <w:trPr>
          <w:trHeight w:val="184"/>
        </w:trPr>
        <w:tc>
          <w:tcPr>
            <w:tcW w:w="544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in net assets resulting from capital transactions</w:t>
            </w:r>
          </w:p>
        </w:tc>
        <w:tc>
          <w:tcPr>
            <w:tcW w:w="18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50,405</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47,909</w:t>
            </w:r>
          </w:p>
        </w:tc>
        <w:tc>
          <w:tcPr>
            <w:tcW w:w="2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50,405</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48,899</w:t>
            </w:r>
          </w:p>
        </w:tc>
        <w:tc>
          <w:tcPr>
            <w:tcW w:w="80" w:type="dxa"/>
            <w:vAlign w:val="bottom"/>
            <w:shd w:val="clear" w:color="auto" w:fill="CCECFF"/>
          </w:tcPr>
          <w:p>
            <w:pPr>
              <w:spacing w:after="0"/>
              <w:rPr>
                <w:sz w:val="16"/>
                <w:szCs w:val="16"/>
                <w:color w:val="auto"/>
              </w:rPr>
            </w:pPr>
          </w:p>
        </w:tc>
      </w:tr>
      <w:tr>
        <w:trPr>
          <w:trHeight w:val="177"/>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62,698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41,138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27,577</w:t>
            </w:r>
          </w:p>
        </w:tc>
        <w:tc>
          <w:tcPr>
            <w:tcW w:w="80" w:type="dxa"/>
            <w:vAlign w:val="bottom"/>
          </w:tcPr>
          <w:p>
            <w:pPr>
              <w:spacing w:after="0"/>
              <w:rPr>
                <w:sz w:val="15"/>
                <w:szCs w:val="15"/>
                <w:color w:val="auto"/>
              </w:rPr>
            </w:pPr>
          </w:p>
        </w:tc>
      </w:tr>
      <w:tr>
        <w:trPr>
          <w:trHeight w:val="183"/>
        </w:trPr>
        <w:tc>
          <w:tcPr>
            <w:tcW w:w="5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8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54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Beginning of period</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658,013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513,531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653,605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527,092</w:t>
            </w:r>
          </w:p>
        </w:tc>
        <w:tc>
          <w:tcPr>
            <w:tcW w:w="80" w:type="dxa"/>
            <w:vAlign w:val="bottom"/>
          </w:tcPr>
          <w:p>
            <w:pPr>
              <w:spacing w:after="0"/>
              <w:rPr>
                <w:sz w:val="15"/>
                <w:szCs w:val="15"/>
                <w:color w:val="auto"/>
              </w:rPr>
            </w:pPr>
          </w:p>
        </w:tc>
      </w:tr>
      <w:tr>
        <w:trPr>
          <w:trHeight w:val="220"/>
        </w:trPr>
        <w:tc>
          <w:tcPr>
            <w:tcW w:w="544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End of period</w:t>
            </w:r>
          </w:p>
        </w:tc>
        <w:tc>
          <w:tcPr>
            <w:tcW w:w="180" w:type="dxa"/>
            <w:vAlign w:val="bottom"/>
            <w:tcBorders>
              <w:bottom w:val="single" w:sz="8" w:color="auto"/>
            </w:tcBorders>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720,711</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554,669</w:t>
            </w:r>
          </w:p>
        </w:tc>
        <w:tc>
          <w:tcPr>
            <w:tcW w:w="22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720,711</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554,669</w:t>
            </w:r>
          </w:p>
        </w:tc>
        <w:tc>
          <w:tcPr>
            <w:tcW w:w="80" w:type="dxa"/>
            <w:vAlign w:val="bottom"/>
            <w:tcBorders>
              <w:bottom w:val="single" w:sz="8" w:color="CCECFF"/>
            </w:tcBorders>
            <w:shd w:val="clear" w:color="auto" w:fill="CCECFF"/>
          </w:tcPr>
          <w:p>
            <w:pPr>
              <w:spacing w:after="0"/>
              <w:rPr>
                <w:sz w:val="19"/>
                <w:szCs w:val="19"/>
                <w:color w:val="auto"/>
              </w:rPr>
            </w:pPr>
          </w:p>
        </w:tc>
      </w:tr>
      <w:tr>
        <w:trPr>
          <w:trHeight w:val="157"/>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share activity:</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9"/>
        </w:trPr>
        <w:tc>
          <w:tcPr>
            <w:tcW w:w="544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Shares issued from public offering</w:t>
            </w:r>
          </w:p>
        </w:tc>
        <w:tc>
          <w:tcPr>
            <w:tcW w:w="18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4,493,436</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4,300,000</w:t>
            </w:r>
          </w:p>
        </w:tc>
        <w:tc>
          <w:tcPr>
            <w:tcW w:w="22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spacing w:after="0"/>
              <w:rPr>
                <w:sz w:val="19"/>
                <w:szCs w:val="19"/>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4,493,436</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4,386,177</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c>
          <w:tcPr>
            <w:tcW w:w="0" w:type="dxa"/>
            <w:vAlign w:val="bottom"/>
          </w:tcPr>
          <w:p>
            <w:pPr>
              <w:spacing w:after="0"/>
              <w:rPr>
                <w:sz w:val="1"/>
                <w:szCs w:val="1"/>
                <w:color w:val="auto"/>
              </w:rPr>
            </w:pPr>
          </w:p>
        </w:tc>
      </w:tr>
      <w:tr>
        <w:trPr>
          <w:trHeight w:val="184"/>
        </w:trPr>
        <w:tc>
          <w:tcPr>
            <w:tcW w:w="7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53,579</w:t>
            </w:r>
          </w:p>
        </w:tc>
        <w:tc>
          <w:tcPr>
            <w:tcW w:w="28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 operations to net cash</w:t>
            </w:r>
          </w:p>
        </w:tc>
        <w:tc>
          <w:tcPr>
            <w:tcW w:w="3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3"/>
                <w:szCs w:val="13"/>
                <w:color w:val="auto"/>
              </w:rPr>
              <w:t>provided by (used in) operating activities:</w:t>
            </w:r>
          </w:p>
        </w:tc>
        <w:tc>
          <w:tcPr>
            <w:tcW w:w="34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(13,914 )</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Net change in unrealized (appreciation) depreciation on debt</w:t>
            </w: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(909 )</w:t>
            </w: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(921 )</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Net accretion of discount and amortization of premium</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(2,074 )</w:t>
            </w: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(2,612 )</w:t>
            </w: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(640,899 )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(151,024 )</w:t>
            </w: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Payment-in-kind interest</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(1,624 )</w:t>
            </w: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(193 )</w:t>
            </w: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Proceeds from dispositions of investments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248,718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2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Interest receivable</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(1,465 )</w:t>
            </w: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(1,282 )</w:t>
            </w:r>
          </w:p>
        </w:tc>
        <w:tc>
          <w:tcPr>
            <w:tcW w:w="0" w:type="dxa"/>
            <w:vAlign w:val="bottom"/>
          </w:tcPr>
          <w:p>
            <w:pPr>
              <w:spacing w:after="0"/>
              <w:rPr>
                <w:sz w:val="1"/>
                <w:szCs w:val="1"/>
                <w:color w:val="auto"/>
              </w:rPr>
            </w:pPr>
          </w:p>
        </w:tc>
      </w:tr>
      <w:tr>
        <w:trPr>
          <w:trHeight w:val="172"/>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Distribution receivable</w:t>
            </w:r>
          </w:p>
        </w:tc>
        <w:tc>
          <w:tcPr>
            <w:tcW w:w="340" w:type="dxa"/>
            <w:vAlign w:val="bottom"/>
          </w:tcPr>
          <w:p>
            <w:pPr>
              <w:spacing w:after="0"/>
              <w:rPr>
                <w:sz w:val="14"/>
                <w:szCs w:val="14"/>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(12 )</w:t>
            </w:r>
          </w:p>
        </w:tc>
        <w:tc>
          <w:tcPr>
            <w:tcW w:w="320" w:type="dxa"/>
            <w:vAlign w:val="bottom"/>
          </w:tcPr>
          <w:p>
            <w:pPr>
              <w:spacing w:after="0"/>
              <w:rPr>
                <w:sz w:val="14"/>
                <w:szCs w:val="14"/>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(635 )</w:t>
            </w:r>
          </w:p>
        </w:tc>
        <w:tc>
          <w:tcPr>
            <w:tcW w:w="0" w:type="dxa"/>
            <w:vAlign w:val="bottom"/>
          </w:tcPr>
          <w:p>
            <w:pPr>
              <w:spacing w:after="0"/>
              <w:rPr>
                <w:sz w:val="1"/>
                <w:szCs w:val="1"/>
                <w:color w:val="auto"/>
              </w:rPr>
            </w:pPr>
          </w:p>
        </w:tc>
      </w:tr>
      <w:tr>
        <w:trPr>
          <w:trHeight w:val="52"/>
        </w:trPr>
        <w:tc>
          <w:tcPr>
            <w:tcW w:w="7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Receivable for investments sold</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3,441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(43 )</w:t>
            </w: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Due from affiliate</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(240 )</w:t>
            </w: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Increase (decrease) in: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(988 )</w:t>
            </w:r>
          </w:p>
        </w:tc>
        <w:tc>
          <w:tcPr>
            <w:tcW w:w="3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13,289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Interest payable on debt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Base management fee payable</w:t>
            </w: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2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(154 )</w:t>
            </w:r>
          </w:p>
        </w:tc>
        <w:tc>
          <w:tcPr>
            <w:tcW w:w="0" w:type="dxa"/>
            <w:vAlign w:val="bottom"/>
          </w:tcPr>
          <w:p>
            <w:pPr>
              <w:spacing w:after="0"/>
              <w:rPr>
                <w:sz w:val="1"/>
                <w:szCs w:val="1"/>
                <w:color w:val="auto"/>
              </w:rPr>
            </w:pPr>
          </w:p>
        </w:tc>
      </w:tr>
      <w:tr>
        <w:trPr>
          <w:trHeight w:val="17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Incentive fee payable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Deferred tax liability</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(230 )</w:t>
            </w: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(2,928 )</w:t>
            </w:r>
          </w:p>
        </w:tc>
        <w:tc>
          <w:tcPr>
            <w:tcW w:w="0" w:type="dxa"/>
            <w:vAlign w:val="bottom"/>
          </w:tcPr>
          <w:p>
            <w:pPr>
              <w:spacing w:after="0"/>
              <w:rPr>
                <w:sz w:val="1"/>
                <w:szCs w:val="1"/>
                <w:color w:val="auto"/>
              </w:rPr>
            </w:pPr>
          </w:p>
        </w:tc>
      </w:tr>
      <w:tr>
        <w:trPr>
          <w:trHeight w:val="17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Due to affiliates</w:t>
            </w: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(462 )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(3,120 )</w:t>
            </w: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Account payable and accrued expenses</w:t>
            </w: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2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(395 )</w:t>
            </w:r>
          </w:p>
        </w:tc>
        <w:tc>
          <w:tcPr>
            <w:tcW w:w="0" w:type="dxa"/>
            <w:vAlign w:val="bottom"/>
          </w:tcPr>
          <w:p>
            <w:pPr>
              <w:spacing w:after="0"/>
              <w:rPr>
                <w:sz w:val="1"/>
                <w:szCs w:val="1"/>
                <w:color w:val="auto"/>
              </w:rPr>
            </w:pPr>
          </w:p>
        </w:tc>
      </w:tr>
      <w:tr>
        <w:trPr>
          <w:trHeight w:val="176"/>
        </w:trPr>
        <w:tc>
          <w:tcPr>
            <w:tcW w:w="73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(354,550 )</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Proceeds from public offering</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51,391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Offering costs</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(986 )</w:t>
            </w: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(265 )</w:t>
            </w: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Issuance of 2036 Asset-Back Debt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287,000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Capitalized borrowing costs</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(3,241 )</w:t>
            </w: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Distributions paid to stockholders</w:t>
            </w: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(36,418 )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(26,280 )</w:t>
            </w: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Repayment of 2023 notes payable</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(76,219 )</w:t>
            </w: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(20,787 )</w:t>
            </w: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Repayment of 2031 Asset-Backed Debt</w:t>
            </w: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(1,741 )</w:t>
            </w:r>
          </w:p>
        </w:tc>
        <w:tc>
          <w:tcPr>
            <w:tcW w:w="32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331,455</w:t>
            </w:r>
          </w:p>
        </w:tc>
        <w:tc>
          <w:tcPr>
            <w:tcW w:w="2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34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(172,000 )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(48,000 )</w:t>
            </w:r>
          </w:p>
        </w:tc>
        <w:tc>
          <w:tcPr>
            <w:tcW w:w="0" w:type="dxa"/>
            <w:vAlign w:val="bottom"/>
          </w:tcPr>
          <w:p>
            <w:pPr>
              <w:spacing w:after="0"/>
              <w:rPr>
                <w:sz w:val="1"/>
                <w:szCs w:val="1"/>
                <w:color w:val="auto"/>
              </w:rPr>
            </w:pPr>
          </w:p>
        </w:tc>
      </w:tr>
      <w:tr>
        <w:trPr>
          <w:trHeight w:val="184"/>
        </w:trPr>
        <w:tc>
          <w:tcPr>
            <w:tcW w:w="73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379,241</w:t>
            </w:r>
          </w:p>
        </w:tc>
        <w:tc>
          <w:tcPr>
            <w:tcW w:w="2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2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(16,178 )</w:t>
            </w:r>
          </w:p>
        </w:tc>
        <w:tc>
          <w:tcPr>
            <w:tcW w:w="0" w:type="dxa"/>
            <w:vAlign w:val="bottom"/>
          </w:tcPr>
          <w:p>
            <w:pPr>
              <w:spacing w:after="0"/>
              <w:rPr>
                <w:sz w:val="1"/>
                <w:szCs w:val="1"/>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24,691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(869 )</w:t>
            </w:r>
          </w:p>
        </w:tc>
        <w:tc>
          <w:tcPr>
            <w:tcW w:w="0" w:type="dxa"/>
            <w:vAlign w:val="bottom"/>
          </w:tcPr>
          <w:p>
            <w:pPr>
              <w:spacing w:after="0"/>
              <w:rPr>
                <w:sz w:val="1"/>
                <w:szCs w:val="1"/>
                <w:color w:val="auto"/>
              </w:rPr>
            </w:pPr>
          </w:p>
        </w:tc>
      </w:tr>
      <w:tr>
        <w:trPr>
          <w:trHeight w:val="183"/>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34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beginning of period</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125,252</w:t>
            </w:r>
          </w:p>
        </w:tc>
        <w:tc>
          <w:tcPr>
            <w:tcW w:w="2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50,643</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32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paid</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20,180</w:t>
            </w:r>
          </w:p>
        </w:tc>
        <w:tc>
          <w:tcPr>
            <w:tcW w:w="28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18,418</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3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 paid</w:t>
            </w: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Non-cash exchanges and conversions</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5,067</w:t>
            </w:r>
          </w:p>
        </w:tc>
        <w:tc>
          <w:tcPr>
            <w:tcW w:w="280" w:type="dxa"/>
            <w:vAlign w:val="bottom"/>
            <w:tcBorders>
              <w:bottom w:val="single" w:sz="8" w:color="CCECFF"/>
            </w:tcBorders>
            <w:shd w:val="clear" w:color="auto" w:fill="CCECFF"/>
          </w:tcPr>
          <w:p>
            <w:pPr>
              <w:spacing w:after="0"/>
              <w:rPr>
                <w:sz w:val="17"/>
                <w:szCs w:val="17"/>
                <w:color w:val="auto"/>
              </w:rPr>
            </w:pPr>
          </w:p>
        </w:tc>
        <w:tc>
          <w:tcPr>
            <w:tcW w:w="320" w:type="dxa"/>
            <w:vAlign w:val="bottom"/>
            <w:tcBorders>
              <w:bottom w:val="single" w:sz="8" w:color="auto"/>
            </w:tcBorders>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3,393</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2"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4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gridSpan w:val="2"/>
          </w:tcPr>
          <w:p>
            <w:pPr>
              <w:jc w:val="right"/>
              <w:ind w:right="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Investments in Non-Controlled, Non-Affiliated Portfolio Companies—163.3% </w:t>
            </w:r>
            <w:r>
              <w:rPr>
                <w:rFonts w:ascii="Times New Roman" w:cs="Times New Roman" w:eastAsia="Times New Roman" w:hAnsi="Times New Roman"/>
                <w:sz w:val="12"/>
                <w:szCs w:val="12"/>
                <w:b w:val="1"/>
                <w:bCs w:val="1"/>
                <w:color w:val="auto"/>
                <w:vertAlign w:val="superscript"/>
              </w:rPr>
              <w:t>(3), (4)</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Debt—144.9%</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1,512</w:t>
            </w:r>
          </w:p>
        </w:tc>
        <w:tc>
          <w:tcPr>
            <w:tcW w:w="2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1,493</w:t>
            </w:r>
          </w:p>
        </w:tc>
        <w:tc>
          <w:tcPr>
            <w:tcW w:w="3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1,512</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LLC (Revolver) </w:t>
            </w:r>
            <w:r>
              <w:rPr>
                <w:rFonts w:ascii="Times New Roman" w:cs="Times New Roman" w:eastAsia="Times New Roman" w:hAnsi="Times New Roman"/>
                <w:sz w:val="12"/>
                <w:szCs w:val="12"/>
                <w:color w:val="auto"/>
                <w:vertAlign w:val="superscript"/>
              </w:rPr>
              <w:t>(7), (9)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 - Unfunded Term Loan</w:t>
            </w:r>
            <w:r>
              <w:rPr>
                <w:rFonts w:ascii="Times New Roman" w:cs="Times New Roman" w:eastAsia="Times New Roman" w:hAnsi="Times New Roman"/>
                <w:sz w:val="12"/>
                <w:szCs w:val="12"/>
                <w:color w:val="auto"/>
                <w:vertAlign w:val="superscript"/>
              </w:rPr>
              <w:t>(9)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11.58 %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14,182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13,948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13,828</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ACP Avenu Buyer, LLC (Revolver) </w:t>
            </w:r>
            <w:r>
              <w:rPr>
                <w:rFonts w:ascii="Times New Roman" w:cs="Times New Roman" w:eastAsia="Times New Roman" w:hAnsi="Times New Roman"/>
                <w:sz w:val="12"/>
                <w:szCs w:val="12"/>
                <w:color w:val="auto"/>
                <w:vertAlign w:val="superscript"/>
              </w:rPr>
              <w:t>(7), (9)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3,807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(95 )</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Avenu Buyer, LLC - Unfunded Term Loan</w:t>
            </w:r>
            <w:r>
              <w:rPr>
                <w:rFonts w:ascii="Times New Roman" w:cs="Times New Roman" w:eastAsia="Times New Roman" w:hAnsi="Times New Roman"/>
                <w:sz w:val="12"/>
                <w:szCs w:val="12"/>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04/02/2025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5,621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ACP Falcon Buyer, LLC (Revolver) </w:t>
            </w:r>
            <w:r>
              <w:rPr>
                <w:rFonts w:ascii="Times New Roman" w:cs="Times New Roman" w:eastAsia="Times New Roman" w:hAnsi="Times New Roman"/>
                <w:sz w:val="12"/>
                <w:szCs w:val="12"/>
                <w:color w:val="auto"/>
                <w:vertAlign w:val="superscript"/>
              </w:rPr>
              <w:t>(7), (9)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08/01/2029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3,096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11.57 %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4,863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7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 (9)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1,244</w:t>
            </w:r>
          </w:p>
        </w:tc>
        <w:tc>
          <w:tcPr>
            <w:tcW w:w="260" w:type="dxa"/>
            <w:vAlign w:val="bottom"/>
            <w:shd w:val="clear" w:color="auto" w:fill="CCECFF"/>
          </w:tcPr>
          <w:p>
            <w:pPr>
              <w:spacing w:after="0"/>
              <w:rPr>
                <w:sz w:val="15"/>
                <w:szCs w:val="15"/>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5"/>
                <w:szCs w:val="15"/>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2"/>
        </w:trPr>
        <w:tc>
          <w:tcPr>
            <w:tcW w:w="3620" w:type="dxa"/>
            <w:vAlign w:val="bottom"/>
            <w:shd w:val="clear" w:color="auto" w:fill="CCECFF"/>
          </w:tcPr>
          <w:p>
            <w:pPr>
              <w:spacing w:after="0"/>
              <w:rPr>
                <w:sz w:val="7"/>
                <w:szCs w:val="7"/>
                <w:color w:val="auto"/>
              </w:rPr>
            </w:pPr>
          </w:p>
        </w:tc>
        <w:tc>
          <w:tcPr>
            <w:tcW w:w="840" w:type="dxa"/>
            <w:vAlign w:val="bottom"/>
            <w:shd w:val="clear" w:color="auto" w:fill="CCECFF"/>
          </w:tcPr>
          <w:p>
            <w:pPr>
              <w:spacing w:after="0"/>
              <w:rPr>
                <w:sz w:val="7"/>
                <w:szCs w:val="7"/>
                <w:color w:val="auto"/>
              </w:rPr>
            </w:pPr>
          </w:p>
        </w:tc>
        <w:tc>
          <w:tcPr>
            <w:tcW w:w="1840" w:type="dxa"/>
            <w:vAlign w:val="bottom"/>
            <w:shd w:val="clear" w:color="auto" w:fill="CCECFF"/>
          </w:tcPr>
          <w:p>
            <w:pPr>
              <w:spacing w:after="0"/>
              <w:rPr>
                <w:sz w:val="7"/>
                <w:szCs w:val="7"/>
                <w:color w:val="auto"/>
              </w:rPr>
            </w:pPr>
          </w:p>
        </w:tc>
        <w:tc>
          <w:tcPr>
            <w:tcW w:w="880" w:type="dxa"/>
            <w:vAlign w:val="bottom"/>
            <w:shd w:val="clear" w:color="auto" w:fill="CCECFF"/>
          </w:tcPr>
          <w:p>
            <w:pPr>
              <w:spacing w:after="0"/>
              <w:rPr>
                <w:sz w:val="7"/>
                <w:szCs w:val="7"/>
                <w:color w:val="auto"/>
              </w:rPr>
            </w:pPr>
          </w:p>
        </w:tc>
        <w:tc>
          <w:tcPr>
            <w:tcW w:w="920" w:type="dxa"/>
            <w:vAlign w:val="bottom"/>
            <w:shd w:val="clear" w:color="auto" w:fill="CCECFF"/>
          </w:tcPr>
          <w:p>
            <w:pPr>
              <w:spacing w:after="0"/>
              <w:rPr>
                <w:sz w:val="7"/>
                <w:szCs w:val="7"/>
                <w:color w:val="auto"/>
              </w:rPr>
            </w:pPr>
          </w:p>
        </w:tc>
        <w:tc>
          <w:tcPr>
            <w:tcW w:w="780" w:type="dxa"/>
            <w:vAlign w:val="bottom"/>
            <w:vMerge w:val="continue"/>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580" w:type="dxa"/>
            <w:vAlign w:val="bottom"/>
            <w:shd w:val="clear" w:color="auto" w:fill="CCECFF"/>
          </w:tcPr>
          <w:p>
            <w:pPr>
              <w:spacing w:after="0"/>
              <w:rPr>
                <w:sz w:val="7"/>
                <w:szCs w:val="7"/>
                <w:color w:val="auto"/>
              </w:rPr>
            </w:pPr>
          </w:p>
        </w:tc>
        <w:tc>
          <w:tcPr>
            <w:tcW w:w="320" w:type="dxa"/>
            <w:vAlign w:val="bottom"/>
            <w:shd w:val="clear" w:color="auto" w:fill="CCECFF"/>
          </w:tcPr>
          <w:p>
            <w:pPr>
              <w:spacing w:after="0"/>
              <w:rPr>
                <w:sz w:val="7"/>
                <w:szCs w:val="7"/>
                <w:color w:val="auto"/>
              </w:rPr>
            </w:pPr>
          </w:p>
        </w:tc>
        <w:tc>
          <w:tcPr>
            <w:tcW w:w="52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10.81 %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32,918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32,448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32,588</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Aeronix, Inc. (Revolver)</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10.81 %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1,830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1,830</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1,811</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Aeronix, Inc. - (Revolver) </w:t>
            </w:r>
            <w:r>
              <w:rPr>
                <w:rFonts w:ascii="Times New Roman" w:cs="Times New Roman" w:eastAsia="Times New Roman" w:hAnsi="Times New Roman"/>
                <w:sz w:val="12"/>
                <w:szCs w:val="12"/>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4,269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AFC Dell Holding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11.74 %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12,405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12,355</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12,281</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AFC Dell Holding Corp. - Unfunded Term Loan</w:t>
            </w:r>
            <w:r>
              <w:rPr>
                <w:rFonts w:ascii="Times New Roman" w:cs="Times New Roman" w:eastAsia="Times New Roman" w:hAnsi="Times New Roman"/>
                <w:sz w:val="12"/>
                <w:szCs w:val="12"/>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04/09/2027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13,948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06/10/2025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13,886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13,812</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13,712</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13,396</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13,225</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13,329</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2,144</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1,230</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 (Revolver) </w:t>
            </w:r>
            <w:r>
              <w:rPr>
                <w:rFonts w:ascii="Times New Roman" w:cs="Times New Roman" w:eastAsia="Times New Roman" w:hAnsi="Times New Roman"/>
                <w:sz w:val="12"/>
                <w:szCs w:val="12"/>
                <w:color w:val="auto"/>
                <w:vertAlign w:val="superscript"/>
              </w:rPr>
              <w:t>(9)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07/21/2027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Energy Equipment and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11.00 %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6,362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6,293</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6,298</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Any Hour Services (Revolver) </w:t>
            </w:r>
            <w:r>
              <w:rPr>
                <w:rFonts w:ascii="Times New Roman" w:cs="Times New Roman" w:eastAsia="Times New Roman" w:hAnsi="Times New Roman"/>
                <w:sz w:val="12"/>
                <w:szCs w:val="12"/>
                <w:color w:val="auto"/>
                <w:vertAlign w:val="superscript"/>
              </w:rPr>
              <w:t>(7), (9)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07/21/2027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Energy Equipment and Services</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11.22 %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SOFR+590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12,662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12,526</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12,414</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Unfunded Term Loan</w:t>
            </w:r>
            <w:r>
              <w:rPr>
                <w:rFonts w:ascii="Times New Roman" w:cs="Times New Roman" w:eastAsia="Times New Roman" w:hAnsi="Times New Roman"/>
                <w:sz w:val="12"/>
                <w:szCs w:val="12"/>
                <w:color w:val="auto"/>
                <w:vertAlign w:val="superscript"/>
              </w:rPr>
              <w:t>(9)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07/17/2025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3,990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321</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 (Revolver) </w:t>
            </w:r>
            <w:r>
              <w:rPr>
                <w:rFonts w:ascii="Times New Roman" w:cs="Times New Roman" w:eastAsia="Times New Roman" w:hAnsi="Times New Roman"/>
                <w:sz w:val="12"/>
                <w:szCs w:val="12"/>
                <w:color w:val="auto"/>
                <w:vertAlign w:val="superscript"/>
              </w:rPr>
              <w:t>(9)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1,966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08/03/2029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11.54 %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5,981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5,897</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5,921</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08/04/2028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1,379</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07/01/2029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11,907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11,461</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11,580</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Big Top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46,529</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45,718</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45,714</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Big Top Holdings, LLC - (Revolver) </w:t>
            </w:r>
            <w:r>
              <w:rPr>
                <w:rFonts w:ascii="Times New Roman" w:cs="Times New Roman" w:eastAsia="Times New Roman" w:hAnsi="Times New Roman"/>
                <w:sz w:val="12"/>
                <w:szCs w:val="12"/>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02/28/2030</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4,479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589</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583</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11.47 %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5,304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5,262</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5,247</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 Unfunded Term Loan </w:t>
            </w:r>
            <w:r>
              <w:rPr>
                <w:rFonts w:ascii="Times New Roman" w:cs="Times New Roman" w:eastAsia="Times New Roman" w:hAnsi="Times New Roman"/>
                <w:sz w:val="12"/>
                <w:szCs w:val="12"/>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2,337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1,092</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w:t>
            </w:r>
            <w:r>
              <w:rPr>
                <w:rFonts w:ascii="Times New Roman" w:cs="Times New Roman" w:eastAsia="Times New Roman" w:hAnsi="Times New Roman"/>
                <w:sz w:val="12"/>
                <w:szCs w:val="12"/>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1,646</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10.42 %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6,495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6,441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6,397</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12/04/2025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3,262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3,262</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3,262</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12.37 %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SOFR+688</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24,866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24,736</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24,618</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By Light Professional IT Services, LLC (Revolver) </w:t>
            </w:r>
            <w:r>
              <w:rPr>
                <w:rFonts w:ascii="Times New Roman" w:cs="Times New Roman" w:eastAsia="Times New Roman" w:hAnsi="Times New Roman"/>
                <w:sz w:val="12"/>
                <w:szCs w:val="12"/>
                <w:color w:val="auto"/>
                <w:vertAlign w:val="superscript"/>
              </w:rPr>
              <w:t>(7)(9)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High Tech Industries</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3,507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Carisk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5,500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5,420</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5,445</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Carisk Buyer, Inc. - Unfunded Term Loan </w:t>
            </w:r>
            <w:r>
              <w:rPr>
                <w:rFonts w:ascii="Times New Roman" w:cs="Times New Roman" w:eastAsia="Times New Roman" w:hAnsi="Times New Roman"/>
                <w:sz w:val="12"/>
                <w:szCs w:val="12"/>
                <w:color w:val="auto"/>
                <w:vertAlign w:val="superscript"/>
              </w:rPr>
              <w:t>(9)</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4,813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Carisk Buyer, Inc. (Revolver) </w:t>
            </w:r>
            <w:r>
              <w:rPr>
                <w:rFonts w:ascii="Times New Roman" w:cs="Times New Roman" w:eastAsia="Times New Roman" w:hAnsi="Times New Roman"/>
                <w:sz w:val="12"/>
                <w:szCs w:val="12"/>
                <w:color w:val="auto"/>
                <w:vertAlign w:val="superscript"/>
              </w:rPr>
              <w:t>(7)(9)</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12/01/2029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1,750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2/7/2030</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10.83 %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45,320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44,646</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44,640</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Carnegie Dartlet, LLC - Unfunded Term Loan </w:t>
            </w:r>
            <w:r>
              <w:rPr>
                <w:rFonts w:ascii="Times New Roman" w:cs="Times New Roman" w:eastAsia="Times New Roman" w:hAnsi="Times New Roman"/>
                <w:sz w:val="12"/>
                <w:szCs w:val="12"/>
                <w:color w:val="auto"/>
                <w:vertAlign w:val="superscript"/>
              </w:rPr>
              <w:t>(9)</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2/7/2026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16,214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(81 )</w:t>
            </w:r>
          </w:p>
        </w:tc>
        <w:tc>
          <w:tcPr>
            <w:tcW w:w="0" w:type="dxa"/>
            <w:vAlign w:val="bottom"/>
          </w:tcPr>
          <w:p>
            <w:pPr>
              <w:spacing w:after="0"/>
              <w:rPr>
                <w:sz w:val="1"/>
                <w:szCs w:val="1"/>
                <w:color w:val="auto"/>
              </w:rPr>
            </w:pPr>
          </w:p>
        </w:tc>
      </w:tr>
      <w:tr>
        <w:trPr>
          <w:trHeight w:val="136"/>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Carnegie Dartlet, LLC - Funded Revolver</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2/7/2030</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10.80 %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1,081</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1,081</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1,065</w:t>
            </w:r>
          </w:p>
        </w:tc>
        <w:tc>
          <w:tcPr>
            <w:tcW w:w="0" w:type="dxa"/>
            <w:vAlign w:val="bottom"/>
          </w:tcPr>
          <w:p>
            <w:pPr>
              <w:spacing w:after="0"/>
              <w:rPr>
                <w:sz w:val="1"/>
                <w:szCs w:val="1"/>
                <w:color w:val="auto"/>
              </w:rPr>
            </w:pPr>
          </w:p>
        </w:tc>
      </w:tr>
      <w:tr>
        <w:trPr>
          <w:trHeight w:val="32"/>
        </w:trPr>
        <w:tc>
          <w:tcPr>
            <w:tcW w:w="3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Carnegie Dartlet, LLC - (Revolver) </w:t>
            </w:r>
            <w:r>
              <w:rPr>
                <w:rFonts w:ascii="Times New Roman" w:cs="Times New Roman" w:eastAsia="Times New Roman" w:hAnsi="Times New Roman"/>
                <w:sz w:val="12"/>
                <w:szCs w:val="12"/>
                <w:color w:val="auto"/>
                <w:vertAlign w:val="superscript"/>
              </w:rPr>
              <w:t>(9)</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2/7/2030</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4,324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6/14/2028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13,010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12,855</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13,010</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6/14/2028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(7)(9)</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6/14/2028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8/20/2026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SOFR+619</w:t>
            </w:r>
          </w:p>
        </w:tc>
        <w:tc>
          <w:tcPr>
            <w:tcW w:w="7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5,949</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5,912</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5,860</w:t>
            </w:r>
          </w:p>
        </w:tc>
        <w:tc>
          <w:tcPr>
            <w:tcW w:w="0" w:type="dxa"/>
            <w:vAlign w:val="bottom"/>
          </w:tcPr>
          <w:p>
            <w:pPr>
              <w:spacing w:after="0"/>
              <w:rPr>
                <w:sz w:val="1"/>
                <w:szCs w:val="1"/>
                <w:color w:val="auto"/>
              </w:rPr>
            </w:pPr>
          </w:p>
        </w:tc>
      </w:tr>
      <w:tr>
        <w:trPr>
          <w:trHeight w:val="80"/>
        </w:trPr>
        <w:tc>
          <w:tcPr>
            <w:tcW w:w="3620" w:type="dxa"/>
            <w:vAlign w:val="bottom"/>
            <w:shd w:val="clear" w:color="auto" w:fill="CCECFF"/>
          </w:tcPr>
          <w:p>
            <w:pPr>
              <w:spacing w:after="0"/>
              <w:rPr>
                <w:sz w:val="6"/>
                <w:szCs w:val="6"/>
                <w:color w:val="auto"/>
              </w:rPr>
            </w:pPr>
          </w:p>
        </w:tc>
        <w:tc>
          <w:tcPr>
            <w:tcW w:w="840" w:type="dxa"/>
            <w:vAlign w:val="bottom"/>
            <w:shd w:val="clear" w:color="auto" w:fill="CCECFF"/>
          </w:tcPr>
          <w:p>
            <w:pPr>
              <w:spacing w:after="0"/>
              <w:rPr>
                <w:sz w:val="6"/>
                <w:szCs w:val="6"/>
                <w:color w:val="auto"/>
              </w:rPr>
            </w:pPr>
          </w:p>
        </w:tc>
        <w:tc>
          <w:tcPr>
            <w:tcW w:w="1840" w:type="dxa"/>
            <w:vAlign w:val="bottom"/>
            <w:shd w:val="clear" w:color="auto" w:fill="CCECFF"/>
          </w:tcPr>
          <w:p>
            <w:pPr>
              <w:spacing w:after="0"/>
              <w:rPr>
                <w:sz w:val="6"/>
                <w:szCs w:val="6"/>
                <w:color w:val="auto"/>
              </w:rPr>
            </w:pPr>
          </w:p>
        </w:tc>
        <w:tc>
          <w:tcPr>
            <w:tcW w:w="880" w:type="dxa"/>
            <w:vAlign w:val="bottom"/>
            <w:shd w:val="clear" w:color="auto" w:fill="CCECFF"/>
          </w:tcPr>
          <w:p>
            <w:pPr>
              <w:spacing w:after="0"/>
              <w:rPr>
                <w:sz w:val="6"/>
                <w:szCs w:val="6"/>
                <w:color w:val="auto"/>
              </w:rPr>
            </w:pPr>
          </w:p>
        </w:tc>
        <w:tc>
          <w:tcPr>
            <w:tcW w:w="920" w:type="dxa"/>
            <w:vAlign w:val="bottom"/>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580" w:type="dxa"/>
            <w:vAlign w:val="bottom"/>
            <w:shd w:val="clear" w:color="auto" w:fill="CCECFF"/>
          </w:tcPr>
          <w:p>
            <w:pPr>
              <w:spacing w:after="0"/>
              <w:rPr>
                <w:sz w:val="6"/>
                <w:szCs w:val="6"/>
                <w:color w:val="auto"/>
              </w:rPr>
            </w:pPr>
          </w:p>
        </w:tc>
        <w:tc>
          <w:tcPr>
            <w:tcW w:w="320" w:type="dxa"/>
            <w:vAlign w:val="bottom"/>
            <w:shd w:val="clear" w:color="auto" w:fill="CCECFF"/>
          </w:tcPr>
          <w:p>
            <w:pPr>
              <w:spacing w:after="0"/>
              <w:rPr>
                <w:sz w:val="6"/>
                <w:szCs w:val="6"/>
                <w:color w:val="auto"/>
              </w:rPr>
            </w:pPr>
          </w:p>
        </w:tc>
        <w:tc>
          <w:tcPr>
            <w:tcW w:w="5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CF512, Inc. (Revolver) </w:t>
            </w:r>
            <w:r>
              <w:rPr>
                <w:rFonts w:ascii="Times New Roman" w:cs="Times New Roman" w:eastAsia="Times New Roman" w:hAnsi="Times New Roman"/>
                <w:sz w:val="12"/>
                <w:szCs w:val="12"/>
                <w:color w:val="auto"/>
                <w:vertAlign w:val="superscript"/>
              </w:rPr>
              <w:t>(7), (9)</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8/20/2026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36"/>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8/31/2024</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8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13.18 %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236</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236</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0" w:type="dxa"/>
            <w:vAlign w:val="bottom"/>
          </w:tcPr>
          <w:p>
            <w:pPr>
              <w:spacing w:after="0"/>
              <w:rPr>
                <w:sz w:val="1"/>
                <w:szCs w:val="1"/>
                <w:color w:val="auto"/>
              </w:rPr>
            </w:pPr>
          </w:p>
        </w:tc>
      </w:tr>
      <w:tr>
        <w:trPr>
          <w:trHeight w:val="152"/>
        </w:trPr>
        <w:tc>
          <w:tcPr>
            <w:tcW w:w="362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40" w:type="dxa"/>
            <w:vAlign w:val="bottom"/>
            <w:shd w:val="clear" w:color="auto" w:fill="CCECFF"/>
          </w:tcPr>
          <w:p>
            <w:pPr>
              <w:spacing w:after="0"/>
              <w:rPr>
                <w:sz w:val="13"/>
                <w:szCs w:val="13"/>
                <w:color w:val="auto"/>
              </w:rPr>
            </w:pPr>
          </w:p>
        </w:tc>
        <w:tc>
          <w:tcPr>
            <w:tcW w:w="88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2.00%)</w:t>
            </w:r>
          </w:p>
        </w:tc>
        <w:tc>
          <w:tcPr>
            <w:tcW w:w="9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2/9/2026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10.92 %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8,879</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8,856</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8,879</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gridSpan w:val="2"/>
          </w:tcPr>
          <w:p>
            <w:pPr>
              <w:jc w:val="right"/>
              <w:ind w:right="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2/7/2025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10.87 %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281</w:t>
            </w:r>
          </w:p>
        </w:tc>
        <w:tc>
          <w:tcPr>
            <w:tcW w:w="2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c>
          <w:tcPr>
            <w:tcW w:w="3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2/7/2025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7,000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6,791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6,948</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11.14 %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3,795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3,643</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10.81 %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SOFR+501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867</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878</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10.81 %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SOFR+501</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4,361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4,313</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4,361</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2,236</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2,236</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2,236</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Dr. Squatch, LLC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11.71 %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15,949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15,852</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15,821</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12.43 %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3,428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3,415</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3,417</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10.08 %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SOFR+475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4,975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4,903</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4,989</w:t>
            </w:r>
          </w:p>
        </w:tc>
        <w:tc>
          <w:tcPr>
            <w:tcW w:w="0" w:type="dxa"/>
            <w:vAlign w:val="bottom"/>
          </w:tcPr>
          <w:p>
            <w:pPr>
              <w:spacing w:after="0"/>
              <w:rPr>
                <w:sz w:val="1"/>
                <w:szCs w:val="1"/>
                <w:color w:val="auto"/>
              </w:rPr>
            </w:pPr>
          </w:p>
        </w:tc>
      </w:tr>
      <w:tr>
        <w:trPr>
          <w:trHeight w:val="133"/>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3,977</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3,917</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3,897</w:t>
            </w:r>
          </w:p>
        </w:tc>
        <w:tc>
          <w:tcPr>
            <w:tcW w:w="0" w:type="dxa"/>
            <w:vAlign w:val="bottom"/>
          </w:tcPr>
          <w:p>
            <w:pPr>
              <w:spacing w:after="0"/>
              <w:rPr>
                <w:sz w:val="1"/>
                <w:szCs w:val="1"/>
                <w:color w:val="auto"/>
              </w:rPr>
            </w:pPr>
          </w:p>
        </w:tc>
      </w:tr>
      <w:tr>
        <w:trPr>
          <w:trHeight w:val="137"/>
        </w:trPr>
        <w:tc>
          <w:tcPr>
            <w:tcW w:w="3620" w:type="dxa"/>
            <w:vAlign w:val="bottom"/>
            <w:shd w:val="clear" w:color="auto" w:fill="CCECFF"/>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EDS Buyer, LLC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6,750</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(51 )</w:t>
            </w:r>
          </w:p>
        </w:tc>
        <w:tc>
          <w:tcPr>
            <w:tcW w:w="0" w:type="dxa"/>
            <w:vAlign w:val="bottom"/>
          </w:tcPr>
          <w:p>
            <w:pPr>
              <w:spacing w:after="0"/>
              <w:rPr>
                <w:sz w:val="1"/>
                <w:szCs w:val="1"/>
                <w:color w:val="auto"/>
              </w:rPr>
            </w:pPr>
          </w:p>
        </w:tc>
      </w:tr>
      <w:tr>
        <w:trPr>
          <w:trHeight w:val="132"/>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EDS Buyer,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2,298</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14.44 %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8,152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8,170</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5,706</w:t>
            </w:r>
          </w:p>
        </w:tc>
        <w:tc>
          <w:tcPr>
            <w:tcW w:w="0" w:type="dxa"/>
            <w:vAlign w:val="bottom"/>
          </w:tcPr>
          <w:p>
            <w:pPr>
              <w:spacing w:after="0"/>
              <w:rPr>
                <w:sz w:val="1"/>
                <w:szCs w:val="1"/>
                <w:color w:val="auto"/>
              </w:rPr>
            </w:pPr>
          </w:p>
        </w:tc>
      </w:tr>
      <w:tr>
        <w:trPr>
          <w:trHeight w:val="152"/>
        </w:trPr>
        <w:tc>
          <w:tcPr>
            <w:tcW w:w="36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w:t>
            </w:r>
          </w:p>
        </w:tc>
        <w:tc>
          <w:tcPr>
            <w:tcW w:w="9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Eisner Advisory Group,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2/23/2031</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9.33 %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7,000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6,930</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7,018</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5/25/2029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1,656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6/23/2028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10.32 %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SOFR+501</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997</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2/23/2028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4,503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4,430</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4,435</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Five Star Buyer, Inc. - DDTL B Unfunded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2/23/2028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2/23/2028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5/19/2029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12.56 %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5,012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4,938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4,761</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10.94 %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1,057</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1,055</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11.62 %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601</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10.90 %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3,993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3,942</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3,753</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585</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550</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11/7/2029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7,981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7,867</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7,861</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Hills Distribution Inc.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11/7/2025</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10,812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32"/>
        </w:trPr>
        <w:tc>
          <w:tcPr>
            <w:tcW w:w="3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11.69 %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10,492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10,454</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10,334</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9/22/2028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11.41 %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4,405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4,342</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4,317</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9/22/2027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1,193</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12.60 %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23,538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23,358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23,538</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12.17 %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SOFR+685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2,964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2,964</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2,964</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(CAD)</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11.31 %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1,446</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1,041</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1,047</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11/17/2025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6,122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(46 )</w:t>
            </w:r>
          </w:p>
        </w:tc>
        <w:tc>
          <w:tcPr>
            <w:tcW w:w="0" w:type="dxa"/>
            <w:vAlign w:val="bottom"/>
          </w:tcPr>
          <w:p>
            <w:pPr>
              <w:spacing w:after="0"/>
              <w:rPr>
                <w:sz w:val="1"/>
                <w:szCs w:val="1"/>
                <w:color w:val="auto"/>
              </w:rPr>
            </w:pPr>
          </w:p>
        </w:tc>
      </w:tr>
      <w:tr>
        <w:trPr>
          <w:trHeight w:val="156"/>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- 1st Amendment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14.25 %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226</w:t>
            </w:r>
          </w:p>
        </w:tc>
        <w:tc>
          <w:tcPr>
            <w:tcW w:w="260" w:type="dxa"/>
            <w:vAlign w:val="bottom"/>
          </w:tcPr>
          <w:p>
            <w:pPr>
              <w:spacing w:after="0"/>
              <w:rPr>
                <w:sz w:val="13"/>
                <w:szCs w:val="13"/>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w:t>
            </w:r>
          </w:p>
        </w:tc>
        <w:tc>
          <w:tcPr>
            <w:tcW w:w="320" w:type="dxa"/>
            <w:vAlign w:val="bottom"/>
          </w:tcPr>
          <w:p>
            <w:pPr>
              <w:spacing w:after="0"/>
              <w:rPr>
                <w:sz w:val="13"/>
                <w:szCs w:val="13"/>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226</w:t>
            </w:r>
          </w:p>
        </w:tc>
        <w:tc>
          <w:tcPr>
            <w:tcW w:w="0" w:type="dxa"/>
            <w:vAlign w:val="bottom"/>
          </w:tcPr>
          <w:p>
            <w:pPr>
              <w:spacing w:after="0"/>
              <w:rPr>
                <w:sz w:val="1"/>
                <w:szCs w:val="1"/>
                <w:color w:val="auto"/>
              </w:rPr>
            </w:pPr>
          </w:p>
        </w:tc>
      </w:tr>
      <w:tr>
        <w:trPr>
          <w:trHeight w:val="32"/>
        </w:trPr>
        <w:tc>
          <w:tcPr>
            <w:tcW w:w="3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11/1/2026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11.18 %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2,908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2,877</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2,908</w:t>
            </w:r>
          </w:p>
        </w:tc>
        <w:tc>
          <w:tcPr>
            <w:tcW w:w="0" w:type="dxa"/>
            <w:vAlign w:val="bottom"/>
          </w:tcPr>
          <w:p>
            <w:pPr>
              <w:spacing w:after="0"/>
              <w:rPr>
                <w:sz w:val="1"/>
                <w:szCs w:val="1"/>
                <w:color w:val="auto"/>
              </w:rPr>
            </w:pPr>
          </w:p>
        </w:tc>
      </w:tr>
      <w:tr>
        <w:trPr>
          <w:trHeight w:val="140"/>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15,592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15,561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14,500</w:t>
            </w:r>
          </w:p>
        </w:tc>
        <w:tc>
          <w:tcPr>
            <w:tcW w:w="0" w:type="dxa"/>
            <w:vAlign w:val="bottom"/>
          </w:tcPr>
          <w:p>
            <w:pPr>
              <w:spacing w:after="0"/>
              <w:rPr>
                <w:sz w:val="1"/>
                <w:szCs w:val="1"/>
                <w:color w:val="auto"/>
              </w:rPr>
            </w:pPr>
          </w:p>
        </w:tc>
      </w:tr>
      <w:tr>
        <w:trPr>
          <w:trHeight w:val="152"/>
        </w:trPr>
        <w:tc>
          <w:tcPr>
            <w:tcW w:w="36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2.25%)</w:t>
            </w:r>
          </w:p>
        </w:tc>
        <w:tc>
          <w:tcPr>
            <w:tcW w:w="9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8/27/2026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16,141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16,039</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15,980</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7,440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8/27/2026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62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19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11.90 %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7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579</w:t>
            </w:r>
          </w:p>
        </w:tc>
        <w:tc>
          <w:tcPr>
            <w:tcW w:w="260" w:type="dxa"/>
            <w:vAlign w:val="bottom"/>
            <w:shd w:val="clear" w:color="auto" w:fill="CCECFF"/>
          </w:tcPr>
          <w:p>
            <w:pPr>
              <w:spacing w:after="0"/>
              <w:rPr>
                <w:sz w:val="11"/>
                <w:szCs w:val="11"/>
                <w:color w:val="auto"/>
              </w:rPr>
            </w:pPr>
          </w:p>
        </w:tc>
        <w:tc>
          <w:tcPr>
            <w:tcW w:w="58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579</w:t>
            </w:r>
          </w:p>
        </w:tc>
        <w:tc>
          <w:tcPr>
            <w:tcW w:w="320" w:type="dxa"/>
            <w:vAlign w:val="bottom"/>
            <w:shd w:val="clear" w:color="auto" w:fill="CCECFF"/>
          </w:tcPr>
          <w:p>
            <w:pPr>
              <w:spacing w:after="0"/>
              <w:rPr>
                <w:sz w:val="11"/>
                <w:szCs w:val="11"/>
                <w:color w:val="auto"/>
              </w:rPr>
            </w:pPr>
          </w:p>
        </w:tc>
        <w:tc>
          <w:tcPr>
            <w:tcW w:w="5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574</w:t>
            </w:r>
          </w:p>
        </w:tc>
        <w:tc>
          <w:tcPr>
            <w:tcW w:w="0" w:type="dxa"/>
            <w:vAlign w:val="bottom"/>
          </w:tcPr>
          <w:p>
            <w:pPr>
              <w:spacing w:after="0"/>
              <w:rPr>
                <w:sz w:val="1"/>
                <w:szCs w:val="1"/>
                <w:color w:val="auto"/>
              </w:rPr>
            </w:pPr>
          </w:p>
        </w:tc>
      </w:tr>
      <w:tr>
        <w:trPr>
          <w:trHeight w:val="80"/>
        </w:trPr>
        <w:tc>
          <w:tcPr>
            <w:tcW w:w="3620" w:type="dxa"/>
            <w:vAlign w:val="bottom"/>
            <w:vMerge w:val="continue"/>
            <w:shd w:val="clear" w:color="auto" w:fill="CCECFF"/>
          </w:tcPr>
          <w:p>
            <w:pPr>
              <w:spacing w:after="0"/>
              <w:rPr>
                <w:sz w:val="6"/>
                <w:szCs w:val="6"/>
                <w:color w:val="auto"/>
              </w:rPr>
            </w:pPr>
          </w:p>
        </w:tc>
        <w:tc>
          <w:tcPr>
            <w:tcW w:w="800" w:type="dxa"/>
            <w:vAlign w:val="bottom"/>
            <w:shd w:val="clear" w:color="auto" w:fill="CCECFF"/>
          </w:tcPr>
          <w:p>
            <w:pPr>
              <w:spacing w:after="0"/>
              <w:rPr>
                <w:sz w:val="6"/>
                <w:szCs w:val="6"/>
                <w:color w:val="auto"/>
              </w:rPr>
            </w:pPr>
          </w:p>
        </w:tc>
        <w:tc>
          <w:tcPr>
            <w:tcW w:w="1920" w:type="dxa"/>
            <w:vAlign w:val="bottom"/>
            <w:vMerge w:val="continue"/>
            <w:shd w:val="clear" w:color="auto" w:fill="CCECFF"/>
          </w:tcPr>
          <w:p>
            <w:pPr>
              <w:spacing w:after="0"/>
              <w:rPr>
                <w:sz w:val="6"/>
                <w:szCs w:val="6"/>
                <w:color w:val="auto"/>
              </w:rPr>
            </w:pPr>
          </w:p>
        </w:tc>
        <w:tc>
          <w:tcPr>
            <w:tcW w:w="840" w:type="dxa"/>
            <w:vAlign w:val="bottom"/>
            <w:shd w:val="clear" w:color="auto" w:fill="CCECFF"/>
          </w:tcPr>
          <w:p>
            <w:pPr>
              <w:spacing w:after="0"/>
              <w:rPr>
                <w:sz w:val="6"/>
                <w:szCs w:val="6"/>
                <w:color w:val="auto"/>
              </w:rPr>
            </w:pPr>
          </w:p>
        </w:tc>
        <w:tc>
          <w:tcPr>
            <w:tcW w:w="920" w:type="dxa"/>
            <w:vAlign w:val="bottom"/>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260" w:type="dxa"/>
            <w:vAlign w:val="bottom"/>
            <w:shd w:val="clear" w:color="auto" w:fill="CCECFF"/>
          </w:tcPr>
          <w:p>
            <w:pPr>
              <w:spacing w:after="0"/>
              <w:rPr>
                <w:sz w:val="6"/>
                <w:szCs w:val="6"/>
                <w:color w:val="auto"/>
              </w:rPr>
            </w:pPr>
          </w:p>
        </w:tc>
        <w:tc>
          <w:tcPr>
            <w:tcW w:w="580" w:type="dxa"/>
            <w:vAlign w:val="bottom"/>
            <w:vMerge w:val="continue"/>
            <w:shd w:val="clear" w:color="auto" w:fill="CCECFF"/>
          </w:tcPr>
          <w:p>
            <w:pPr>
              <w:spacing w:after="0"/>
              <w:rPr>
                <w:sz w:val="6"/>
                <w:szCs w:val="6"/>
                <w:color w:val="auto"/>
              </w:rPr>
            </w:pPr>
          </w:p>
        </w:tc>
        <w:tc>
          <w:tcPr>
            <w:tcW w:w="320" w:type="dxa"/>
            <w:vAlign w:val="bottom"/>
            <w:shd w:val="clear" w:color="auto" w:fill="CCECFF"/>
          </w:tcPr>
          <w:p>
            <w:pPr>
              <w:spacing w:after="0"/>
              <w:rPr>
                <w:sz w:val="6"/>
                <w:szCs w:val="6"/>
                <w:color w:val="auto"/>
              </w:rPr>
            </w:pPr>
          </w:p>
        </w:tc>
        <w:tc>
          <w:tcPr>
            <w:tcW w:w="52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w:t>
            </w:r>
          </w:p>
        </w:tc>
        <w:tc>
          <w:tcPr>
            <w:tcW w:w="26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bl>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1040" w:type="dxa"/>
            <w:vAlign w:val="bottom"/>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40" w:type="dxa"/>
            <w:vAlign w:val="bottom"/>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gridSpan w:val="2"/>
          </w:tcPr>
          <w:p>
            <w:pPr>
              <w:jc w:val="right"/>
              <w:ind w:right="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c>
          <w:tcPr>
            <w:tcW w:w="0" w:type="dxa"/>
            <w:vAlign w:val="bottom"/>
          </w:tcPr>
          <w:p>
            <w:pPr>
              <w:spacing w:after="0"/>
              <w:rPr>
                <w:sz w:val="1"/>
                <w:szCs w:val="1"/>
                <w:color w:val="auto"/>
              </w:rPr>
            </w:pPr>
          </w:p>
        </w:tc>
      </w:tr>
      <w:tr>
        <w:trPr>
          <w:trHeight w:val="133"/>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12.94 %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SOFR+761</w:t>
            </w:r>
          </w:p>
        </w:tc>
        <w:tc>
          <w:tcPr>
            <w:tcW w:w="10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4,893</w:t>
            </w:r>
          </w:p>
        </w:tc>
        <w:tc>
          <w:tcPr>
            <w:tcW w:w="3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32"/>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4,963</w:t>
            </w: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Inventus Power,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1,729</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Keel Platform,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1/19/2031</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Metals and Mining</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10.55 %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10,842</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10,682</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10,734</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Keel Platform, LLC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1/19/2031</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Metals and Mining</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3,158</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11.46 %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17,167</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16,940</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17,167</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3,435</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13.23 %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SOFR+810</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10,513</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10,397</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10,408</w:t>
            </w:r>
          </w:p>
        </w:tc>
        <w:tc>
          <w:tcPr>
            <w:tcW w:w="0" w:type="dxa"/>
            <w:vAlign w:val="bottom"/>
          </w:tcPr>
          <w:p>
            <w:pPr>
              <w:spacing w:after="0"/>
              <w:rPr>
                <w:sz w:val="1"/>
                <w:szCs w:val="1"/>
                <w:color w:val="auto"/>
              </w:rPr>
            </w:pPr>
          </w:p>
        </w:tc>
      </w:tr>
      <w:tr>
        <w:trPr>
          <w:trHeight w:val="152"/>
        </w:trPr>
        <w:tc>
          <w:tcPr>
            <w:tcW w:w="36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92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13.27 %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SOFR+810</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2,765</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2,765</w:t>
            </w:r>
          </w:p>
        </w:tc>
        <w:tc>
          <w:tcPr>
            <w:tcW w:w="320" w:type="dxa"/>
            <w:vAlign w:val="bottom"/>
          </w:tcPr>
          <w:p>
            <w:pPr>
              <w:spacing w:after="0"/>
              <w:rPr>
                <w:sz w:val="13"/>
                <w:szCs w:val="13"/>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2,738</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335</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92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5.10%)</w:t>
            </w:r>
          </w:p>
        </w:tc>
        <w:tc>
          <w:tcPr>
            <w:tcW w:w="92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11.76 %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SOFR+640</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13,081</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13,077</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12,898</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LAV Gear Holdings, Inc.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SOFR+640</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1,721</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1,721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1,697</w:t>
            </w:r>
          </w:p>
        </w:tc>
        <w:tc>
          <w:tcPr>
            <w:tcW w:w="0" w:type="dxa"/>
            <w:vAlign w:val="bottom"/>
          </w:tcPr>
          <w:p>
            <w:pPr>
              <w:spacing w:after="0"/>
              <w:rPr>
                <w:sz w:val="1"/>
                <w:szCs w:val="1"/>
                <w:color w:val="auto"/>
              </w:rPr>
            </w:pPr>
          </w:p>
        </w:tc>
      </w:tr>
      <w:tr>
        <w:trPr>
          <w:trHeight w:val="136"/>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104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color w:val="auto"/>
              </w:rPr>
              <w:t>3,690</w:t>
            </w: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3,674</w:t>
            </w:r>
          </w:p>
        </w:tc>
        <w:tc>
          <w:tcPr>
            <w:tcW w:w="320" w:type="dxa"/>
            <w:vAlign w:val="bottom"/>
          </w:tcPr>
          <w:p>
            <w:pPr>
              <w:spacing w:after="0"/>
              <w:rPr>
                <w:sz w:val="11"/>
                <w:szCs w:val="11"/>
                <w:color w:val="auto"/>
              </w:rPr>
            </w:pPr>
          </w:p>
        </w:tc>
        <w:tc>
          <w:tcPr>
            <w:tcW w:w="5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3,635</w:t>
            </w:r>
          </w:p>
        </w:tc>
        <w:tc>
          <w:tcPr>
            <w:tcW w:w="0" w:type="dxa"/>
            <w:vAlign w:val="bottom"/>
          </w:tcPr>
          <w:p>
            <w:pPr>
              <w:spacing w:after="0"/>
              <w:rPr>
                <w:sz w:val="1"/>
                <w:szCs w:val="1"/>
                <w:color w:val="auto"/>
              </w:rPr>
            </w:pPr>
          </w:p>
        </w:tc>
      </w:tr>
      <w:tr>
        <w:trPr>
          <w:trHeight w:val="88"/>
        </w:trPr>
        <w:tc>
          <w:tcPr>
            <w:tcW w:w="3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658</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658</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648</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132</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22,426</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22,216</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22,426</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2,499</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02/01/2030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11.71 %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1,098</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LJ Avalon Holdings, LLC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1,721</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LJ Avalon Holdings, LLC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1,130</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12.31 %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19,166</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18,824</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18,783</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12.31 %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1,861</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1,824</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r>
              <w:rPr>
                <w:rFonts w:ascii="Times New Roman" w:cs="Times New Roman" w:eastAsia="Times New Roman" w:hAnsi="Times New Roman"/>
                <w:sz w:val="12"/>
                <w:szCs w:val="12"/>
                <w:color w:val="auto"/>
                <w:vertAlign w:val="superscript"/>
              </w:rPr>
              <w:t>(7)(9)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Personal Products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1,523</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LSF9 Atlantis Holdings,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Specialty Retail</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11.83 %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SOFR+650</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5,550</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5,550</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5,581</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10/02/2028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12.97 %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SOFR+765</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260</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260</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260</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10/02/2029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12.97 %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SOFR+765</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521</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04/01/2027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10.90 %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SOFR+550</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3,654</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3,558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3,485</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8,683</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8,591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8,683</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2"/>
                <w:szCs w:val="12"/>
                <w:color w:val="auto"/>
                <w:vertAlign w:val="superscript"/>
              </w:rPr>
              <w:t>(7)(9)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2,435</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(Revolver)</w:t>
            </w:r>
            <w:r>
              <w:rPr>
                <w:rFonts w:ascii="Times New Roman" w:cs="Times New Roman" w:eastAsia="Times New Roman" w:hAnsi="Times New Roman"/>
                <w:sz w:val="12"/>
                <w:szCs w:val="12"/>
                <w:color w:val="auto"/>
                <w:vertAlign w:val="superscript"/>
              </w:rPr>
              <w:t>(7)(9)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1,157</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2,031</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1,996</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2,002</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402</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402</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396</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Commodity Chemicals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371</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11.20 %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1,968</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1,946</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1,929</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1,693</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17,910</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17,614</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17,730</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Medina Health, LLC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778</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770</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Medina Health, LLC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4,409</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(44 )</w:t>
            </w:r>
          </w:p>
        </w:tc>
        <w:tc>
          <w:tcPr>
            <w:tcW w:w="0" w:type="dxa"/>
            <w:vAlign w:val="bottom"/>
          </w:tcPr>
          <w:p>
            <w:pPr>
              <w:spacing w:after="0"/>
              <w:rPr>
                <w:sz w:val="1"/>
                <w:szCs w:val="1"/>
                <w:color w:val="auto"/>
              </w:rPr>
            </w:pPr>
          </w:p>
        </w:tc>
      </w:tr>
      <w:tr>
        <w:trPr>
          <w:trHeight w:val="133"/>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Acquisitionco,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3M SOFR +525</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22,750</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22,412</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22,409</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620" w:type="dxa"/>
            <w:vAlign w:val="bottom"/>
            <w:shd w:val="clear" w:color="auto" w:fill="CCECFF"/>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Megawatt Acquisitionco, Inc.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3,250</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2"/>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11.23 %</w:t>
            </w: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5"/>
              </w:rPr>
              <w:t>3M SOFR +625</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3,199</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3,184</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3,199</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Mission Critical Electronics, Inc.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5/31/2024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707</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Mission Critical Electronics,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Capital Equipment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1,325</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11.06 %</w:t>
            </w:r>
          </w:p>
        </w:tc>
        <w:tc>
          <w:tcPr>
            <w:tcW w:w="92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0"/>
                <w:szCs w:val="10"/>
                <w:color w:val="auto"/>
                <w:w w:val="95"/>
              </w:rPr>
              <w:t>3M SOFR +590</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32,000</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31,534</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31,680</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MOREGroup Holdings, Inc.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1/16/2026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11,056</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MOREGroup Holdings, Inc.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6,634</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(66 )</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10/1/2027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10.46 %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1,175</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1,142</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1,175</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 Unfunded Term Loan A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12/16/2024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387</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 Unfunded Term Loan B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12/16/2024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1,264</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10/1/2027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947</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1,677</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(75 )</w:t>
            </w:r>
          </w:p>
        </w:tc>
        <w:tc>
          <w:tcPr>
            <w:tcW w:w="0" w:type="dxa"/>
            <w:vAlign w:val="bottom"/>
          </w:tcPr>
          <w:p>
            <w:pPr>
              <w:spacing w:after="0"/>
              <w:rPr>
                <w:sz w:val="1"/>
                <w:szCs w:val="1"/>
                <w:color w:val="auto"/>
              </w:rPr>
            </w:pP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Neptune Flood Incorporated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5/9/2029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Insurance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541</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11.68 %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19,900</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19,525</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19,900</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5,479</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Omnia Exterior Solutions,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10.80 %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11,050</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10,956</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10,884</w:t>
            </w:r>
          </w:p>
        </w:tc>
        <w:tc>
          <w:tcPr>
            <w:tcW w:w="0" w:type="dxa"/>
            <w:vAlign w:val="bottom"/>
          </w:tcPr>
          <w:p>
            <w:pPr>
              <w:spacing w:after="0"/>
              <w:rPr>
                <w:sz w:val="1"/>
                <w:szCs w:val="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 Unfunded Term Loan 1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CFF"/>
          </w:tcPr>
          <w:p>
            <w:pPr>
              <w:jc w:val="right"/>
              <w:ind w:right="332"/>
              <w:spacing w:after="0"/>
              <w:rPr>
                <w:sz w:val="20"/>
                <w:szCs w:val="20"/>
                <w:color w:val="auto"/>
              </w:rPr>
            </w:pPr>
            <w:r>
              <w:rPr>
                <w:rFonts w:ascii="Times New Roman" w:cs="Times New Roman" w:eastAsia="Times New Roman" w:hAnsi="Times New Roman"/>
                <w:sz w:val="10"/>
                <w:szCs w:val="10"/>
                <w:color w:val="auto"/>
              </w:rPr>
              <w:t>650</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6"/>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2"/>
                <w:szCs w:val="12"/>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32"/>
        </w:trPr>
        <w:tc>
          <w:tcPr>
            <w:tcW w:w="362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Omnia Exterior Solutions, LLC - Unfunded Term Loan 2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9,100</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(46 )</w:t>
            </w:r>
          </w:p>
        </w:tc>
      </w:tr>
      <w:tr>
        <w:trPr>
          <w:trHeight w:val="192"/>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Omnia Exterior Solutions,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2,600</w:t>
            </w:r>
          </w:p>
        </w:tc>
        <w:tc>
          <w:tcPr>
            <w:tcW w:w="260" w:type="dxa"/>
            <w:vAlign w:val="bottom"/>
            <w:shd w:val="clear" w:color="auto" w:fill="CCECFF"/>
          </w:tcPr>
          <w:p>
            <w:pPr>
              <w:spacing w:after="0"/>
              <w:rPr>
                <w:sz w:val="16"/>
                <w:szCs w:val="16"/>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6"/>
                <w:szCs w:val="16"/>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(39 )</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Air Freight and Logistics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11.69 %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8,471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8,366</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8,471</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14.70 %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SOFR+940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4,577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4,517</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3,570</w:t>
            </w:r>
          </w:p>
        </w:tc>
      </w:tr>
      <w:tr>
        <w:trPr>
          <w:trHeight w:val="144"/>
        </w:trPr>
        <w:tc>
          <w:tcPr>
            <w:tcW w:w="36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92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2.00%)</w:t>
            </w:r>
          </w:p>
        </w:tc>
        <w:tc>
          <w:tcPr>
            <w:tcW w:w="9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Finance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(47 )</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Purchaser,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12,868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12,648</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12,765</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OSP Embedded Purchaser, LLC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12/15/2029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2,932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13.82 %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SOFR+843</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521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521</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12.07 %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SOFR+668</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1,058</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10.68 %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3,807</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12.47 %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SOFR+651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22,736</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22,550</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22,736</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11.43 %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4,988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4,988</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 - Unfunded Term Loan</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3,598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Pacific Purchaser, LLC -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1,799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Midco,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11.09 %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11,362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11,195</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11,194</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 -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11.08 %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PCS Midco, Inc.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3/1/2030</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PCS Midco, Inc. - Unfunded Term Loan</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3,974</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5,712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5,645</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5,055</w:t>
            </w:r>
          </w:p>
        </w:tc>
      </w:tr>
      <w:tr>
        <w:trPr>
          <w:trHeight w:val="152"/>
        </w:trPr>
        <w:tc>
          <w:tcPr>
            <w:tcW w:w="36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3.50%)</w:t>
            </w:r>
          </w:p>
        </w:tc>
        <w:tc>
          <w:tcPr>
            <w:tcW w:w="9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Textiles, Apparel and Luxury Goods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(263 )</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3,369</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3,314</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Pragmatic Institute, LLC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2,290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(309 )</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11.09 %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1,526</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1,305</w:t>
            </w:r>
          </w:p>
        </w:tc>
      </w:tr>
      <w:tr>
        <w:trPr>
          <w:trHeight w:val="133"/>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6,613</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6,555</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6,481</w:t>
            </w: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7"/>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670</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32"/>
        </w:trPr>
        <w:tc>
          <w:tcPr>
            <w:tcW w:w="362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Quantic Electronics, LLC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Questex,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9/9/2024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9.72 %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SOFR+440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6,731</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6,719</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6,731</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9/9/2024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Media: Diversified and Production</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1,443</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1,419</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11.90 %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281</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Recteq, LLC - Unfunded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Leisure Products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11.07 %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16,872</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16,820</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14,341</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6/20/2025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10.97 %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9,887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9,838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9,895</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6/20/2025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SOFR+510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6/20/2025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11.56 %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282</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Rural Sourcing Holdings, Inc. (HPA SPQ Merger Sub, Inc.)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6/15/2029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Rural Sourcing Holdings, Inc. (HPA SPQ Merger Sub,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11.51 %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2,527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2,518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2,527</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1,293</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12.93 %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SOFR+760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3,381</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3,372</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3,381</w:t>
            </w:r>
          </w:p>
        </w:tc>
      </w:tr>
      <w:tr>
        <w:trPr>
          <w:trHeight w:val="124"/>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8"/>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1.00%)</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7"/>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12.93 %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731</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731</w:t>
            </w:r>
          </w:p>
        </w:tc>
      </w:tr>
      <w:tr>
        <w:trPr>
          <w:trHeight w:val="124"/>
        </w:trPr>
        <w:tc>
          <w:tcPr>
            <w:tcW w:w="36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r>
      <w:tr>
        <w:trPr>
          <w:trHeight w:val="152"/>
        </w:trPr>
        <w:tc>
          <w:tcPr>
            <w:tcW w:w="36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1.00%)</w:t>
            </w:r>
          </w:p>
        </w:tc>
        <w:tc>
          <w:tcPr>
            <w:tcW w:w="9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r>
      <w:tr>
        <w:trPr>
          <w:trHeight w:val="133"/>
        </w:trPr>
        <w:tc>
          <w:tcPr>
            <w:tcW w:w="36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352</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8"/>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1.00%)</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7"/>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7/14/2025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13.68 %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 +</w:t>
            </w: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24"/>
        </w:trPr>
        <w:tc>
          <w:tcPr>
            <w:tcW w:w="362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92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825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14,829</w:t>
            </w:r>
          </w:p>
        </w:tc>
        <w:tc>
          <w:tcPr>
            <w:tcW w:w="260" w:type="dxa"/>
            <w:vAlign w:val="bottom"/>
            <w:shd w:val="clear" w:color="auto" w:fill="CCECFF"/>
          </w:tcPr>
          <w:p>
            <w:pPr>
              <w:spacing w:after="0"/>
              <w:rPr>
                <w:sz w:val="10"/>
                <w:szCs w:val="10"/>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14,783</w:t>
            </w:r>
          </w:p>
        </w:tc>
        <w:tc>
          <w:tcPr>
            <w:tcW w:w="320" w:type="dxa"/>
            <w:vAlign w:val="bottom"/>
            <w:shd w:val="clear" w:color="auto" w:fill="CCECFF"/>
          </w:tcPr>
          <w:p>
            <w:pPr>
              <w:spacing w:after="0"/>
              <w:rPr>
                <w:sz w:val="10"/>
                <w:szCs w:val="10"/>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14,533</w:t>
            </w:r>
          </w:p>
        </w:tc>
      </w:tr>
      <w:tr>
        <w:trPr>
          <w:trHeight w:val="152"/>
        </w:trPr>
        <w:tc>
          <w:tcPr>
            <w:tcW w:w="36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5.60%)</w:t>
            </w:r>
          </w:p>
        </w:tc>
        <w:tc>
          <w:tcPr>
            <w:tcW w:w="9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r>
      <w:tr>
        <w:trPr>
          <w:trHeight w:val="133"/>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7/14/2025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13.68 %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 +</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1,534</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1,503</w:t>
            </w:r>
          </w:p>
        </w:tc>
      </w:tr>
      <w:tr>
        <w:trPr>
          <w:trHeight w:val="124"/>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1,534</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8"/>
        </w:trPr>
        <w:tc>
          <w:tcPr>
            <w:tcW w:w="3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(PIK 5.60%)</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Schlesinger Global,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7/14/2025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(8 )</w:t>
            </w:r>
          </w:p>
        </w:tc>
      </w:tr>
      <w:tr>
        <w:trPr>
          <w:trHeight w:val="144"/>
        </w:trPr>
        <w:tc>
          <w:tcPr>
            <w:tcW w:w="36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920" w:type="dxa"/>
            <w:vAlign w:val="bottom"/>
            <w:shd w:val="clear" w:color="auto" w:fill="CCECFF"/>
          </w:tcPr>
          <w:p>
            <w:pPr>
              <w:spacing w:after="0"/>
              <w:rPr>
                <w:sz w:val="12"/>
                <w:szCs w:val="12"/>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5.60%)</w:t>
            </w:r>
          </w:p>
        </w:tc>
        <w:tc>
          <w:tcPr>
            <w:tcW w:w="9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r>
      <w:tr>
        <w:trPr>
          <w:trHeight w:val="136"/>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1,911</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1,887</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1,854</w:t>
            </w:r>
          </w:p>
        </w:tc>
      </w:tr>
    </w:tbl>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0"/>
        </w:trPr>
        <w:tc>
          <w:tcPr>
            <w:tcW w:w="3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3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0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20" w:type="dxa"/>
            <w:vAlign w:val="bottom"/>
          </w:tcPr>
          <w:p>
            <w:pPr>
              <w:jc w:val="center"/>
              <w:ind w:right="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5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40" w:type="dxa"/>
            <w:vAlign w:val="bottom"/>
            <w:gridSpan w:val="2"/>
          </w:tcPr>
          <w:p>
            <w:pPr>
              <w:jc w:val="right"/>
              <w:ind w:right="92"/>
              <w:spacing w:after="0" w:line="134" w:lineRule="exact"/>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20,894</w:t>
            </w:r>
          </w:p>
        </w:tc>
        <w:tc>
          <w:tcPr>
            <w:tcW w:w="26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20,606</w:t>
            </w:r>
          </w:p>
        </w:tc>
        <w:tc>
          <w:tcPr>
            <w:tcW w:w="3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20,685</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1,572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1,572</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1,557</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1,048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11.63 %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3,428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3,422</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3,388</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Simplicity Financial Marketing Group Holdings Inc.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2/9/2026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5,310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(53 )</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Simplicity Financial Marketing Group Holdings Inc. -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1,043</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Business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9.94 %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SOFR+450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599</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595</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11.49 %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13,589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13,374</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13,589</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Smartronix, LLC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1,791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9.91 %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SOFR+450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2,425</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2,163</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9.95 %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SOFR+450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588</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524</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Smile Brands Inc.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Smile Brands Inc. 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12.46 %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4,635</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4,652</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833</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33"/>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 +</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2,146</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2,170</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2,170</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 Unfunded Term Loan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10.97 %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535</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10.35 %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SOFR+501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1,976</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w:t>
            </w:r>
          </w:p>
        </w:tc>
      </w:tr>
      <w:tr>
        <w:trPr>
          <w:trHeight w:val="137"/>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11.10 %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SOFR+590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20,566</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20,316</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20,546</w:t>
            </w:r>
          </w:p>
        </w:tc>
      </w:tr>
      <w:tr>
        <w:trPr>
          <w:trHeight w:val="132"/>
        </w:trPr>
        <w:tc>
          <w:tcPr>
            <w:tcW w:w="36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33"/>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w:t>
            </w:r>
          </w:p>
        </w:tc>
      </w:tr>
      <w:tr>
        <w:trPr>
          <w:trHeight w:val="128"/>
        </w:trPr>
        <w:tc>
          <w:tcPr>
            <w:tcW w:w="3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8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12,537</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System Planning and Analysis, Inc.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5,188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r>
      <w:tr>
        <w:trPr>
          <w:trHeight w:val="133"/>
        </w:trPr>
        <w:tc>
          <w:tcPr>
            <w:tcW w:w="36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spacing w:after="0"/>
              <w:rPr>
                <w:sz w:val="11"/>
                <w:szCs w:val="11"/>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28"/>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S101 Holdings, Inc.</w:t>
            </w: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11.48 %</w:t>
            </w:r>
          </w:p>
        </w:tc>
        <w:tc>
          <w:tcPr>
            <w:tcW w:w="920" w:type="dxa"/>
            <w:vAlign w:val="bottom"/>
          </w:tcPr>
          <w:p>
            <w:pPr>
              <w:spacing w:after="0"/>
              <w:rPr>
                <w:sz w:val="11"/>
                <w:szCs w:val="11"/>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12,502</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12,349</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12,377</w:t>
            </w:r>
          </w:p>
        </w:tc>
      </w:tr>
      <w:tr>
        <w:trPr>
          <w:trHeight w:val="137"/>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12/15/2024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9,036</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32"/>
        </w:trPr>
        <w:tc>
          <w:tcPr>
            <w:tcW w:w="362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S101 Holdings, Inc. - Unfunded Term Loan 2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Acquisitionco, Inc.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1/26/2029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11.81 %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26,725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26,271</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26,257</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TCG 3.0 Jogger Acquisitionco, Inc. -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1/26/2029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rPr>
              <w:t>Media</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2,426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(42 )</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10.58 %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SOFR+543</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1,995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1,985</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1,990</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7/28/2026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11.96 %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2,576</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2,541</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2,576</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7/28/2026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(7)</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8/30/2027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11.22 %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SOFR+610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3,394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3,345</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3,394</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8/30/2027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11.95 %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408</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408</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8/30/2027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Construction &amp; Engineering</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503</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US Parent,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10.95 %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11,949</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11,836</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11,937</w:t>
            </w:r>
          </w:p>
        </w:tc>
      </w:tr>
      <w:tr>
        <w:trPr>
          <w:trHeight w:val="148"/>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12,861</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12,676</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12,732</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TransGo, LLC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4,440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(44 )</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6/16/2025</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11.73 %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3,657</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3,634</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3,657</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 (9)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6/16/2025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2,628</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4/1/2028</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10.98 %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11,928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11,814</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11,177</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4/1/2026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10.99 %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832</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832</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779</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4/1/2026</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LLC - Term Loan </w:t>
            </w:r>
            <w:r>
              <w:rPr>
                <w:rFonts w:ascii="Times New Roman" w:cs="Times New Roman" w:eastAsia="Times New Roman" w:hAnsi="Times New Roman"/>
                <w:sz w:val="12"/>
                <w:szCs w:val="12"/>
                <w:color w:val="auto"/>
                <w:vertAlign w:val="superscript"/>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Wholesale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4,645</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4,465</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3,437</w:t>
            </w:r>
          </w:p>
        </w:tc>
      </w:tr>
      <w:tr>
        <w:trPr>
          <w:trHeight w:val="14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Unfunded Term Loan </w:t>
            </w:r>
            <w:r>
              <w:rPr>
                <w:rFonts w:ascii="Times New Roman" w:cs="Times New Roman" w:eastAsia="Times New Roman" w:hAnsi="Times New Roman"/>
                <w:sz w:val="12"/>
                <w:szCs w:val="12"/>
                <w:color w:val="auto"/>
                <w:vertAlign w:val="superscript"/>
              </w:rPr>
              <w:t>(6), (9)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Wholesale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604</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(157 )</w:t>
            </w:r>
          </w:p>
        </w:tc>
      </w:tr>
      <w:tr>
        <w:trPr>
          <w:trHeight w:val="144"/>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Funded Junior Revolver </w:t>
            </w:r>
            <w:r>
              <w:rPr>
                <w:rFonts w:ascii="Times New Roman" w:cs="Times New Roman" w:eastAsia="Times New Roman" w:hAnsi="Times New Roman"/>
                <w:sz w:val="12"/>
                <w:szCs w:val="12"/>
                <w:color w:val="auto"/>
                <w:vertAlign w:val="superscript"/>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Wholesale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r>
      <w:tr>
        <w:trPr>
          <w:trHeight w:val="133"/>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12/1/2029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11.31 %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32"/>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9,100</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8,967</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9,027</w:t>
            </w:r>
          </w:p>
        </w:tc>
      </w:tr>
      <w:tr>
        <w:trPr>
          <w:trHeight w:val="133"/>
        </w:trPr>
        <w:tc>
          <w:tcPr>
            <w:tcW w:w="36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Watchtower Intermediate, LLC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12/1/2025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2,100</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7"/>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Watchtower Intermediate, LLC - Funded Revolver</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12/1/2029</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11.31 %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32"/>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1,260</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1,260</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w:t>
            </w:r>
          </w:p>
        </w:tc>
      </w:tr>
      <w:tr>
        <w:trPr>
          <w:trHeight w:val="133"/>
        </w:trPr>
        <w:tc>
          <w:tcPr>
            <w:tcW w:w="36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Watchtower Intermediate, LLC (Revolver)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12/1/2029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(40 )</w:t>
            </w: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5,040</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7"/>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2/26/2027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11.06 %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12,657</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12,538</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12,593</w:t>
            </w:r>
          </w:p>
        </w:tc>
      </w:tr>
      <w:tr>
        <w:trPr>
          <w:trHeight w:val="132"/>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33"/>
        </w:trPr>
        <w:tc>
          <w:tcPr>
            <w:tcW w:w="362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Wildcat Buyerco, Inc. - Unfunded Term Loan </w:t>
            </w:r>
            <w:r>
              <w:rPr>
                <w:rFonts w:ascii="Times New Roman" w:cs="Times New Roman" w:eastAsia="Times New Roman" w:hAnsi="Times New Roman"/>
                <w:sz w:val="12"/>
                <w:szCs w:val="12"/>
                <w:color w:val="auto"/>
                <w:vertAlign w:val="superscript"/>
              </w:rPr>
              <w:t>(9)</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2/26/2027</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3,281</w:t>
            </w:r>
          </w:p>
        </w:tc>
        <w:tc>
          <w:tcPr>
            <w:tcW w:w="26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w:t>
            </w:r>
          </w:p>
        </w:tc>
      </w:tr>
      <w:tr>
        <w:trPr>
          <w:trHeight w:val="128"/>
        </w:trPr>
        <w:tc>
          <w:tcPr>
            <w:tcW w:w="3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7"/>
        </w:trPr>
        <w:tc>
          <w:tcPr>
            <w:tcW w:w="3620" w:type="dxa"/>
            <w:vAlign w:val="bottom"/>
            <w:shd w:val="clear" w:color="auto" w:fill="CCECFF"/>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(9)</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2/26/2027</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534</w:t>
            </w: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32"/>
        </w:trPr>
        <w:tc>
          <w:tcPr>
            <w:tcW w:w="362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Components</w:t>
            </w:r>
          </w:p>
        </w:tc>
        <w:tc>
          <w:tcPr>
            <w:tcW w:w="84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r>
      <w:tr>
        <w:trPr>
          <w:trHeight w:val="140"/>
        </w:trPr>
        <w:tc>
          <w:tcPr>
            <w:tcW w:w="3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Wrench Group, LLC</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10/30/2028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Commercial Services &amp; Supplies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9.57 %</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3,500</w:t>
            </w:r>
          </w:p>
        </w:tc>
        <w:tc>
          <w:tcPr>
            <w:tcW w:w="26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c>
          <w:tcPr>
            <w:tcW w:w="320" w:type="dxa"/>
            <w:vAlign w:val="bottom"/>
          </w:tcPr>
          <w:p>
            <w:pPr>
              <w:spacing w:after="0"/>
              <w:rPr>
                <w:sz w:val="12"/>
                <w:szCs w:val="12"/>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3,509</w:t>
            </w:r>
          </w:p>
        </w:tc>
      </w:tr>
      <w:tr>
        <w:trPr>
          <w:trHeight w:val="140"/>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12.68 %</w:t>
            </w:r>
          </w:p>
        </w:tc>
        <w:tc>
          <w:tcPr>
            <w:tcW w:w="9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SOFR+735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13,258</w:t>
            </w:r>
          </w:p>
        </w:tc>
        <w:tc>
          <w:tcPr>
            <w:tcW w:w="260" w:type="dxa"/>
            <w:vAlign w:val="bottom"/>
            <w:shd w:val="clear" w:color="auto" w:fill="CCECFF"/>
          </w:tcPr>
          <w:p>
            <w:pPr>
              <w:spacing w:after="0"/>
              <w:rPr>
                <w:sz w:val="12"/>
                <w:szCs w:val="12"/>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13,189</w:t>
            </w:r>
          </w:p>
        </w:tc>
        <w:tc>
          <w:tcPr>
            <w:tcW w:w="320" w:type="dxa"/>
            <w:vAlign w:val="bottom"/>
            <w:shd w:val="clear" w:color="auto" w:fill="CCECFF"/>
          </w:tcPr>
          <w:p>
            <w:pPr>
              <w:spacing w:after="0"/>
              <w:rPr>
                <w:sz w:val="12"/>
                <w:szCs w:val="12"/>
                <w:color w:val="auto"/>
              </w:rPr>
            </w:pPr>
          </w:p>
        </w:tc>
        <w:tc>
          <w:tcPr>
            <w:tcW w:w="5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12,960</w:t>
            </w:r>
          </w:p>
        </w:tc>
      </w:tr>
      <w:tr>
        <w:trPr>
          <w:trHeight w:val="152"/>
        </w:trPr>
        <w:tc>
          <w:tcPr>
            <w:tcW w:w="36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920" w:type="dxa"/>
            <w:vAlign w:val="bottom"/>
            <w:shd w:val="clear" w:color="auto" w:fill="CCECFF"/>
          </w:tcPr>
          <w:p>
            <w:pPr>
              <w:spacing w:after="0"/>
              <w:rPr>
                <w:sz w:val="13"/>
                <w:szCs w:val="13"/>
                <w:color w:val="auto"/>
              </w:rPr>
            </w:pP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(PIK 1.50%)</w:t>
            </w:r>
          </w:p>
        </w:tc>
        <w:tc>
          <w:tcPr>
            <w:tcW w:w="9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5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3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20"/>
        </w:trPr>
        <w:tc>
          <w:tcPr>
            <w:tcW w:w="3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88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Par /</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320" w:type="dxa"/>
            <w:vAlign w:val="bottom"/>
          </w:tcPr>
          <w:p>
            <w:pPr>
              <w:ind w:left="7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4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88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82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3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1,055,496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1,044,476</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Debt—0.0%</w:t>
            </w:r>
          </w:p>
        </w:tc>
        <w:tc>
          <w:tcPr>
            <w:tcW w:w="1320" w:type="dxa"/>
            <w:vAlign w:val="bottom"/>
            <w:shd w:val="clear" w:color="auto" w:fill="CCECFF"/>
          </w:tcPr>
          <w:p>
            <w:pPr>
              <w:spacing w:after="0"/>
              <w:rPr>
                <w:sz w:val="12"/>
                <w:szCs w:val="12"/>
                <w:color w:val="auto"/>
              </w:rPr>
            </w:pPr>
          </w:p>
        </w:tc>
        <w:tc>
          <w:tcPr>
            <w:tcW w:w="19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r>
      <w:tr>
        <w:trPr>
          <w:trHeight w:val="133"/>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02/04/2027</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spacing w:after="0"/>
              <w:rPr>
                <w:sz w:val="11"/>
                <w:szCs w:val="11"/>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28"/>
        </w:trPr>
        <w:tc>
          <w:tcPr>
            <w:tcW w:w="3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15.43 %</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SOFR+1,010</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1320" w:type="dxa"/>
            <w:vAlign w:val="bottom"/>
            <w:shd w:val="clear" w:color="auto" w:fill="CCECFF"/>
          </w:tcPr>
          <w:p>
            <w:pPr>
              <w:spacing w:after="0"/>
              <w:rPr>
                <w:sz w:val="12"/>
                <w:szCs w:val="12"/>
                <w:color w:val="auto"/>
              </w:rPr>
            </w:pPr>
          </w:p>
        </w:tc>
        <w:tc>
          <w:tcPr>
            <w:tcW w:w="19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Subordinate Debt - 0.0%</w:t>
            </w:r>
          </w:p>
        </w:tc>
        <w:tc>
          <w:tcPr>
            <w:tcW w:w="1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LLC - Promissory Note</w:t>
            </w:r>
          </w:p>
        </w:tc>
        <w:tc>
          <w:tcPr>
            <w:tcW w:w="13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7/26/2024</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12.31 %</w:t>
            </w: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Subordinate Debt</w:t>
            </w:r>
          </w:p>
        </w:tc>
        <w:tc>
          <w:tcPr>
            <w:tcW w:w="1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Preferred Equity— 1.5% </w:t>
            </w:r>
            <w:r>
              <w:rPr>
                <w:rFonts w:ascii="Times New Roman" w:cs="Times New Roman" w:eastAsia="Times New Roman" w:hAnsi="Times New Roman"/>
                <w:sz w:val="12"/>
                <w:szCs w:val="12"/>
                <w:b w:val="1"/>
                <w:bCs w:val="1"/>
                <w:color w:val="auto"/>
                <w:vertAlign w:val="superscript"/>
              </w:rPr>
              <w:t>(6)</w:t>
            </w:r>
          </w:p>
        </w:tc>
        <w:tc>
          <w:tcPr>
            <w:tcW w:w="1320" w:type="dxa"/>
            <w:vAlign w:val="bottom"/>
            <w:shd w:val="clear" w:color="auto" w:fill="CCECFF"/>
          </w:tcPr>
          <w:p>
            <w:pPr>
              <w:spacing w:after="0"/>
              <w:rPr>
                <w:sz w:val="12"/>
                <w:szCs w:val="12"/>
                <w:color w:val="auto"/>
              </w:rPr>
            </w:pPr>
          </w:p>
        </w:tc>
        <w:tc>
          <w:tcPr>
            <w:tcW w:w="19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6,720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828</w:t>
            </w:r>
          </w:p>
        </w:tc>
      </w:tr>
      <w:tr>
        <w:trPr>
          <w:trHeight w:val="172"/>
        </w:trPr>
        <w:tc>
          <w:tcPr>
            <w:tcW w:w="3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AFC Acquisitions, Inc. (Preferred) </w:t>
            </w:r>
            <w:r>
              <w:rPr>
                <w:rFonts w:ascii="Times New Roman" w:cs="Times New Roman" w:eastAsia="Times New Roman" w:hAnsi="Times New Roman"/>
                <w:sz w:val="12"/>
                <w:szCs w:val="12"/>
                <w:color w:val="auto"/>
                <w:vertAlign w:val="superscript"/>
              </w:rPr>
              <w:t>(8)</w:t>
            </w:r>
          </w:p>
        </w:tc>
        <w:tc>
          <w:tcPr>
            <w:tcW w:w="1320" w:type="dxa"/>
            <w:vAlign w:val="bottom"/>
            <w:tcBorders>
              <w:bottom w:val="single" w:sz="8" w:color="CCECFF"/>
            </w:tcBorders>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tcBorders>
              <w:bottom w:val="single" w:sz="8" w:color="CCECFF"/>
            </w:tcBorders>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825</w:t>
            </w:r>
          </w:p>
        </w:tc>
        <w:tc>
          <w:tcPr>
            <w:tcW w:w="74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1,262</w:t>
            </w:r>
          </w:p>
        </w:tc>
        <w:tc>
          <w:tcPr>
            <w:tcW w:w="8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1,324</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2,018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2,063</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(Preferred) </w:t>
            </w:r>
            <w:r>
              <w:rPr>
                <w:rFonts w:ascii="Times New Roman" w:cs="Times New Roman" w:eastAsia="Times New Roman" w:hAnsi="Times New Roman"/>
                <w:sz w:val="12"/>
                <w:szCs w:val="12"/>
                <w:color w:val="auto"/>
                <w:vertAlign w:val="superscript"/>
              </w:rPr>
              <w:t>(8)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1,437,500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2,267</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(Preferred Equity)</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8.00 %</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1,236,027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1,378</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Magnolia Topco LP - Class A Preferred Equity</w:t>
            </w:r>
            <w:r>
              <w:rPr>
                <w:rFonts w:ascii="Times New Roman" w:cs="Times New Roman" w:eastAsia="Times New Roman" w:hAnsi="Times New Roman"/>
                <w:sz w:val="12"/>
                <w:szCs w:val="12"/>
                <w:color w:val="auto"/>
                <w:vertAlign w:val="superscript"/>
              </w:rPr>
              <w:t>(8)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Magnolia Topco LP - Class B Preferred Equity</w:t>
            </w:r>
            <w:r>
              <w:rPr>
                <w:rFonts w:ascii="Times New Roman" w:cs="Times New Roman" w:eastAsia="Times New Roman" w:hAnsi="Times New Roman"/>
                <w:sz w:val="12"/>
                <w:szCs w:val="12"/>
                <w:color w:val="auto"/>
                <w:vertAlign w:val="superscript"/>
              </w:rPr>
              <w:t>(8)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Mars Intermediate Holdings II, Inc.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835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1,178</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733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733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749</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1,327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133</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 (Preferred Equity)</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73</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(5), (7)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629</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UniTek Global Services, Inc. -</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20.00 %</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343,861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1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Super Senior Preferred Equity </w:t>
            </w:r>
            <w:r>
              <w:rPr>
                <w:rFonts w:ascii="Times New Roman" w:cs="Times New Roman" w:eastAsia="Times New Roman" w:hAnsi="Times New Roman"/>
                <w:sz w:val="12"/>
                <w:szCs w:val="12"/>
                <w:color w:val="auto"/>
                <w:vertAlign w:val="superscript"/>
              </w:rPr>
              <w:t>(7)</w:t>
            </w:r>
          </w:p>
        </w:tc>
        <w:tc>
          <w:tcPr>
            <w:tcW w:w="1320" w:type="dxa"/>
            <w:vAlign w:val="bottom"/>
            <w:shd w:val="clear" w:color="auto" w:fill="CCECFF"/>
          </w:tcPr>
          <w:p>
            <w:pPr>
              <w:spacing w:after="0"/>
              <w:rPr>
                <w:sz w:val="12"/>
                <w:szCs w:val="12"/>
                <w:color w:val="auto"/>
              </w:rPr>
            </w:pPr>
          </w:p>
        </w:tc>
        <w:tc>
          <w:tcPr>
            <w:tcW w:w="19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19.00 %</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448,851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12"/>
                <w:szCs w:val="12"/>
                <w:color w:val="auto"/>
                <w:vertAlign w:val="superscript"/>
              </w:rPr>
              <w:t>(7)</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13.50 %</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1,047,317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1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10,414</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10,649</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Common Equity/Warrants— 16.8% </w:t>
            </w:r>
            <w:r>
              <w:rPr>
                <w:rFonts w:ascii="Times New Roman" w:cs="Times New Roman" w:eastAsia="Times New Roman" w:hAnsi="Times New Roman"/>
                <w:sz w:val="12"/>
                <w:szCs w:val="12"/>
                <w:b w:val="1"/>
                <w:bCs w:val="1"/>
                <w:color w:val="auto"/>
                <w:vertAlign w:val="superscript"/>
              </w:rPr>
              <w:t>(6)</w:t>
            </w:r>
          </w:p>
        </w:tc>
        <w:tc>
          <w:tcPr>
            <w:tcW w:w="1320" w:type="dxa"/>
            <w:vAlign w:val="bottom"/>
            <w:shd w:val="clear" w:color="auto" w:fill="CCECFF"/>
          </w:tcPr>
          <w:p>
            <w:pPr>
              <w:spacing w:after="0"/>
              <w:rPr>
                <w:sz w:val="12"/>
                <w:szCs w:val="12"/>
                <w:color w:val="auto"/>
              </w:rPr>
            </w:pPr>
          </w:p>
        </w:tc>
        <w:tc>
          <w:tcPr>
            <w:tcW w:w="19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A1 Garage Equity, LLC </w:t>
            </w:r>
            <w:r>
              <w:rPr>
                <w:rFonts w:ascii="Times New Roman" w:cs="Times New Roman" w:eastAsia="Times New Roman" w:hAnsi="Times New Roman"/>
                <w:sz w:val="12"/>
                <w:szCs w:val="12"/>
                <w:color w:val="auto"/>
                <w:vertAlign w:val="superscript"/>
              </w:rPr>
              <w:t>(8)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647,943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Big Top Holdings, L.P. - Common Equity</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3,000,500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3,001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3,001</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7,467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Aftermarket Drivetrain Products Holdings, LLC</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2,632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2,632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2,881</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805,164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1,131</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 (9)</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194,836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1,437,500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1,679</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2,018</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4,678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4,048</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Holdings, LP</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1,313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1,313</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1,288</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Auto Components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12"/>
                <w:szCs w:val="12"/>
                <w:color w:val="auto"/>
                <w:vertAlign w:val="superscript"/>
              </w:rPr>
              <w:t>(7), (8)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22,789</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849</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15,422</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Carisk Parent, L.P.</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169,231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169</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Carnegie HoldCo, LLC - Common Equity </w:t>
            </w:r>
            <w:r>
              <w:rPr>
                <w:rFonts w:ascii="Times New Roman" w:cs="Times New Roman" w:eastAsia="Times New Roman" w:hAnsi="Times New Roman"/>
                <w:sz w:val="12"/>
                <w:szCs w:val="12"/>
                <w:color w:val="auto"/>
                <w:vertAlign w:val="superscript"/>
              </w:rPr>
              <w:t>(8)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2,719,600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2,720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2,720</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Parent, LLC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38,278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Consello Pacific Aggregator, LLC</w:t>
            </w:r>
            <w:r>
              <w:rPr>
                <w:rFonts w:ascii="Times New Roman" w:cs="Times New Roman" w:eastAsia="Times New Roman" w:hAnsi="Times New Roman"/>
                <w:sz w:val="12"/>
                <w:szCs w:val="12"/>
                <w:color w:val="auto"/>
                <w:vertAlign w:val="superscript"/>
              </w:rPr>
              <w:t>(8)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1,025,476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974</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Crane 1 Acquisition Parent Holdings, L.P.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216</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760,273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747</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1,355</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(8),(9)</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244,597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(7), (10)</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Banking, Finance, Insurance &amp; Real Estate</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251</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596</w:t>
            </w:r>
          </w:p>
        </w:tc>
      </w:tr>
      <w:tr>
        <w:trPr>
          <w:trHeight w:val="133"/>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1,125,000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1,125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1,152</w:t>
            </w:r>
          </w:p>
        </w:tc>
      </w:tr>
      <w:tr>
        <w:trPr>
          <w:trHeight w:val="128"/>
        </w:trPr>
        <w:tc>
          <w:tcPr>
            <w:tcW w:w="3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541,667</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601</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21,665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727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1,985</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(7),(8),(9)</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7,566</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655,714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649</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ETE Blocker, LLC</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374,444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374</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386</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1,658,738</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7,898</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Loving Tan, LP</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2,481,781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2,482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329</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GCOM InvestCo LP </w:t>
            </w:r>
            <w:r>
              <w:rPr>
                <w:rFonts w:ascii="Times New Roman" w:cs="Times New Roman" w:eastAsia="Times New Roman" w:hAnsi="Times New Roman"/>
                <w:sz w:val="12"/>
                <w:szCs w:val="12"/>
                <w:color w:val="auto"/>
                <w:vertAlign w:val="superscript"/>
              </w:rPr>
              <w:t>(7)</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19,184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3,342</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4,557</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GMP Hills, L.P.</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4,430,843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4,431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4,652</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(7), (8)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450,000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HPA SPQ Aggregator LP</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750,399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746</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100,000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1,870,915</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1,871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1,767</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 (9)</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629,085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(35 )</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IIN Group Holdings, LLC</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Consumer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1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0"/>
                <w:szCs w:val="10"/>
                <w:color w:val="auto"/>
              </w:rPr>
              <w:t xml:space="preserve">(Integrative Nutrition, LLC) </w:t>
            </w:r>
            <w:r>
              <w:rPr>
                <w:rFonts w:ascii="Times New Roman" w:cs="Times New Roman" w:eastAsia="Times New Roman" w:hAnsi="Times New Roman"/>
                <w:sz w:val="12"/>
                <w:szCs w:val="12"/>
                <w:color w:val="auto"/>
                <w:vertAlign w:val="superscript"/>
              </w:rPr>
              <w:t>(7), (8)</w:t>
            </w:r>
          </w:p>
        </w:tc>
        <w:tc>
          <w:tcPr>
            <w:tcW w:w="1320" w:type="dxa"/>
            <w:vAlign w:val="bottom"/>
            <w:shd w:val="clear" w:color="auto" w:fill="CCECFF"/>
          </w:tcPr>
          <w:p>
            <w:pPr>
              <w:spacing w:after="0"/>
              <w:rPr>
                <w:sz w:val="12"/>
                <w:szCs w:val="12"/>
                <w:color w:val="auto"/>
              </w:rPr>
            </w:pPr>
          </w:p>
        </w:tc>
        <w:tc>
          <w:tcPr>
            <w:tcW w:w="194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 (Common)</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1,236,027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1,218,045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1,643</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(7), (8)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6,184</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641</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1,197</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116,032</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1,651</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ITC Rumba, LLC (Cano Health, LLC) </w:t>
            </w:r>
            <w:r>
              <w:rPr>
                <w:rFonts w:ascii="Times New Roman" w:cs="Times New Roman" w:eastAsia="Times New Roman" w:hAnsi="Times New Roman"/>
                <w:sz w:val="12"/>
                <w:szCs w:val="12"/>
                <w:color w:val="auto"/>
                <w:vertAlign w:val="superscript"/>
              </w:rPr>
              <w:t>(7),(8)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46,763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1,734,775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1,735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2,568</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(7),(8)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382,353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385</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798</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350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1,006</w:t>
            </w:r>
          </w:p>
        </w:tc>
      </w:tr>
      <w:tr>
        <w:trPr>
          <w:trHeight w:val="17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12"/>
                <w:szCs w:val="12"/>
                <w:color w:val="auto"/>
                <w:vertAlign w:val="superscript"/>
              </w:rPr>
              <w:t>(7)</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585,587</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586</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1,842</w:t>
            </w:r>
          </w:p>
        </w:tc>
      </w:tr>
      <w:tr>
        <w:trPr>
          <w:trHeight w:val="70"/>
        </w:trPr>
        <w:tc>
          <w:tcPr>
            <w:tcW w:w="3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1,638,043</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1,638</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1,917</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73,870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2,062</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2,104</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Magnolia Topco LP - Class A Common Equity</w:t>
            </w:r>
            <w:r>
              <w:rPr>
                <w:rFonts w:ascii="Times New Roman" w:cs="Times New Roman" w:eastAsia="Times New Roman" w:hAnsi="Times New Roman"/>
                <w:sz w:val="12"/>
                <w:szCs w:val="12"/>
                <w:color w:val="auto"/>
                <w:vertAlign w:val="superscript"/>
              </w:rPr>
              <w:t>(8)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46,974</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Magnolia Topco LP - Class B Common Equity</w:t>
            </w:r>
            <w:r>
              <w:rPr>
                <w:rFonts w:ascii="Times New Roman" w:cs="Times New Roman" w:eastAsia="Times New Roman" w:hAnsi="Times New Roman"/>
                <w:sz w:val="12"/>
                <w:szCs w:val="12"/>
                <w:color w:val="auto"/>
                <w:vertAlign w:val="superscript"/>
              </w:rPr>
              <w:t>(8)</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Automobiles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30,926</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Mars Intermediate Holdings II, Inc. </w:t>
            </w:r>
            <w:r>
              <w:rPr>
                <w:rFonts w:ascii="Times New Roman" w:cs="Times New Roman" w:eastAsia="Times New Roman" w:hAnsi="Times New Roman"/>
                <w:sz w:val="12"/>
                <w:szCs w:val="12"/>
                <w:color w:val="auto"/>
                <w:vertAlign w:val="superscript"/>
              </w:rPr>
              <w:t>(7)</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835</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352</w:t>
            </w:r>
          </w:p>
        </w:tc>
      </w:tr>
      <w:tr>
        <w:trPr>
          <w:trHeight w:val="140"/>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10,761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1,078</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1,306</w:t>
            </w: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(8)</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819,231</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806</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120" w:type="dxa"/>
            <w:vAlign w:val="bottom"/>
          </w:tcPr>
          <w:p>
            <w:pPr>
              <w:spacing w:after="0"/>
              <w:rPr>
                <w:sz w:val="11"/>
                <w:szCs w:val="11"/>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1,040,000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1,040</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1,040</w:t>
            </w:r>
          </w:p>
        </w:tc>
      </w:tr>
      <w:tr>
        <w:trPr>
          <w:trHeight w:val="128"/>
        </w:trPr>
        <w:tc>
          <w:tcPr>
            <w:tcW w:w="31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Megawatt Acquisition Partners, LLC - Common Equity</w:t>
            </w:r>
          </w:p>
        </w:tc>
        <w:tc>
          <w:tcPr>
            <w:tcW w:w="1320" w:type="dxa"/>
            <w:vAlign w:val="bottom"/>
          </w:tcPr>
          <w:p>
            <w:pPr>
              <w:spacing w:after="0"/>
              <w:rPr>
                <w:sz w:val="11"/>
                <w:szCs w:val="1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8"/>
        </w:trPr>
        <w:tc>
          <w:tcPr>
            <w:tcW w:w="3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(7)</w:t>
            </w:r>
          </w:p>
        </w:tc>
        <w:tc>
          <w:tcPr>
            <w:tcW w:w="1320" w:type="dxa"/>
            <w:vAlign w:val="bottom"/>
            <w:shd w:val="clear" w:color="auto" w:fill="CCECFF"/>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9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1,973,370</w:t>
            </w:r>
          </w:p>
        </w:tc>
        <w:tc>
          <w:tcPr>
            <w:tcW w:w="74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2,005</w:t>
            </w:r>
          </w:p>
        </w:tc>
        <w:tc>
          <w:tcPr>
            <w:tcW w:w="8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2,921</w:t>
            </w:r>
          </w:p>
        </w:tc>
      </w:tr>
    </w:tbl>
    <w:p>
      <w:pPr>
        <w:spacing w:after="0" w:line="36" w:lineRule="exact"/>
        <w:rPr>
          <w:sz w:val="20"/>
          <w:szCs w:val="20"/>
          <w:color w:val="auto"/>
        </w:rPr>
      </w:pPr>
    </w:p>
    <w:p>
      <w:pPr>
        <w:sectPr>
          <w:pgSz w:w="11900" w:h="16840" w:orient="portrait"/>
          <w:cols w:equalWidth="0" w:num="1">
            <w:col w:w="10560"/>
          </w:cols>
          <w:pgMar w:left="660" w:top="1132" w:right="680" w:bottom="705" w:gutter="0" w:footer="0" w:header="0"/>
        </w:sect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27940"/>
                    </a:xfrm>
                    <a:prstGeom prst="rect">
                      <a:avLst/>
                    </a:prstGeom>
                    <a:noFill/>
                  </pic:spPr>
                </pic:pic>
              </a:graphicData>
            </a:graphic>
          </wp:anchor>
        </w:drawing>
      </w:r>
    </w:p>
    <w:p>
      <w:pPr>
        <w:sectPr>
          <w:pgSz w:w="11900" w:h="16840" w:orient="portrait"/>
          <w:cols w:equalWidth="0" w:num="1">
            <w:col w:w="10560"/>
          </w:cols>
          <w:pgMar w:left="660" w:top="1132" w:right="680" w:bottom="705"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0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104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0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88"/>
              </w:rPr>
              <w:t xml:space="preserve">Index </w:t>
            </w:r>
            <w:r>
              <w:rPr>
                <w:rFonts w:ascii="Times New Roman" w:cs="Times New Roman" w:eastAsia="Times New Roman" w:hAnsi="Times New Roman"/>
                <w:sz w:val="12"/>
                <w:szCs w:val="12"/>
                <w:b w:val="1"/>
                <w:bCs w:val="1"/>
                <w:color w:val="auto"/>
                <w:w w:val="88"/>
                <w:vertAlign w:val="superscript"/>
              </w:rPr>
              <w:t>(1)</w:t>
            </w: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2"/>
                <w:szCs w:val="12"/>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xml:space="preserve">Fair Value </w:t>
            </w:r>
            <w:r>
              <w:rPr>
                <w:rFonts w:ascii="Times New Roman" w:cs="Times New Roman" w:eastAsia="Times New Roman" w:hAnsi="Times New Roman"/>
                <w:sz w:val="12"/>
                <w:szCs w:val="12"/>
                <w:b w:val="1"/>
                <w:bCs w:val="1"/>
                <w:color w:val="auto"/>
                <w:vertAlign w:val="superscript"/>
              </w:rPr>
              <w:t>(2)</w:t>
            </w:r>
          </w:p>
        </w:tc>
      </w:tr>
      <w:tr>
        <w:trPr>
          <w:trHeight w:val="132"/>
        </w:trPr>
        <w:tc>
          <w:tcPr>
            <w:tcW w:w="342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(7), (8)</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1,494</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1,438</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80" w:type="dxa"/>
            <w:vAlign w:val="bottom"/>
          </w:tcPr>
          <w:p>
            <w:pPr>
              <w:spacing w:after="0"/>
              <w:rPr>
                <w:sz w:val="11"/>
                <w:szCs w:val="11"/>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Medina Health, LLC</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2,672,646</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2,673</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3,015</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NORA Parent Holdings, LLC </w:t>
            </w:r>
            <w:r>
              <w:rPr>
                <w:rFonts w:ascii="Times New Roman" w:cs="Times New Roman" w:eastAsia="Times New Roman" w:hAnsi="Times New Roman"/>
                <w:sz w:val="12"/>
                <w:szCs w:val="12"/>
                <w:color w:val="auto"/>
                <w:vertAlign w:val="superscript"/>
              </w:rPr>
              <w:t>(8)</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2,544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2,841</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Healthcare Technology</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223,602</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224</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266</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14,960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OceanSound Discovery Equity, LP (Holdco Sands Intermediate, LLC) </w:t>
            </w:r>
            <w:r>
              <w:rPr>
                <w:rFonts w:ascii="Times New Roman" w:cs="Times New Roman" w:eastAsia="Times New Roman" w:hAnsi="Times New Roman"/>
                <w:sz w:val="12"/>
                <w:szCs w:val="12"/>
                <w:color w:val="auto"/>
                <w:vertAlign w:val="superscript"/>
              </w:rPr>
              <w:t>(7), (8)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173,638</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1,736</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1,736</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1,152,777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1,003</w:t>
            </w: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(9)</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97,224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(13 )</w:t>
            </w: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1,474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OSP Embedded Aggregator, LP</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1,727,679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1,728</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1,745</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80,170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674</w:t>
            </w: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PCS Parent, LP - Common Equity</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423,247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PennantPark-TSO Senior Loan Fund, LP </w:t>
            </w:r>
            <w:r>
              <w:rPr>
                <w:rFonts w:ascii="Times New Roman" w:cs="Times New Roman" w:eastAsia="Times New Roman" w:hAnsi="Times New Roman"/>
                <w:sz w:val="12"/>
                <w:szCs w:val="12"/>
                <w:color w:val="auto"/>
                <w:vertAlign w:val="superscript"/>
              </w:rPr>
              <w:t>(7)</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2"/>
                <w:szCs w:val="12"/>
                <w:color w:val="auto"/>
                <w:vertAlign w:val="superscript"/>
              </w:rPr>
              <w:t>(10)</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11,167,847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11,168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9,705</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Pink Lily Holdco, LLC (PL Acquisitions, LLC)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1,735</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1,735</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610,583</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266,864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321</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712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 (9)</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955</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(7), (8)</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RFMG Parent, LP (Rancho Health MSO, Inc.) </w:t>
            </w:r>
            <w:r>
              <w:rPr>
                <w:rFonts w:ascii="Times New Roman" w:cs="Times New Roman" w:eastAsia="Times New Roman" w:hAnsi="Times New Roman"/>
                <w:sz w:val="12"/>
                <w:szCs w:val="12"/>
                <w:color w:val="auto"/>
                <w:vertAlign w:val="superscript"/>
              </w:rPr>
              <w:t>(7)</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Healthcare Equipment and Supplies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1,050,000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1,271</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SBI Holdings Investments LLC (Sales Benchmark Index LLC) </w:t>
            </w:r>
            <w:r>
              <w:rPr>
                <w:rFonts w:ascii="Times New Roman" w:cs="Times New Roman" w:eastAsia="Times New Roman" w:hAnsi="Times New Roman"/>
                <w:sz w:val="12"/>
                <w:szCs w:val="12"/>
                <w:color w:val="auto"/>
                <w:vertAlign w:val="superscript"/>
              </w:rPr>
              <w:t>(7)</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Professional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64,634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Chemicals, Plastics and Rubber</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296</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224</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 (Ledge Lounger, Inc.)</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360,103</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w:t>
            </w: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1,001</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Class B (US Dominion, Inc.) </w:t>
            </w:r>
            <w:r>
              <w:rPr>
                <w:rFonts w:ascii="Times New Roman" w:cs="Times New Roman" w:eastAsia="Times New Roman" w:hAnsi="Times New Roman"/>
                <w:sz w:val="12"/>
                <w:szCs w:val="12"/>
                <w:color w:val="auto"/>
                <w:vertAlign w:val="superscript"/>
              </w:rPr>
              <w:t>(7)</w:t>
            </w: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StellPen Holdings, LLC (CF512, Inc.) </w:t>
            </w:r>
            <w:r>
              <w:rPr>
                <w:rFonts w:ascii="Times New Roman" w:cs="Times New Roman" w:eastAsia="Times New Roman" w:hAnsi="Times New Roman"/>
                <w:sz w:val="12"/>
                <w:szCs w:val="12"/>
                <w:color w:val="auto"/>
                <w:vertAlign w:val="superscript"/>
              </w:rPr>
              <w:t>(7)</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161,538</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SV Aero Holdings, LLC </w:t>
            </w:r>
            <w:r>
              <w:rPr>
                <w:rFonts w:ascii="Times New Roman" w:cs="Times New Roman" w:eastAsia="Times New Roman" w:hAnsi="Times New Roman"/>
                <w:sz w:val="12"/>
                <w:szCs w:val="12"/>
                <w:color w:val="auto"/>
                <w:vertAlign w:val="superscript"/>
              </w:rPr>
              <w:t>(8)</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61</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639</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(7),(8)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Aerospace and Defense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533,833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524</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897</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TCG 3.0 Jogger Co-Invest, LP</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9,108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1,679</w:t>
            </w: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Tower Arch Infolinks Media, LP (Infolinks Media Buyco, LLC)</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220,720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207</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413</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Tower Arch Infolinks Media, LP (Infolinks Media Buyco, LLC)</w:t>
            </w:r>
            <w:r>
              <w:rPr>
                <w:rFonts w:ascii="Times New Roman" w:cs="Times New Roman" w:eastAsia="Times New Roman" w:hAnsi="Times New Roman"/>
                <w:sz w:val="12"/>
                <w:szCs w:val="12"/>
                <w:color w:val="auto"/>
                <w:vertAlign w:val="superscript"/>
              </w:rPr>
              <w:t>(8) (9)</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144,887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(5), (7)</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21,527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287</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749</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UniTek Global Services, Inc.(C)</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213,739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(7), (8)</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694,444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694</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660</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Holdco LLC</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36,458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37"/>
        </w:trPr>
        <w:tc>
          <w:tcPr>
            <w:tcW w:w="3420" w:type="dxa"/>
            <w:vAlign w:val="bottom"/>
            <w:shd w:val="clear" w:color="auto" w:fill="CCECFF"/>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Watchtower Holdings, LLC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1,241,935</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1,242</w:t>
            </w: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1,286</w:t>
            </w:r>
          </w:p>
        </w:tc>
        <w:tc>
          <w:tcPr>
            <w:tcW w:w="80" w:type="dxa"/>
            <w:vAlign w:val="bottom"/>
            <w:shd w:val="clear" w:color="auto" w:fill="CCECFF"/>
          </w:tcPr>
          <w:p>
            <w:pPr>
              <w:spacing w:after="0"/>
              <w:rPr>
                <w:sz w:val="11"/>
                <w:szCs w:val="11"/>
                <w:color w:val="auto"/>
              </w:rPr>
            </w:pPr>
          </w:p>
        </w:tc>
      </w:tr>
      <w:tr>
        <w:trPr>
          <w:trHeight w:val="132"/>
        </w:trPr>
        <w:tc>
          <w:tcPr>
            <w:tcW w:w="342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4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Coinvestment, LP </w:t>
            </w:r>
            <w:r>
              <w:rPr>
                <w:rFonts w:ascii="Times New Roman" w:cs="Times New Roman" w:eastAsia="Times New Roman" w:hAnsi="Times New Roman"/>
                <w:sz w:val="12"/>
                <w:szCs w:val="12"/>
                <w:color w:val="auto"/>
                <w:vertAlign w:val="superscript"/>
              </w:rPr>
              <w:t>(8)</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3,715</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3,754</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3,952</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 Unfunded </w:t>
            </w:r>
            <w:r>
              <w:rPr>
                <w:rFonts w:ascii="Times New Roman" w:cs="Times New Roman" w:eastAsia="Times New Roman" w:hAnsi="Times New Roman"/>
                <w:sz w:val="12"/>
                <w:szCs w:val="12"/>
                <w:color w:val="auto"/>
                <w:vertAlign w:val="superscript"/>
              </w:rPr>
              <w:t>(9)</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420" w:type="dxa"/>
            <w:vAlign w:val="bottom"/>
            <w:shd w:val="clear" w:color="auto" w:fill="CCECFF"/>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Wildcat Parent, LP (Wildcat Buyerco, Inc.) </w:t>
            </w:r>
            <w:r>
              <w:rPr>
                <w:rFonts w:ascii="Times New Roman" w:cs="Times New Roman" w:eastAsia="Times New Roman" w:hAnsi="Times New Roman"/>
                <w:sz w:val="12"/>
                <w:szCs w:val="12"/>
                <w:color w:val="auto"/>
                <w:vertAlign w:val="superscript"/>
              </w:rPr>
              <w:t>(7)</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2,240</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95</w:t>
            </w: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771</w:t>
            </w:r>
          </w:p>
        </w:tc>
        <w:tc>
          <w:tcPr>
            <w:tcW w:w="80" w:type="dxa"/>
            <w:vAlign w:val="bottom"/>
            <w:shd w:val="clear" w:color="auto" w:fill="CCECFF"/>
          </w:tcPr>
          <w:p>
            <w:pPr>
              <w:spacing w:after="0"/>
              <w:rPr>
                <w:sz w:val="11"/>
                <w:szCs w:val="11"/>
                <w:color w:val="auto"/>
              </w:rPr>
            </w:pPr>
          </w:p>
        </w:tc>
      </w:tr>
      <w:tr>
        <w:trPr>
          <w:trHeight w:val="132"/>
        </w:trPr>
        <w:tc>
          <w:tcPr>
            <w:tcW w:w="342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4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104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8"/>
              </w:rPr>
              <w:t>4/10/2024</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8,893</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Kentucky Racing Holdco, LLC (Warrants) </w:t>
            </w:r>
            <w:r>
              <w:rPr>
                <w:rFonts w:ascii="Times New Roman" w:cs="Times New Roman" w:eastAsia="Times New Roman" w:hAnsi="Times New Roman"/>
                <w:sz w:val="12"/>
                <w:szCs w:val="12"/>
                <w:color w:val="auto"/>
                <w:vertAlign w:val="superscript"/>
              </w:rPr>
              <w:t>(8)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87,345</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940</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UniTek Global Services, Inc. (Warrants)</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23,889</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104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98,167</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121,387</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1,164,243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1,176,680</w:t>
            </w: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Companies—41.8% </w:t>
            </w:r>
            <w:r>
              <w:rPr>
                <w:rFonts w:ascii="Times New Roman" w:cs="Times New Roman" w:eastAsia="Times New Roman" w:hAnsi="Times New Roman"/>
                <w:sz w:val="12"/>
                <w:szCs w:val="12"/>
                <w:b w:val="1"/>
                <w:bCs w:val="1"/>
                <w:color w:val="auto"/>
                <w:vertAlign w:val="superscript"/>
              </w:rPr>
              <w:t>(3), (4)</w:t>
            </w:r>
          </w:p>
        </w:tc>
        <w:tc>
          <w:tcPr>
            <w:tcW w:w="104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Debt—33.4%</w:t>
            </w: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(7)</w:t>
            </w:r>
          </w:p>
        </w:tc>
        <w:tc>
          <w:tcPr>
            <w:tcW w:w="104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09/30/2025</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10.72 %</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3,582</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3,582</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3,582</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Marketplace Events, LLC - Super Priority First Lien </w:t>
            </w:r>
            <w:r>
              <w:rPr>
                <w:rFonts w:ascii="Times New Roman" w:cs="Times New Roman" w:eastAsia="Times New Roman" w:hAnsi="Times New Roman"/>
                <w:sz w:val="12"/>
                <w:szCs w:val="12"/>
                <w:color w:val="auto"/>
                <w:vertAlign w:val="superscript"/>
              </w:rPr>
              <w:t>(7), (9)</w:t>
            </w:r>
          </w:p>
        </w:tc>
        <w:tc>
          <w:tcPr>
            <w:tcW w:w="104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09/30/2025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3,261</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1040" w:type="dxa"/>
            <w:vAlign w:val="bottom"/>
            <w:shd w:val="clear" w:color="auto" w:fill="CCECFF"/>
          </w:tcPr>
          <w:p>
            <w:pPr>
              <w:jc w:val="center"/>
              <w:ind w:left="112"/>
              <w:spacing w:after="0"/>
              <w:rPr>
                <w:sz w:val="20"/>
                <w:szCs w:val="20"/>
                <w:color w:val="auto"/>
              </w:rPr>
            </w:pPr>
            <w:r>
              <w:rPr>
                <w:rFonts w:ascii="Times New Roman" w:cs="Times New Roman" w:eastAsia="Times New Roman" w:hAnsi="Times New Roman"/>
                <w:sz w:val="10"/>
                <w:szCs w:val="10"/>
                <w:color w:val="auto"/>
                <w:w w:val="96"/>
              </w:rPr>
              <w:t>09/30/2026</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8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10.72 %</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3M SOFR+550</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26,771</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21,728</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26,771</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(10)</w:t>
            </w:r>
          </w:p>
        </w:tc>
        <w:tc>
          <w:tcPr>
            <w:tcW w:w="1040" w:type="dxa"/>
            <w:vAlign w:val="bottom"/>
          </w:tcPr>
          <w:p>
            <w:pPr>
              <w:jc w:val="center"/>
              <w:ind w:left="112"/>
              <w:spacing w:after="0"/>
              <w:rPr>
                <w:sz w:val="20"/>
                <w:szCs w:val="20"/>
                <w:color w:val="auto"/>
              </w:rPr>
            </w:pPr>
            <w:r>
              <w:rPr>
                <w:rFonts w:ascii="Times New Roman" w:cs="Times New Roman" w:eastAsia="Times New Roman" w:hAnsi="Times New Roman"/>
                <w:sz w:val="10"/>
                <w:szCs w:val="10"/>
                <w:color w:val="auto"/>
                <w:w w:val="96"/>
              </w:rPr>
              <w:t>05/06/2024</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13.32 %</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3M SOFR+800</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210,088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210,088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210,088</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235,398</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240,441</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Interests—8.4%</w:t>
            </w: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New MPE Holdings, LLC (Marketplace Events, LLC) </w:t>
            </w:r>
            <w:r>
              <w:rPr>
                <w:rFonts w:ascii="Times New Roman" w:cs="Times New Roman" w:eastAsia="Times New Roman" w:hAnsi="Times New Roman"/>
                <w:sz w:val="12"/>
                <w:szCs w:val="12"/>
                <w:color w:val="auto"/>
                <w:vertAlign w:val="superscript"/>
              </w:rPr>
              <w:t>(7),(8)</w:t>
            </w:r>
          </w:p>
        </w:tc>
        <w:tc>
          <w:tcPr>
            <w:tcW w:w="1040" w:type="dxa"/>
            <w:vAlign w:val="bottom"/>
            <w:shd w:val="clear" w:color="auto" w:fill="CCECFF"/>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840" w:type="dxa"/>
            <w:vAlign w:val="bottom"/>
            <w:shd w:val="clear" w:color="auto" w:fill="CCECFF"/>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7,650</w:t>
            </w:r>
          </w:p>
        </w:tc>
        <w:tc>
          <w:tcPr>
            <w:tcW w:w="80" w:type="dxa"/>
            <w:vAlign w:val="bottom"/>
            <w:shd w:val="clear" w:color="auto" w:fill="CCECFF"/>
          </w:tcPr>
          <w:p>
            <w:pPr>
              <w:spacing w:after="0"/>
              <w:rPr>
                <w:sz w:val="12"/>
                <w:szCs w:val="12"/>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(10)</w:t>
            </w:r>
          </w:p>
        </w:tc>
        <w:tc>
          <w:tcPr>
            <w:tcW w:w="10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Financial Services</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90,038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53,112</w:t>
            </w:r>
          </w:p>
        </w:tc>
        <w:tc>
          <w:tcPr>
            <w:tcW w:w="80" w:type="dxa"/>
            <w:vAlign w:val="bottom"/>
          </w:tcPr>
          <w:p>
            <w:pPr>
              <w:spacing w:after="0"/>
              <w:rPr>
                <w:sz w:val="12"/>
                <w:szCs w:val="12"/>
                <w:color w:val="auto"/>
              </w:rPr>
            </w:pPr>
          </w:p>
        </w:tc>
      </w:tr>
      <w:tr>
        <w:trPr>
          <w:trHeight w:val="144"/>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104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90,038</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60,762</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325,436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301,203</w:t>
            </w: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Investments—205.1%</w:t>
            </w:r>
          </w:p>
        </w:tc>
        <w:tc>
          <w:tcPr>
            <w:tcW w:w="104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1,489,679</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1,477,883</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Equivalents—17.4%</w:t>
            </w: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Money Market - BlackRock Federal FD Institutional 30</w:t>
            </w:r>
          </w:p>
        </w:tc>
        <w:tc>
          <w:tcPr>
            <w:tcW w:w="1040" w:type="dxa"/>
            <w:vAlign w:val="bottom"/>
            <w:shd w:val="clear" w:color="auto" w:fill="CCECFF"/>
          </w:tcPr>
          <w:p>
            <w:pPr>
              <w:spacing w:after="0"/>
              <w:rPr>
                <w:sz w:val="12"/>
                <w:szCs w:val="12"/>
                <w:color w:val="auto"/>
              </w:rPr>
            </w:pPr>
          </w:p>
        </w:tc>
        <w:tc>
          <w:tcPr>
            <w:tcW w:w="190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125,246</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125,252</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10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125,246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125,252</w:t>
            </w:r>
          </w:p>
        </w:tc>
        <w:tc>
          <w:tcPr>
            <w:tcW w:w="80" w:type="dxa"/>
            <w:vAlign w:val="bottom"/>
          </w:tcPr>
          <w:p>
            <w:pPr>
              <w:spacing w:after="0"/>
              <w:rPr>
                <w:sz w:val="12"/>
                <w:szCs w:val="12"/>
                <w:color w:val="auto"/>
              </w:rPr>
            </w:pPr>
          </w:p>
        </w:tc>
      </w:tr>
      <w:tr>
        <w:trPr>
          <w:trHeight w:val="184"/>
        </w:trPr>
        <w:tc>
          <w:tcPr>
            <w:tcW w:w="3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Equivalents—222.4%</w:t>
            </w:r>
          </w:p>
        </w:tc>
        <w:tc>
          <w:tcPr>
            <w:tcW w:w="1040" w:type="dxa"/>
            <w:vAlign w:val="bottom"/>
            <w:tcBorders>
              <w:bottom w:val="single" w:sz="8" w:color="CCECFF"/>
            </w:tcBorders>
            <w:shd w:val="clear" w:color="auto" w:fill="CCECFF"/>
          </w:tcPr>
          <w:p>
            <w:pPr>
              <w:spacing w:after="0"/>
              <w:rPr>
                <w:sz w:val="16"/>
                <w:szCs w:val="16"/>
                <w:color w:val="auto"/>
              </w:rPr>
            </w:pPr>
          </w:p>
        </w:tc>
        <w:tc>
          <w:tcPr>
            <w:tcW w:w="190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1,614,925</w:t>
            </w:r>
          </w:p>
        </w:tc>
        <w:tc>
          <w:tcPr>
            <w:tcW w:w="18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1,603,135</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20"/>
        </w:trPr>
        <w:tc>
          <w:tcPr>
            <w:tcW w:w="34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Assets—(122.4)%</w:t>
            </w:r>
          </w:p>
        </w:tc>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(882,424 )</w:t>
            </w:r>
          </w:p>
        </w:tc>
      </w:tr>
      <w:tr>
        <w:trPr>
          <w:trHeight w:val="184"/>
        </w:trPr>
        <w:tc>
          <w:tcPr>
            <w:tcW w:w="3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1040" w:type="dxa"/>
            <w:vAlign w:val="bottom"/>
            <w:tcBorders>
              <w:bottom w:val="single" w:sz="8" w:color="CCECFF"/>
            </w:tcBorders>
            <w:shd w:val="clear" w:color="auto" w:fill="CCECFF"/>
          </w:tcPr>
          <w:p>
            <w:pPr>
              <w:spacing w:after="0"/>
              <w:rPr>
                <w:sz w:val="16"/>
                <w:szCs w:val="16"/>
                <w:color w:val="auto"/>
              </w:rPr>
            </w:pPr>
          </w:p>
        </w:tc>
        <w:tc>
          <w:tcPr>
            <w:tcW w:w="1900" w:type="dxa"/>
            <w:vAlign w:val="bottom"/>
            <w:tcBorders>
              <w:bottom w:val="single" w:sz="8" w:color="CCECFF"/>
            </w:tcBorders>
            <w:shd w:val="clear" w:color="auto" w:fill="CCECFF"/>
          </w:tcPr>
          <w:p>
            <w:pPr>
              <w:spacing w:after="0"/>
              <w:rPr>
                <w:sz w:val="16"/>
                <w:szCs w:val="16"/>
                <w:color w:val="auto"/>
              </w:rPr>
            </w:pPr>
          </w:p>
        </w:tc>
        <w:tc>
          <w:tcPr>
            <w:tcW w:w="84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0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720,711</w:t>
            </w:r>
          </w:p>
        </w:tc>
        <w:tc>
          <w:tcPr>
            <w:tcW w:w="80" w:type="dxa"/>
            <w:vAlign w:val="bottom"/>
            <w:tcBorders>
              <w:bottom w:val="single" w:sz="8" w:color="CCECFF"/>
            </w:tcBorders>
            <w:shd w:val="clear" w:color="auto" w:fill="CCECFF"/>
          </w:tcPr>
          <w:p>
            <w:pPr>
              <w:spacing w:after="0"/>
              <w:rPr>
                <w:sz w:val="16"/>
                <w:szCs w:val="16"/>
                <w:color w:val="auto"/>
              </w:rPr>
            </w:pPr>
          </w:p>
        </w:tc>
      </w:tr>
    </w:tbl>
    <w:p>
      <w:pPr>
        <w:spacing w:after="0"/>
        <w:rPr>
          <w:sz w:val="20"/>
          <w:szCs w:val="20"/>
          <w:color w:val="auto"/>
        </w:rPr>
      </w:pPr>
      <w:r>
        <w:rPr>
          <w:rFonts w:ascii="Times New Roman" w:cs="Times New Roman" w:eastAsia="Times New Roman" w:hAnsi="Times New Roman"/>
          <w:sz w:val="16"/>
          <w:szCs w:val="16"/>
          <w:color w:val="auto"/>
        </w:rPr>
        <w:t>—————</w:t>
      </w:r>
    </w:p>
    <w:p>
      <w:pPr>
        <w:spacing w:after="0" w:line="6"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207"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our accounting policy. The value of all securities was determined using significant unobservable inputs.</w:t>
      </w:r>
    </w:p>
    <w:p>
      <w:pPr>
        <w:ind w:right="40"/>
        <w:spacing w:after="0" w:line="216"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6"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Non-U.S. company or principal place of business outside the United States.</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1"/>
          <w:szCs w:val="11"/>
          <w:color w:val="auto"/>
        </w:rPr>
        <w:t>Non-income producing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2031 Asset-Backed Debt and held through PennantPark CLO I, Ltd.</w:t>
      </w:r>
    </w:p>
    <w:p>
      <w:pPr>
        <w:sectPr>
          <w:pgSz w:w="11900" w:h="16840" w:orient="portrait"/>
          <w:cols w:equalWidth="0" w:num="1">
            <w:col w:w="10560"/>
          </w:cols>
          <w:pgMar w:left="660" w:top="1132" w:right="680"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1"/>
          <w:szCs w:val="11"/>
          <w:color w:val="auto"/>
        </w:rPr>
        <w:t>Investment is held through our Taxable Subsidiary.</w:t>
      </w:r>
    </w:p>
    <w:p>
      <w:pPr>
        <w:spacing w:after="0" w:line="202" w:lineRule="auto"/>
        <w:rPr>
          <w:sz w:val="20"/>
          <w:szCs w:val="20"/>
          <w:color w:val="auto"/>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83% of our total assets and non-qualifying assets represent 17% of our total assets.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c>
          <w:tcPr>
            <w:tcW w:w="0" w:type="dxa"/>
            <w:vAlign w:val="bottom"/>
          </w:tcPr>
          <w:p>
            <w:pPr>
              <w:spacing w:after="0"/>
              <w:rPr>
                <w:sz w:val="1"/>
                <w:szCs w:val="1"/>
                <w:color w:val="auto"/>
              </w:rPr>
            </w:pPr>
          </w:p>
        </w:tc>
      </w:tr>
      <w:tr>
        <w:trPr>
          <w:trHeight w:val="144"/>
        </w:trPr>
        <w:tc>
          <w:tcPr>
            <w:tcW w:w="36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Investments in Non-Controlled, Non-Affiliated Portfolio Companies—118.1% </w:t>
            </w:r>
            <w:r>
              <w:rPr>
                <w:rFonts w:ascii="Times New Roman" w:cs="Times New Roman" w:eastAsia="Times New Roman" w:hAnsi="Times New Roman"/>
                <w:sz w:val="12"/>
                <w:szCs w:val="12"/>
                <w:b w:val="1"/>
                <w:bCs w:val="1"/>
                <w:color w:val="auto"/>
                <w:vertAlign w:val="superscript"/>
              </w:rPr>
              <w:t>(3), (4)</w:t>
            </w:r>
          </w:p>
        </w:tc>
        <w:tc>
          <w:tcPr>
            <w:tcW w:w="21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Debt—101.9%</w:t>
            </w: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11.99 %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1,520</w:t>
            </w:r>
          </w:p>
        </w:tc>
        <w:tc>
          <w:tcPr>
            <w:tcW w:w="2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1,499</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 - Unfunded Term Loan</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A1 Garage Merger Sub, LLC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4,888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4,846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11.65 %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622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619</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Ad.net Acquisition,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05/07/2026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Amsive Holding Corporation (f/k/a Vision Purchaser Corporation)</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06/10/2025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13,958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13,859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13,749</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05/23/2024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13,755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13,545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05/23/2024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12.04 %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2,184</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LLC (f/k/a MeritDirect,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05/23/2024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2,869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07/21/2027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11.22 %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6,395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6,326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6,267</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Any Hour Services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07/21/2027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10.52 %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6,160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6,145</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11.04 %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10.68 %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12,732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12,793</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10.86 %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1,150</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Apex Service Partners,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07/31/2025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692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8,891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8,784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8,714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(Unfunded Term Loan)</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13.25 %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SOFR+475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499</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Applied Technical Services,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08/03/2029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11.62 %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SOFR+625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6,526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6,461</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Arcfield Acquisition Corp.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08/04/2028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1,379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07/01/2029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11.14 %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4,862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11.81 %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107</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BioDerm, Inc. (Revolver) </w:t>
            </w:r>
            <w:r>
              <w:rPr>
                <w:rFonts w:ascii="Times New Roman" w:cs="Times New Roman" w:eastAsia="Times New Roman" w:hAnsi="Times New Roman"/>
                <w:sz w:val="12"/>
                <w:szCs w:val="12"/>
                <w:color w:val="auto"/>
                <w:vertAlign w:val="superscript"/>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01/31/2028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622</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 - Unfunded Term Loan</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13.75 %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274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270</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Blackhawk Industrial Distribution, Inc. </w:t>
            </w:r>
            <w:r>
              <w:rPr>
                <w:rFonts w:ascii="Times New Roman" w:cs="Times New Roman" w:eastAsia="Times New Roman" w:hAnsi="Times New Roman"/>
                <w:sz w:val="12"/>
                <w:szCs w:val="12"/>
                <w:color w:val="auto"/>
                <w:vertAlign w:val="superscript"/>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09/17/2026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2,469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12/04/2025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11.50 %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SOFR+626</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3,324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3,324</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12.43 %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SOFR+688</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25,674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25,499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25,224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By Light Professional IT Services, LLC (Revolver) </w:t>
            </w:r>
            <w:r>
              <w:rPr>
                <w:rFonts w:ascii="Times New Roman" w:cs="Times New Roman" w:eastAsia="Times New Roman" w:hAnsi="Times New Roman"/>
                <w:sz w:val="12"/>
                <w:szCs w:val="12"/>
                <w:color w:val="auto"/>
                <w:vertAlign w:val="superscript"/>
              </w:rPr>
              <w:t>(7)(9)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05/16/2025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(61 )</w:t>
            </w:r>
          </w:p>
        </w:tc>
        <w:tc>
          <w:tcPr>
            <w:tcW w:w="0" w:type="dxa"/>
            <w:vAlign w:val="bottom"/>
          </w:tcPr>
          <w:p>
            <w:pPr>
              <w:spacing w:after="0"/>
              <w:rPr>
                <w:sz w:val="1"/>
                <w:szCs w:val="1"/>
                <w:color w:val="auto"/>
              </w:rPr>
            </w:pPr>
          </w:p>
        </w:tc>
      </w:tr>
      <w:tr>
        <w:trPr>
          <w:trHeight w:val="157"/>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Cadence Aerospace, LLC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11/14/2023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12.07 %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980</w:t>
            </w:r>
          </w:p>
        </w:tc>
        <w:tc>
          <w:tcPr>
            <w:tcW w:w="26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180" w:type="dxa"/>
            <w:vAlign w:val="bottom"/>
          </w:tcPr>
          <w:p>
            <w:pPr>
              <w:spacing w:after="0"/>
              <w:rPr>
                <w:sz w:val="13"/>
                <w:szCs w:val="13"/>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980</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(PIK 9.50%)</w:t>
            </w: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13,076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13,076</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11.39 %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511</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(Revolver) </w:t>
            </w:r>
            <w:r>
              <w:rPr>
                <w:rFonts w:ascii="Times New Roman" w:cs="Times New Roman" w:eastAsia="Times New Roman" w:hAnsi="Times New Roman"/>
                <w:sz w:val="12"/>
                <w:szCs w:val="12"/>
                <w:color w:val="auto"/>
                <w:vertAlign w:val="superscript"/>
              </w:rPr>
              <w:t>(7)(9)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06/14/2028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11.59 %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SOFR+619</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5,980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5,930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CF512, Inc.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08/20/2026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04/10/2025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SOFR+476</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1,564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12.18 %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L+675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w:t>
            </w:r>
          </w:p>
        </w:tc>
        <w:tc>
          <w:tcPr>
            <w:tcW w:w="0" w:type="dxa"/>
            <w:vAlign w:val="bottom"/>
          </w:tcPr>
          <w:p>
            <w:pPr>
              <w:spacing w:after="0"/>
              <w:rPr>
                <w:sz w:val="1"/>
                <w:szCs w:val="1"/>
                <w:color w:val="auto"/>
              </w:rPr>
            </w:pPr>
          </w:p>
        </w:tc>
      </w:tr>
      <w:tr>
        <w:trPr>
          <w:trHeight w:val="136"/>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Compex Legal Services,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02/09/2026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rPr>
              <w:t>10.99 %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SOFR+525</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8,925</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8,891</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8,925</w:t>
            </w:r>
          </w:p>
        </w:tc>
        <w:tc>
          <w:tcPr>
            <w:tcW w:w="0" w:type="dxa"/>
            <w:vAlign w:val="bottom"/>
          </w:tcPr>
          <w:p>
            <w:pPr>
              <w:spacing w:after="0"/>
              <w:rPr>
                <w:sz w:val="1"/>
                <w:szCs w:val="1"/>
                <w:color w:val="auto"/>
              </w:rPr>
            </w:pPr>
          </w:p>
        </w:tc>
      </w:tr>
      <w:tr>
        <w:trPr>
          <w:trHeight w:val="100"/>
        </w:trPr>
        <w:tc>
          <w:tcPr>
            <w:tcW w:w="2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02/07/2025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Compex Legal Services, Inc.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02/07/2025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11.16 %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SOFR+576</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3,681</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Buyer, Inc.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07/13/2027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SOFR+551</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878</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10.90 %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SOFR+551</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Crane 1 Services,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11.24 %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4,383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4,383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Dr. Squatch,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3,353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11/03/2025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11.79 %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16,266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16,142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16,070</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DRS Holdings III, Inc.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11/03/2025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SOFR+650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3,393</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08/31/2030</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10.14 %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SOFR+475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4,985</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Financial Services, Inc. </w:t>
            </w:r>
            <w:r>
              <w:rPr>
                <w:rFonts w:ascii="Times New Roman" w:cs="Times New Roman" w:eastAsia="Times New Roman" w:hAnsi="Times New Roman"/>
                <w:sz w:val="12"/>
                <w:szCs w:val="12"/>
                <w:color w:val="auto"/>
                <w:vertAlign w:val="superscript"/>
              </w:rPr>
              <w:t>(10)</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10/05/2023</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10.43 %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SOFR+510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4,599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4,599</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Financial Services, Inc. (Revolver) </w:t>
            </w:r>
            <w:r>
              <w:rPr>
                <w:rFonts w:ascii="Times New Roman" w:cs="Times New Roman" w:eastAsia="Times New Roman" w:hAnsi="Times New Roman"/>
                <w:sz w:val="12"/>
                <w:szCs w:val="12"/>
                <w:color w:val="auto"/>
                <w:vertAlign w:val="superscript"/>
              </w:rPr>
              <w:t>(7), (9), (10)</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10/05/2023</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 - Unfunded Term Loan</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01/10/2029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6,750</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80" w:type="dxa"/>
            <w:vAlign w:val="bottom"/>
            <w:shd w:val="clear" w:color="auto" w:fill="CCECFF"/>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EDS Buyer,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01/10/2029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2,025</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(30 )</w:t>
            </w:r>
          </w:p>
        </w:tc>
        <w:tc>
          <w:tcPr>
            <w:tcW w:w="0" w:type="dxa"/>
            <w:vAlign w:val="bottom"/>
          </w:tcPr>
          <w:p>
            <w:pPr>
              <w:spacing w:after="0"/>
              <w:rPr>
                <w:sz w:val="1"/>
                <w:szCs w:val="1"/>
                <w:color w:val="auto"/>
              </w:rPr>
            </w:pPr>
          </w:p>
        </w:tc>
      </w:tr>
      <w:tr>
        <w:trPr>
          <w:trHeight w:val="132"/>
        </w:trPr>
        <w:tc>
          <w:tcPr>
            <w:tcW w:w="27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Efficient Collaborative Retail Marketing Company,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06/15/2024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13.15 %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SOFR+776</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7,651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5,352</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ETE Intermediate II, LLC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05/25/2029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1,656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Exigo Intermediate II, LLC (Revolver) </w:t>
            </w:r>
            <w:r>
              <w:rPr>
                <w:rFonts w:ascii="Times New Roman" w:cs="Times New Roman" w:eastAsia="Times New Roman" w:hAnsi="Times New Roman"/>
                <w:sz w:val="12"/>
                <w:szCs w:val="12"/>
                <w:color w:val="auto"/>
                <w:vertAlign w:val="superscript"/>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03/15/2027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Buyer, Inc.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02/23/2028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12.43 %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SOFR+710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4,569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4,500</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Five Star Buyer, Inc. - DDTL B Unfunded</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02/23/2028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837</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Five Star Buyer, Inc.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02/23/2028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 - Promissory Note</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05/19/2029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12.56 %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03/16/2026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11.96 %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SOFR+660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3,279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3,252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3,115</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10.98 %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12/8/2023</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10.98 %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266</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Graffiti Buyer, Inc.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08/10/2027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10.93 %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4,172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4,112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4,068</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10.92 %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327</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Hancock Roofing and Construction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11.32 %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6M SOFR+585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4,913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4"/>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Holdco Sands Intermediate, LLC (Revolver) </w:t>
            </w:r>
            <w:r>
              <w:rPr>
                <w:rFonts w:ascii="Times New Roman" w:cs="Times New Roman" w:eastAsia="Times New Roman" w:hAnsi="Times New Roman"/>
                <w:sz w:val="12"/>
                <w:szCs w:val="12"/>
                <w:color w:val="auto"/>
                <w:vertAlign w:val="superscript"/>
              </w:rPr>
              <w:t>(9)</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11/23/2027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1,791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11.70 %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8,973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8,865</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HW Holdco, LLC (Revolver)</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11.82 %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w:t>
            </w:r>
          </w:p>
        </w:tc>
        <w:tc>
          <w:tcPr>
            <w:tcW w:w="0" w:type="dxa"/>
            <w:vAlign w:val="bottom"/>
          </w:tcPr>
          <w:p>
            <w:pPr>
              <w:spacing w:after="0"/>
              <w:rPr>
                <w:sz w:val="1"/>
                <w:szCs w:val="1"/>
                <w:color w:val="auto"/>
              </w:rPr>
            </w:pPr>
          </w:p>
        </w:tc>
      </w:tr>
      <w:tr>
        <w:trPr>
          <w:trHeight w:val="148"/>
        </w:trPr>
        <w:tc>
          <w:tcPr>
            <w:tcW w:w="2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HW Holdco,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(20 )</w:t>
            </w:r>
          </w:p>
        </w:tc>
        <w:tc>
          <w:tcPr>
            <w:tcW w:w="0" w:type="dxa"/>
            <w:vAlign w:val="bottom"/>
          </w:tcPr>
          <w:p>
            <w:pPr>
              <w:spacing w:after="0"/>
              <w:rPr>
                <w:sz w:val="1"/>
                <w:szCs w:val="1"/>
                <w:color w:val="auto"/>
              </w:rPr>
            </w:pPr>
          </w:p>
        </w:tc>
      </w:tr>
      <w:tr>
        <w:trPr>
          <w:trHeight w:val="149"/>
        </w:trPr>
        <w:tc>
          <w:tcPr>
            <w:tcW w:w="27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w:t>
            </w:r>
            <w:r>
              <w:rPr>
                <w:rFonts w:ascii="Times New Roman" w:cs="Times New Roman" w:eastAsia="Times New Roman" w:hAnsi="Times New Roman"/>
                <w:sz w:val="12"/>
                <w:szCs w:val="12"/>
                <w:color w:val="auto"/>
                <w:vertAlign w:val="superscript"/>
              </w:rPr>
              <w:t>(7)</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09/22/2028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11.45 %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4,428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4,356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4,362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10560"/>
          </w:cols>
          <w:pgMar w:left="660" w:top="1132" w:right="680" w:bottom="1161" w:gutter="0" w:footer="0" w:header="0"/>
        </w:sect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161"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2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2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20" w:type="dxa"/>
            <w:vAlign w:val="bottom"/>
          </w:tcPr>
          <w:p>
            <w:pPr>
              <w:jc w:val="center"/>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IG Investments Holdings, LLC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09/22/2027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477</w:t>
            </w:r>
          </w:p>
        </w:tc>
        <w:tc>
          <w:tcPr>
            <w:tcW w:w="2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Imagine Acquisitionco, LLC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12.50 %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14,803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14,656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14,803</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12.24 %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SOFR+685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2,089</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 - Unfunded 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12/28/2023</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Infinity Home Services Holdco, Inc.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Infolinks Media Buyco,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11/01/2026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3,143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3,178</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Infolinks Media Buyco, LLC- Unfunded Term Loan</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11/01/2023</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Integrated Data Services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08/01/2029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12.54 %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15,521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15,457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14,590</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08/27/2026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11.57 %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15,666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15,553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15,509</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 - Unfunded Term Loan</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Integrity Marketing Acquisition, LLC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08/27/2026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511</w:t>
            </w:r>
          </w:p>
        </w:tc>
        <w:tc>
          <w:tcPr>
            <w:tcW w:w="260" w:type="dxa"/>
            <w:vAlign w:val="bottom"/>
          </w:tcPr>
          <w:p>
            <w:pPr>
              <w:spacing w:after="0"/>
              <w:rPr>
                <w:sz w:val="12"/>
                <w:szCs w:val="12"/>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 (Revolver)</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03/03/2028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12.05 %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SOFR+560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ITI Holdings, Inc.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03/03/2028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33"/>
        </w:trPr>
        <w:tc>
          <w:tcPr>
            <w:tcW w:w="2760" w:type="dxa"/>
            <w:vAlign w:val="bottom"/>
            <w:shd w:val="clear" w:color="auto" w:fill="CCECFF"/>
          </w:tcPr>
          <w:p>
            <w:pPr>
              <w:spacing w:after="0"/>
              <w:rPr>
                <w:sz w:val="11"/>
                <w:szCs w:val="11"/>
                <w:color w:val="auto"/>
              </w:rPr>
            </w:pP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20" w:type="dxa"/>
            <w:vAlign w:val="bottom"/>
            <w:shd w:val="clear" w:color="auto" w:fill="CCECFF"/>
          </w:tcPr>
          <w:p>
            <w:pPr>
              <w:spacing w:after="0"/>
              <w:rPr>
                <w:sz w:val="11"/>
                <w:szCs w:val="11"/>
                <w:color w:val="auto"/>
              </w:rPr>
            </w:pP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SOFR+761</w:t>
            </w: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4,888</w:t>
            </w:r>
          </w:p>
        </w:tc>
        <w:tc>
          <w:tcPr>
            <w:tcW w:w="0" w:type="dxa"/>
            <w:vAlign w:val="bottom"/>
          </w:tcPr>
          <w:p>
            <w:pPr>
              <w:spacing w:after="0"/>
              <w:rPr>
                <w:sz w:val="1"/>
                <w:szCs w:val="1"/>
                <w:color w:val="auto"/>
              </w:rPr>
            </w:pPr>
          </w:p>
        </w:tc>
      </w:tr>
      <w:tr>
        <w:trPr>
          <w:trHeight w:val="132"/>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920" w:type="dxa"/>
            <w:vAlign w:val="bottom"/>
            <w:shd w:val="clear" w:color="auto" w:fill="CCECFF"/>
          </w:tcPr>
          <w:p>
            <w:pPr>
              <w:spacing w:after="0"/>
              <w:rPr>
                <w:sz w:val="11"/>
                <w:szCs w:val="11"/>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12.93 %</w:t>
            </w: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4,988</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6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Inventus Power, Inc.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06/30/2025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(35 )</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1,729</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K2 Pure Solutions NoCal, L.P.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12/20/2023</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1,429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16,995</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Kinetic Purchaser, LLC -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(52 )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02/18/2027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11.88 %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SOFR+675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10,404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10,264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10,300</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12.15 %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SOFR+675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2,086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2,065</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Lash OpCo, LLC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08/16/2026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36"/>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11.83 %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SOFR+643</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7,544</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7,537</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7,454</w:t>
            </w:r>
          </w:p>
        </w:tc>
        <w:tc>
          <w:tcPr>
            <w:tcW w:w="0" w:type="dxa"/>
            <w:vAlign w:val="bottom"/>
          </w:tcPr>
          <w:p>
            <w:pPr>
              <w:spacing w:after="0"/>
              <w:rPr>
                <w:sz w:val="1"/>
                <w:szCs w:val="1"/>
                <w:color w:val="auto"/>
              </w:rPr>
            </w:pPr>
          </w:p>
        </w:tc>
      </w:tr>
      <w:tr>
        <w:trPr>
          <w:trHeight w:val="152"/>
        </w:trPr>
        <w:tc>
          <w:tcPr>
            <w:tcW w:w="27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rPr>
                <w:sz w:val="13"/>
                <w:szCs w:val="13"/>
                <w:color w:val="auto"/>
              </w:rPr>
            </w:pP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102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LAV Gear Holdings, Inc. (Revolver) </w:t>
            </w:r>
            <w:r>
              <w:rPr>
                <w:rFonts w:ascii="Times New Roman" w:cs="Times New Roman" w:eastAsia="Times New Roman" w:hAnsi="Times New Roman"/>
                <w:sz w:val="12"/>
                <w:szCs w:val="12"/>
                <w:color w:val="auto"/>
                <w:vertAlign w:val="superscript"/>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11.02 %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1,721</w:t>
            </w:r>
          </w:p>
        </w:tc>
        <w:tc>
          <w:tcPr>
            <w:tcW w:w="26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1,721</w:t>
            </w:r>
          </w:p>
        </w:tc>
        <w:tc>
          <w:tcPr>
            <w:tcW w:w="180" w:type="dxa"/>
            <w:vAlign w:val="bottom"/>
          </w:tcPr>
          <w:p>
            <w:pPr>
              <w:spacing w:after="0"/>
              <w:rPr>
                <w:sz w:val="13"/>
                <w:szCs w:val="13"/>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1,700</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(PIK 5.50%)</w:t>
            </w: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Ledge Lounger, Inc.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3,709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3,677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3,663</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Ledge Lounger, Inc.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789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10.67 %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22,543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22,282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22,317</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Lightspeed Buyer Inc.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02/03/2026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02/01/2030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11.79 %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Holdings, LLC - Unfunded 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07/31/2024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2,424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LJ Avalon Holdings, LLC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01/31/2030</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19,263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18,894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18,974</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12.39 %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SOFR+700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1,861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1,833</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 (Revolver)</w:t>
            </w:r>
            <w:r>
              <w:rPr>
                <w:rFonts w:ascii="Times New Roman" w:cs="Times New Roman" w:eastAsia="Times New Roman" w:hAnsi="Times New Roman"/>
                <w:sz w:val="12"/>
                <w:szCs w:val="12"/>
                <w:color w:val="auto"/>
                <w:vertAlign w:val="superscript"/>
              </w:rPr>
              <w:t>(7)(9)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05/31/2028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Lucky Bucks, LLC </w:t>
            </w:r>
            <w:r>
              <w:rPr>
                <w:rFonts w:ascii="Times New Roman" w:cs="Times New Roman" w:eastAsia="Times New Roman" w:hAnsi="Times New Roman"/>
                <w:sz w:val="12"/>
                <w:szCs w:val="12"/>
                <w:color w:val="auto"/>
                <w:vertAlign w:val="superscript"/>
              </w:rPr>
              <w:t>(6)</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07/20/2027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0.00 %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4,210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DIP</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10/20/2023</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15.30 %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SOFR+1000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04/01/2027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10.99 %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3,674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3,564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3,481</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05/14/2026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8,728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8,616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8,640</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 (Revolver)</w:t>
            </w:r>
            <w:r>
              <w:rPr>
                <w:rFonts w:ascii="Times New Roman" w:cs="Times New Roman" w:eastAsia="Times New Roman" w:hAnsi="Times New Roman"/>
                <w:sz w:val="12"/>
                <w:szCs w:val="12"/>
                <w:color w:val="auto"/>
                <w:vertAlign w:val="superscript"/>
              </w:rPr>
              <w:t>(7)(9)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05/14/2026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MBS Holdings, Inc. (Revolver)</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SOFR+585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182</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 (Revolver)</w:t>
            </w:r>
            <w:r>
              <w:rPr>
                <w:rFonts w:ascii="Times New Roman" w:cs="Times New Roman" w:eastAsia="Times New Roman" w:hAnsi="Times New Roman"/>
                <w:sz w:val="12"/>
                <w:szCs w:val="12"/>
                <w:color w:val="auto"/>
                <w:vertAlign w:val="superscript"/>
              </w:rPr>
              <w:t>(7)(9)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04/16/2027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972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52"/>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11.09 %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2,041</w:t>
            </w:r>
          </w:p>
        </w:tc>
        <w:tc>
          <w:tcPr>
            <w:tcW w:w="260" w:type="dxa"/>
            <w:vAlign w:val="bottom"/>
          </w:tcPr>
          <w:p>
            <w:pPr>
              <w:spacing w:after="0"/>
              <w:rPr>
                <w:sz w:val="13"/>
                <w:szCs w:val="13"/>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2,003</w:t>
            </w:r>
          </w:p>
        </w:tc>
        <w:tc>
          <w:tcPr>
            <w:tcW w:w="180" w:type="dxa"/>
            <w:vAlign w:val="bottom"/>
          </w:tcPr>
          <w:p>
            <w:pPr>
              <w:spacing w:after="0"/>
              <w:rPr>
                <w:sz w:val="13"/>
                <w:szCs w:val="13"/>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1,997</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10.91 %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SOFR+600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353</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MDI Buyer, inc.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07/25/2028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1,954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1,929</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 Term Loan I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 Term Loan II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9,483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(142 )</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Meadowlark Acquirer, LLC (Revolver)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1,693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03/28/2024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10.65 %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SOFR +515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3,571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3,553</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Mission Critical Electronics, Inc. </w:t>
            </w:r>
            <w:r>
              <w:rPr>
                <w:rFonts w:ascii="Times New Roman" w:cs="Times New Roman" w:eastAsia="Times New Roman" w:hAnsi="Times New Roman"/>
                <w:sz w:val="12"/>
                <w:szCs w:val="12"/>
                <w:color w:val="auto"/>
                <w:vertAlign w:val="superscript"/>
              </w:rPr>
              <w:t>(9)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03/28/2024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Mission Critical Electronics, Inc.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03/28/2024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1,155</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A</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06/16/2023</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 - Unfunded Term Loan B</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12/16/2024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(28 )</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11.04 %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370</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10/01/2027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 - Revolver Unfunded</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05/09/2029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NBH Group LLC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08/19/2026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1,677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41,489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40,662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40,659</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NORA Acquisition, LLC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08/31/2029</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5,479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(110 )</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05/07/2027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11.68 %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SOFR+636</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8,516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8,516</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w:t>
            </w:r>
            <w:r>
              <w:rPr>
                <w:rFonts w:ascii="Times New Roman" w:cs="Times New Roman" w:eastAsia="Times New Roman" w:hAnsi="Times New Roman"/>
                <w:sz w:val="12"/>
                <w:szCs w:val="12"/>
                <w:color w:val="auto"/>
                <w:vertAlign w:val="superscript"/>
              </w:rPr>
              <w:t>(7)</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09/03/2027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12.84 %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6M SOFR+725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4,828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4,459</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ORL Acquisition, Inc. (Revolver)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09/03/2027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(77 )</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Output Services Group, Inc. </w:t>
            </w:r>
            <w:r>
              <w:rPr>
                <w:rFonts w:ascii="Times New Roman" w:cs="Times New Roman" w:eastAsia="Times New Roman" w:hAnsi="Times New Roman"/>
                <w:sz w:val="12"/>
                <w:szCs w:val="12"/>
                <w:color w:val="auto"/>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06/27/2026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0.00 %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4,469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960</w:t>
            </w: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02/04/2028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10.80 %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6M SOFR+550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36"/>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05/18/2026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12.90 %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SOFR+751</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22,736</w:t>
            </w:r>
          </w:p>
        </w:tc>
        <w:tc>
          <w:tcPr>
            <w:tcW w:w="260" w:type="dxa"/>
            <w:vAlign w:val="bottom"/>
          </w:tcPr>
          <w:p>
            <w:pPr>
              <w:spacing w:after="0"/>
              <w:rPr>
                <w:sz w:val="11"/>
                <w:szCs w:val="11"/>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22,513</w:t>
            </w:r>
          </w:p>
        </w:tc>
        <w:tc>
          <w:tcPr>
            <w:tcW w:w="18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22,338</w:t>
            </w:r>
          </w:p>
        </w:tc>
        <w:tc>
          <w:tcPr>
            <w:tcW w:w="0" w:type="dxa"/>
            <w:vAlign w:val="bottom"/>
          </w:tcPr>
          <w:p>
            <w:pPr>
              <w:spacing w:after="0"/>
              <w:rPr>
                <w:sz w:val="1"/>
                <w:szCs w:val="1"/>
                <w:color w:val="auto"/>
              </w:rPr>
            </w:pPr>
          </w:p>
        </w:tc>
      </w:tr>
      <w:tr>
        <w:trPr>
          <w:trHeight w:val="76"/>
        </w:trPr>
        <w:tc>
          <w:tcPr>
            <w:tcW w:w="2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Ox Two, LLC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05/18/2026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(59 )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Pequod Merger Sub, Inc. - Unfunded 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12/02/2026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Pequod Merger Sub, Inc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12/02/2026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757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12.42 %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SOFR+710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5,612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5,538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5,050</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PL Acquisitionco, LLC - (Revolver) </w:t>
            </w:r>
            <w:r>
              <w:rPr>
                <w:rFonts w:ascii="Times New Roman" w:cs="Times New Roman" w:eastAsia="Times New Roman" w:hAnsi="Times New Roman"/>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11/09/2027</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(229 )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05/08/2026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10.92 %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3,401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3,386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3,248</w:t>
            </w:r>
          </w:p>
        </w:tc>
        <w:tc>
          <w:tcPr>
            <w:tcW w:w="0" w:type="dxa"/>
            <w:vAlign w:val="bottom"/>
          </w:tcPr>
          <w:p>
            <w:pPr>
              <w:spacing w:after="0"/>
              <w:rPr>
                <w:sz w:val="1"/>
                <w:szCs w:val="1"/>
                <w:color w:val="auto"/>
              </w:rPr>
            </w:pP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 - Unfunded Term Loan</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07/06/2028</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(80 )</w:t>
            </w:r>
          </w:p>
        </w:tc>
        <w:tc>
          <w:tcPr>
            <w:tcW w:w="0" w:type="dxa"/>
            <w:vAlign w:val="bottom"/>
          </w:tcPr>
          <w:p>
            <w:pPr>
              <w:spacing w:after="0"/>
              <w:rPr>
                <w:sz w:val="1"/>
                <w:szCs w:val="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Pragmatic Institute, LLC (Revolver)</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07/06/2028</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SOFR+575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1,526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1,458</w:t>
            </w:r>
          </w:p>
        </w:tc>
        <w:tc>
          <w:tcPr>
            <w:tcW w:w="0" w:type="dxa"/>
            <w:vAlign w:val="bottom"/>
          </w:tcPr>
          <w:p>
            <w:pPr>
              <w:spacing w:after="0"/>
              <w:rPr>
                <w:sz w:val="1"/>
                <w:szCs w:val="1"/>
                <w:color w:val="auto"/>
              </w:rPr>
            </w:pPr>
          </w:p>
        </w:tc>
      </w:tr>
      <w:tr>
        <w:trPr>
          <w:trHeight w:val="137"/>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6,647</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6,578</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6,547</w:t>
            </w:r>
          </w:p>
        </w:tc>
        <w:tc>
          <w:tcPr>
            <w:tcW w:w="0" w:type="dxa"/>
            <w:vAlign w:val="bottom"/>
          </w:tcPr>
          <w:p>
            <w:pPr>
              <w:spacing w:after="0"/>
              <w:rPr>
                <w:sz w:val="1"/>
                <w:szCs w:val="1"/>
                <w:color w:val="auto"/>
              </w:rPr>
            </w:pPr>
          </w:p>
        </w:tc>
      </w:tr>
      <w:tr>
        <w:trPr>
          <w:trHeight w:val="132"/>
        </w:trPr>
        <w:tc>
          <w:tcPr>
            <w:tcW w:w="27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2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11.74 %</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SOFR+635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670</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670</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660</w:t>
            </w:r>
          </w:p>
        </w:tc>
        <w:tc>
          <w:tcPr>
            <w:tcW w:w="0" w:type="dxa"/>
            <w:vAlign w:val="bottom"/>
          </w:tcPr>
          <w:p>
            <w:pPr>
              <w:spacing w:after="0"/>
              <w:rPr>
                <w:sz w:val="1"/>
                <w:szCs w:val="1"/>
                <w:color w:val="auto"/>
              </w:rPr>
            </w:pPr>
          </w:p>
        </w:tc>
      </w:tr>
      <w:tr>
        <w:trPr>
          <w:trHeight w:val="132"/>
        </w:trPr>
        <w:tc>
          <w:tcPr>
            <w:tcW w:w="2760" w:type="dxa"/>
            <w:vAlign w:val="bottom"/>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Quantic Electronics, LLC (Revolver) </w:t>
            </w:r>
            <w:r>
              <w:rPr>
                <w:rFonts w:ascii="Times New Roman" w:cs="Times New Roman" w:eastAsia="Times New Roman" w:hAnsi="Times New Roman"/>
                <w:sz w:val="12"/>
                <w:szCs w:val="12"/>
                <w:color w:val="auto"/>
                <w:vertAlign w:val="superscript"/>
              </w:rPr>
              <w:t>(7)</w:t>
            </w:r>
          </w:p>
        </w:tc>
        <w:tc>
          <w:tcPr>
            <w:tcW w:w="920" w:type="dxa"/>
            <w:vAlign w:val="bottom"/>
          </w:tcPr>
          <w:p>
            <w:pPr>
              <w:spacing w:after="0"/>
              <w:rPr>
                <w:sz w:val="11"/>
                <w:szCs w:val="1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Questex, LLC</w:t>
            </w:r>
          </w:p>
        </w:tc>
        <w:tc>
          <w:tcPr>
            <w:tcW w:w="9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09/09/2024</w:t>
            </w:r>
          </w:p>
        </w:tc>
        <w:tc>
          <w:tcPr>
            <w:tcW w:w="20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9.81 %</w:t>
            </w:r>
          </w:p>
        </w:tc>
        <w:tc>
          <w:tcPr>
            <w:tcW w:w="102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SOFR+425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6,731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6,706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6,731</w:t>
            </w:r>
          </w:p>
        </w:tc>
        <w:tc>
          <w:tcPr>
            <w:tcW w:w="0" w:type="dxa"/>
            <w:vAlign w:val="bottom"/>
          </w:tcPr>
          <w:p>
            <w:pPr>
              <w:spacing w:after="0"/>
              <w:rPr>
                <w:sz w:val="1"/>
                <w:szCs w:val="1"/>
                <w:color w:val="auto"/>
              </w:rPr>
            </w:pPr>
          </w:p>
        </w:tc>
      </w:tr>
      <w:tr>
        <w:trPr>
          <w:trHeight w:val="17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Questex, LLC (Revolver) </w:t>
            </w:r>
            <w:r>
              <w:rPr>
                <w:rFonts w:ascii="Times New Roman" w:cs="Times New Roman" w:eastAsia="Times New Roman" w:hAnsi="Times New Roman"/>
                <w:sz w:val="12"/>
                <w:szCs w:val="12"/>
                <w:color w:val="auto"/>
                <w:vertAlign w:val="superscript"/>
              </w:rPr>
              <w:t>(7), (9)</w:t>
            </w:r>
          </w:p>
        </w:tc>
        <w:tc>
          <w:tcPr>
            <w:tcW w:w="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09/09/2024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1,197</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40" w:orient="portrait"/>
          <w:cols w:equalWidth="0" w:num="1">
            <w:col w:w="10560"/>
          </w:cols>
          <w:pgMar w:left="660" w:top="1132" w:right="680" w:bottom="1090" w:gutter="0" w:footer="0" w:header="0"/>
        </w:sect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090" w:gutter="0" w:footer="0" w:header="0"/>
          <w:type w:val="continuous"/>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23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40" w:type="dxa"/>
            <w:vAlign w:val="bottom"/>
          </w:tcPr>
          <w:p>
            <w:pPr>
              <w:spacing w:after="0"/>
              <w:rPr>
                <w:sz w:val="10"/>
                <w:szCs w:val="10"/>
                <w:color w:val="auto"/>
              </w:rPr>
            </w:pPr>
          </w:p>
        </w:tc>
        <w:tc>
          <w:tcPr>
            <w:tcW w:w="98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40" w:type="dxa"/>
            <w:vAlign w:val="bottom"/>
          </w:tcPr>
          <w:p>
            <w:pPr>
              <w:spacing w:after="0"/>
              <w:rPr>
                <w:sz w:val="11"/>
                <w:szCs w:val="11"/>
                <w:color w:val="auto"/>
              </w:rPr>
            </w:pPr>
          </w:p>
        </w:tc>
        <w:tc>
          <w:tcPr>
            <w:tcW w:w="980" w:type="dxa"/>
            <w:vAlign w:val="bottom"/>
          </w:tcPr>
          <w:p>
            <w:pPr>
              <w:jc w:val="center"/>
              <w:ind w:right="19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11.24 %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SOFR+585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210</w:t>
            </w:r>
          </w:p>
        </w:tc>
        <w:tc>
          <w:tcPr>
            <w:tcW w:w="2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Rancho Health MSO, Inc.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01/29/2026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12.54 %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1,463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1,419</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Recteq,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01/29/2026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(39 )</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Now Group, Inc. and Dynata,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11.13 %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SOFR+576</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16,962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16,875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14,842</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Riverpoint Medical,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06/20/2025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10.54 %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7,939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7,903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7,828</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06/20/2025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10.42 %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SOFR+510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Riverpoint Medical,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06/20/2025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795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Riverside Assessments,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03/10/2025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11.29 %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SOFR+590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15,199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15,075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15,047</w:t>
            </w:r>
          </w:p>
        </w:tc>
        <w:tc>
          <w:tcPr>
            <w:tcW w:w="0" w:type="dxa"/>
            <w:vAlign w:val="bottom"/>
          </w:tcPr>
          <w:p>
            <w:pPr>
              <w:spacing w:after="0"/>
              <w:rPr>
                <w:sz w:val="1"/>
                <w:szCs w:val="1"/>
                <w:color w:val="auto"/>
              </w:rPr>
            </w:pPr>
          </w:p>
        </w:tc>
      </w:tr>
      <w:tr>
        <w:trPr>
          <w:trHeight w:val="133"/>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 -</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06/15/2029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1,146</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Unfunded Term Loan</w:t>
            </w:r>
          </w:p>
        </w:tc>
        <w:tc>
          <w:tcPr>
            <w:tcW w:w="8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06/15/2029</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1"/>
                <w:szCs w:val="11"/>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860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0" w:type="dxa"/>
            <w:vAlign w:val="bottom"/>
          </w:tcPr>
          <w:p>
            <w:pPr>
              <w:spacing w:after="0"/>
              <w:rPr>
                <w:sz w:val="1"/>
                <w:szCs w:val="1"/>
                <w:color w:val="auto"/>
              </w:rPr>
            </w:pPr>
          </w:p>
        </w:tc>
      </w:tr>
      <w:tr>
        <w:trPr>
          <w:trHeight w:val="132"/>
        </w:trPr>
        <w:tc>
          <w:tcPr>
            <w:tcW w:w="2800" w:type="dxa"/>
            <w:vAlign w:val="bottom"/>
            <w:shd w:val="clear" w:color="auto" w:fill="CCECFF"/>
          </w:tcPr>
          <w:p>
            <w:pPr>
              <w:ind w:left="20"/>
              <w:spacing w:after="0" w:line="132" w:lineRule="exact"/>
              <w:rPr>
                <w:sz w:val="20"/>
                <w:szCs w:val="20"/>
                <w:color w:val="auto"/>
              </w:rPr>
            </w:pPr>
            <w:r>
              <w:rPr>
                <w:rFonts w:ascii="Times New Roman" w:cs="Times New Roman" w:eastAsia="Times New Roman" w:hAnsi="Times New Roman"/>
                <w:sz w:val="10"/>
                <w:szCs w:val="10"/>
                <w:color w:val="auto"/>
              </w:rPr>
              <w:t xml:space="preserve">(Revolver)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spacing w:after="0"/>
              <w:rPr>
                <w:sz w:val="11"/>
                <w:szCs w:val="11"/>
                <w:color w:val="auto"/>
              </w:rPr>
            </w:pPr>
          </w:p>
        </w:tc>
        <w:tc>
          <w:tcPr>
            <w:tcW w:w="21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01/03/2025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SOFR+620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2,596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2,583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Sales Benchmark Index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01/03/2025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33"/>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12.93 %</w:t>
            </w:r>
          </w:p>
        </w:tc>
        <w:tc>
          <w:tcPr>
            <w:tcW w:w="140" w:type="dxa"/>
            <w:vAlign w:val="bottom"/>
          </w:tcPr>
          <w:p>
            <w:pPr>
              <w:spacing w:after="0"/>
              <w:rPr>
                <w:sz w:val="11"/>
                <w:szCs w:val="1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SOFR+760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3,439</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3,425</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3,405</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 (Revolver)</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12.92 %</w:t>
            </w:r>
          </w:p>
        </w:tc>
        <w:tc>
          <w:tcPr>
            <w:tcW w:w="140" w:type="dxa"/>
            <w:vAlign w:val="bottom"/>
            <w:shd w:val="clear" w:color="auto" w:fill="CCECFF"/>
          </w:tcPr>
          <w:p>
            <w:pPr>
              <w:spacing w:after="0"/>
              <w:rPr>
                <w:sz w:val="11"/>
                <w:szCs w:val="11"/>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SOFR+760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280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277</w:t>
            </w:r>
          </w:p>
        </w:tc>
        <w:tc>
          <w:tcPr>
            <w:tcW w:w="0" w:type="dxa"/>
            <w:vAlign w:val="bottom"/>
          </w:tcPr>
          <w:p>
            <w:pPr>
              <w:spacing w:after="0"/>
              <w:rPr>
                <w:sz w:val="1"/>
                <w:szCs w:val="1"/>
                <w:color w:val="auto"/>
              </w:rPr>
            </w:pPr>
          </w:p>
        </w:tc>
      </w:tr>
      <w:tr>
        <w:trPr>
          <w:trHeight w:val="132"/>
        </w:trPr>
        <w:tc>
          <w:tcPr>
            <w:tcW w:w="28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0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Sargent &amp; Greenleaf Inc. (Revolver) </w:t>
            </w:r>
            <w:r>
              <w:rPr>
                <w:rFonts w:ascii="Times New Roman" w:cs="Times New Roman" w:eastAsia="Times New Roman" w:hAnsi="Times New Roman"/>
                <w:sz w:val="12"/>
                <w:szCs w:val="12"/>
                <w:color w:val="auto"/>
                <w:vertAlign w:val="superscript"/>
              </w:rPr>
              <w:t>(9)</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12/20/2024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801</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07/14/2025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12.07 %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14,490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14,428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14,019</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 (Revolver)</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07/14/2025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12.52 %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SOFR+715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Schlesinger Global, Inc.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07/14/2025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06/13/2029</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11.54 %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1,921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1,863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14.04 %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10,277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10,123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10,123</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14.04 %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SOFR+865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1,807</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Sigma Defense Systems,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12/18/2025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Signature Systems Holding Company</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05/03/2024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L+665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9,708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9,688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9,708</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Signature Systems Holding Company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05/03/2024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1,747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05/17/2028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9.93 %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SOFR+450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587</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10/14/2025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9.97 %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SOFR+450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2,437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 (Revolver)</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10/14/2025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10.11 %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SOFR+450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1,508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1,355</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Smile Brands Inc. 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10/14/2025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01/17/2024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12.37 %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SOFR+700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4,638</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Solutionreach, Inc.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01/17/2024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11.03 %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2,061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Spendmend Holdings LLC - Unfunded Term Loan</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1,707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(25 )</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 (Revolver)</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03/01/2028</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11.03 %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357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349</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Spendmend Holdings LLC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12/11/2026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10.67 %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4,752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4,724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4,657</w:t>
            </w:r>
          </w:p>
        </w:tc>
        <w:tc>
          <w:tcPr>
            <w:tcW w:w="0" w:type="dxa"/>
            <w:vAlign w:val="bottom"/>
          </w:tcPr>
          <w:p>
            <w:pPr>
              <w:spacing w:after="0"/>
              <w:rPr>
                <w:sz w:val="1"/>
                <w:szCs w:val="1"/>
                <w:color w:val="auto"/>
              </w:rPr>
            </w:pPr>
          </w:p>
        </w:tc>
      </w:tr>
      <w:tr>
        <w:trPr>
          <w:trHeight w:val="137"/>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08/16/2027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11.49 %</w:t>
            </w:r>
          </w:p>
        </w:tc>
        <w:tc>
          <w:tcPr>
            <w:tcW w:w="140" w:type="dxa"/>
            <w:vAlign w:val="bottom"/>
            <w:shd w:val="clear" w:color="auto" w:fill="CCECFF"/>
          </w:tcPr>
          <w:p>
            <w:pPr>
              <w:spacing w:after="0"/>
              <w:rPr>
                <w:sz w:val="11"/>
                <w:szCs w:val="11"/>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6M SOFR+615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18,373</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18,109</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18,171</w:t>
            </w:r>
          </w:p>
        </w:tc>
        <w:tc>
          <w:tcPr>
            <w:tcW w:w="0" w:type="dxa"/>
            <w:vAlign w:val="bottom"/>
          </w:tcPr>
          <w:p>
            <w:pPr>
              <w:spacing w:after="0"/>
              <w:rPr>
                <w:sz w:val="1"/>
                <w:szCs w:val="1"/>
                <w:color w:val="auto"/>
              </w:rPr>
            </w:pPr>
          </w:p>
        </w:tc>
      </w:tr>
      <w:tr>
        <w:trPr>
          <w:trHeight w:val="132"/>
        </w:trPr>
        <w:tc>
          <w:tcPr>
            <w:tcW w:w="28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880" w:type="dxa"/>
            <w:vAlign w:val="bottom"/>
            <w:shd w:val="clear" w:color="auto" w:fill="CCECFF"/>
          </w:tcPr>
          <w:p>
            <w:pPr>
              <w:spacing w:after="0"/>
              <w:rPr>
                <w:sz w:val="11"/>
                <w:szCs w:val="11"/>
                <w:color w:val="auto"/>
              </w:rPr>
            </w:pPr>
          </w:p>
        </w:tc>
        <w:tc>
          <w:tcPr>
            <w:tcW w:w="21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0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System Planning and Analysis, Inc. (Revolver) </w:t>
            </w:r>
            <w:r>
              <w:rPr>
                <w:rFonts w:ascii="Times New Roman" w:cs="Times New Roman" w:eastAsia="Times New Roman" w:hAnsi="Times New Roman"/>
                <w:sz w:val="12"/>
                <w:szCs w:val="12"/>
                <w:color w:val="auto"/>
                <w:vertAlign w:val="superscript"/>
              </w:rPr>
              <w:t>(9)</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08/16/2027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5,188</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(57 )</w:t>
            </w:r>
          </w:p>
        </w:tc>
        <w:tc>
          <w:tcPr>
            <w:tcW w:w="0" w:type="dxa"/>
            <w:vAlign w:val="bottom"/>
          </w:tcPr>
          <w:p>
            <w:pPr>
              <w:spacing w:after="0"/>
              <w:rPr>
                <w:sz w:val="1"/>
                <w:szCs w:val="1"/>
                <w:color w:val="auto"/>
              </w:rPr>
            </w:pPr>
          </w:p>
        </w:tc>
      </w:tr>
      <w:tr>
        <w:trPr>
          <w:trHeight w:val="128"/>
        </w:trPr>
        <w:tc>
          <w:tcPr>
            <w:tcW w:w="28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(f/k/a Management Consulting &amp; Research, LLC)</w:t>
            </w:r>
          </w:p>
        </w:tc>
        <w:tc>
          <w:tcPr>
            <w:tcW w:w="8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07/18/2025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10.67 %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SOFR+535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5,733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5,683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5,725</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10/31/2025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12.04 %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SOFR+665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5,421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5,340</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07/28/2026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12.79 %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SOFR+740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2,368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2,359</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The Bluebird Group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07/28/2026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08/30/2027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11.67 %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1,949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1,961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 (Revolver)</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08/30/2027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11.67 %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303</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The Vertex Companies, LLC (Revolver) </w:t>
            </w:r>
            <w:r>
              <w:rPr>
                <w:rFonts w:ascii="Times New Roman" w:cs="Times New Roman" w:eastAsia="Times New Roman" w:hAnsi="Times New Roman"/>
                <w:sz w:val="12"/>
                <w:szCs w:val="12"/>
                <w:color w:val="auto"/>
                <w:vertAlign w:val="superscript"/>
              </w:rPr>
              <w:t>(7), (9)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08/30/2027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606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 Canada Parent, Inc. and TPC US Parent, LLC </w:t>
            </w:r>
            <w:r>
              <w:rPr>
                <w:rFonts w:ascii="Times New Roman" w:cs="Times New Roman" w:eastAsia="Times New Roman" w:hAnsi="Times New Roman"/>
                <w:sz w:val="12"/>
                <w:szCs w:val="12"/>
                <w:color w:val="auto"/>
                <w:vertAlign w:val="superscript"/>
              </w:rPr>
              <w:t>(5), (10)</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11/24/2025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10.90 %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4,813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4,793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4,813</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06/16/2025</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11.81 %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SOFR+640</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4,316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4,280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4,316</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TWS Acquisition Corporation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06/16/2025</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04/01/2028</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10.90 %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SOFR+565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11,928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11,803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10,879</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Tyto Athene, LLC (Revolver) </w:t>
            </w:r>
            <w:r>
              <w:rPr>
                <w:rFonts w:ascii="Times New Roman" w:cs="Times New Roman" w:eastAsia="Times New Roman" w:hAnsi="Times New Roman"/>
                <w:sz w:val="12"/>
                <w:szCs w:val="12"/>
                <w:color w:val="auto"/>
                <w:vertAlign w:val="superscript"/>
              </w:rPr>
              <w:t>(7), (9)</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04/01/2026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(94 )</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LLC - Term Loan</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03/31/2027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12.18 %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1M SOFR+685</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3,521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3,521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3,521</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Funded Junior Revolver</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03/31/2027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11.68 %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SOFR+635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Unfunded Term Loan</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03/31/2027</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333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02/27/2026</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10.54 %</w:t>
            </w:r>
          </w:p>
        </w:tc>
        <w:tc>
          <w:tcPr>
            <w:tcW w:w="140" w:type="dxa"/>
            <w:vAlign w:val="bottom"/>
          </w:tcPr>
          <w:p>
            <w:pPr>
              <w:spacing w:after="0"/>
              <w:rPr>
                <w:sz w:val="11"/>
                <w:szCs w:val="1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SOFR+515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7,646</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7,579</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7,570</w:t>
            </w: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00" w:type="dxa"/>
            <w:vAlign w:val="bottom"/>
            <w:shd w:val="clear" w:color="auto" w:fill="CCECFF"/>
          </w:tcPr>
          <w:p>
            <w:pPr>
              <w:ind w:left="20"/>
              <w:spacing w:after="0" w:line="137" w:lineRule="exact"/>
              <w:rPr>
                <w:sz w:val="20"/>
                <w:szCs w:val="20"/>
                <w:color w:val="auto"/>
              </w:rPr>
            </w:pPr>
            <w:r>
              <w:rPr>
                <w:rFonts w:ascii="Times New Roman" w:cs="Times New Roman" w:eastAsia="Times New Roman" w:hAnsi="Times New Roman"/>
                <w:sz w:val="10"/>
                <w:szCs w:val="10"/>
                <w:color w:val="auto"/>
              </w:rPr>
              <w:t xml:space="preserve">Wildcat Buyerco, Inc. (Revolver) </w:t>
            </w:r>
            <w:r>
              <w:rPr>
                <w:rFonts w:ascii="Times New Roman" w:cs="Times New Roman" w:eastAsia="Times New Roman" w:hAnsi="Times New Roman"/>
                <w:sz w:val="12"/>
                <w:szCs w:val="12"/>
                <w:color w:val="auto"/>
                <w:vertAlign w:val="superscript"/>
              </w:rPr>
              <w:t>(9)</w:t>
            </w:r>
          </w:p>
        </w:tc>
        <w:tc>
          <w:tcPr>
            <w:tcW w:w="88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02/27/2026</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1"/>
                <w:szCs w:val="11"/>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534</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32"/>
        </w:trPr>
        <w:tc>
          <w:tcPr>
            <w:tcW w:w="28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8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03/01/2024</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12.67 %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1M SOFR+735</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13,249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13,206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12,818</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shd w:val="clear" w:color="auto" w:fill="CCECFF"/>
          </w:tcPr>
          <w:p>
            <w:pPr>
              <w:spacing w:after="0"/>
              <w:rPr>
                <w:sz w:val="12"/>
                <w:szCs w:val="12"/>
                <w:color w:val="auto"/>
              </w:rPr>
            </w:pPr>
          </w:p>
        </w:tc>
        <w:tc>
          <w:tcPr>
            <w:tcW w:w="21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683,940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665,725</w:t>
            </w:r>
          </w:p>
        </w:tc>
        <w:tc>
          <w:tcPr>
            <w:tcW w:w="0" w:type="dxa"/>
            <w:vAlign w:val="bottom"/>
          </w:tcPr>
          <w:p>
            <w:pPr>
              <w:spacing w:after="0"/>
              <w:rPr>
                <w:sz w:val="1"/>
                <w:szCs w:val="1"/>
                <w:color w:val="auto"/>
              </w:rPr>
            </w:pPr>
          </w:p>
        </w:tc>
      </w:tr>
      <w:tr>
        <w:trPr>
          <w:trHeight w:val="136"/>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Second Lien Secured Debt—0.0%</w:t>
            </w:r>
          </w:p>
        </w:tc>
        <w:tc>
          <w:tcPr>
            <w:tcW w:w="8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vMerge w:val="restart"/>
          </w:tcPr>
          <w:p>
            <w:pPr>
              <w:jc w:val="right"/>
              <w:ind w:right="30"/>
              <w:spacing w:after="0"/>
              <w:rPr>
                <w:sz w:val="20"/>
                <w:szCs w:val="20"/>
                <w:color w:val="auto"/>
              </w:rPr>
            </w:pPr>
            <w:r>
              <w:rPr>
                <w:rFonts w:ascii="Times New Roman" w:cs="Times New Roman" w:eastAsia="Times New Roman" w:hAnsi="Times New Roman"/>
                <w:sz w:val="6"/>
                <w:szCs w:val="6"/>
                <w:color w:val="auto"/>
                <w:w w:val="85"/>
              </w:rPr>
              <w:t>(6)</w:t>
            </w: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 xml:space="preserve">Mailsouth Inc. </w:t>
            </w:r>
            <w:r>
              <w:rPr>
                <w:rFonts w:ascii="Times New Roman" w:cs="Times New Roman" w:eastAsia="Times New Roman" w:hAnsi="Times New Roman"/>
                <w:sz w:val="12"/>
                <w:szCs w:val="12"/>
                <w:color w:val="auto"/>
                <w:vertAlign w:val="superscript"/>
              </w:rPr>
              <w:t>(7)</w:t>
            </w:r>
          </w:p>
        </w:tc>
        <w:tc>
          <w:tcPr>
            <w:tcW w:w="88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6"/>
              </w:rPr>
              <w:t>04/23/2025</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and Publishing</w:t>
            </w:r>
          </w:p>
        </w:tc>
        <w:tc>
          <w:tcPr>
            <w:tcW w:w="8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vMerge w:val="continue"/>
          </w:tcPr>
          <w:p>
            <w:pPr>
              <w:spacing w:after="0"/>
              <w:rPr>
                <w:sz w:val="5"/>
                <w:szCs w:val="5"/>
                <w:color w:val="auto"/>
              </w:rPr>
            </w:pPr>
          </w:p>
        </w:tc>
        <w:tc>
          <w:tcPr>
            <w:tcW w:w="9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1,161</w:t>
            </w:r>
          </w:p>
        </w:tc>
        <w:tc>
          <w:tcPr>
            <w:tcW w:w="260" w:type="dxa"/>
            <w:vAlign w:val="bottom"/>
          </w:tcPr>
          <w:p>
            <w:pPr>
              <w:spacing w:after="0"/>
              <w:rPr>
                <w:sz w:val="5"/>
                <w:szCs w:val="5"/>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965</w:t>
            </w:r>
          </w:p>
        </w:tc>
        <w:tc>
          <w:tcPr>
            <w:tcW w:w="180" w:type="dxa"/>
            <w:vAlign w:val="bottom"/>
          </w:tcPr>
          <w:p>
            <w:pPr>
              <w:spacing w:after="0"/>
              <w:rPr>
                <w:sz w:val="5"/>
                <w:szCs w:val="5"/>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28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10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QuantiTech LLC</w:t>
            </w:r>
          </w:p>
        </w:tc>
        <w:tc>
          <w:tcPr>
            <w:tcW w:w="8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02/04/2027</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15.50 %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SOFR+1,010</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Second Lien Secured Debt</w:t>
            </w:r>
          </w:p>
        </w:tc>
        <w:tc>
          <w:tcPr>
            <w:tcW w:w="880" w:type="dxa"/>
            <w:vAlign w:val="bottom"/>
            <w:shd w:val="clear" w:color="auto" w:fill="CCECFF"/>
          </w:tcPr>
          <w:p>
            <w:pPr>
              <w:spacing w:after="0"/>
              <w:rPr>
                <w:sz w:val="12"/>
                <w:szCs w:val="12"/>
                <w:color w:val="auto"/>
              </w:rPr>
            </w:pPr>
          </w:p>
        </w:tc>
        <w:tc>
          <w:tcPr>
            <w:tcW w:w="21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Preferred Equity— 1.8% </w:t>
            </w:r>
            <w:r>
              <w:rPr>
                <w:rFonts w:ascii="Times New Roman" w:cs="Times New Roman" w:eastAsia="Times New Roman" w:hAnsi="Times New Roman"/>
                <w:sz w:val="12"/>
                <w:szCs w:val="12"/>
                <w:b w:val="1"/>
                <w:bCs w:val="1"/>
                <w:color w:val="auto"/>
                <w:vertAlign w:val="superscript"/>
              </w:rPr>
              <w:t>(6)</w:t>
            </w: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6,720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757</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2,018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1,633</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Cartessa Aesthetics, LLC (Preferred) </w:t>
            </w:r>
            <w:r>
              <w:rPr>
                <w:rFonts w:ascii="Times New Roman" w:cs="Times New Roman" w:eastAsia="Times New Roman" w:hAnsi="Times New Roman"/>
                <w:sz w:val="12"/>
                <w:szCs w:val="12"/>
                <w:color w:val="auto"/>
                <w:vertAlign w:val="superscript"/>
              </w:rPr>
              <w:t>(8)</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1,437,500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2,007</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Lash Coinvest LLC (Preferred)</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108,546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1,319</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Gauge Schlesinger Coinvest LLC (Preferred Equity)</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Topco, LP</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8.00 %</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1,236,027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Preferred Equity </w:t>
            </w:r>
            <w:r>
              <w:rPr>
                <w:rFonts w:ascii="Times New Roman" w:cs="Times New Roman" w:eastAsia="Times New Roman" w:hAnsi="Times New Roman"/>
                <w:sz w:val="12"/>
                <w:szCs w:val="12"/>
                <w:color w:val="auto"/>
                <w:vertAlign w:val="superscript"/>
              </w:rPr>
              <w:t>(8)</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Preferred Equity </w:t>
            </w:r>
            <w:r>
              <w:rPr>
                <w:rFonts w:ascii="Times New Roman" w:cs="Times New Roman" w:eastAsia="Times New Roman" w:hAnsi="Times New Roman"/>
                <w:sz w:val="12"/>
                <w:szCs w:val="12"/>
                <w:color w:val="auto"/>
                <w:vertAlign w:val="superscript"/>
              </w:rPr>
              <w:t>(8)</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Mars Intermediate Holdings II, Inc.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835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1,112</w:t>
            </w:r>
          </w:p>
        </w:tc>
        <w:tc>
          <w:tcPr>
            <w:tcW w:w="0" w:type="dxa"/>
            <w:vAlign w:val="bottom"/>
          </w:tcPr>
          <w:p>
            <w:pPr>
              <w:spacing w:after="0"/>
              <w:rPr>
                <w:sz w:val="1"/>
                <w:szCs w:val="1"/>
                <w:color w:val="auto"/>
              </w:rPr>
            </w:pPr>
          </w:p>
        </w:tc>
      </w:tr>
      <w:tr>
        <w:trPr>
          <w:trHeight w:val="144"/>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733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w:t>
            </w:r>
          </w:p>
        </w:tc>
        <w:tc>
          <w:tcPr>
            <w:tcW w:w="0" w:type="dxa"/>
            <w:vAlign w:val="bottom"/>
          </w:tcPr>
          <w:p>
            <w:pPr>
              <w:spacing w:after="0"/>
              <w:rPr>
                <w:sz w:val="1"/>
                <w:szCs w:val="1"/>
                <w:color w:val="auto"/>
              </w:rPr>
            </w:pPr>
          </w:p>
        </w:tc>
      </w:tr>
      <w:tr>
        <w:trPr>
          <w:trHeight w:val="144"/>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8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 (Preferred Equity)</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Signature CR Intermediate Holdco, Inc. </w:t>
            </w:r>
            <w:r>
              <w:rPr>
                <w:rFonts w:ascii="Times New Roman" w:cs="Times New Roman" w:eastAsia="Times New Roman" w:hAnsi="Times New Roman"/>
                <w:sz w:val="12"/>
                <w:szCs w:val="12"/>
                <w:color w:val="auto"/>
                <w:vertAlign w:val="superscript"/>
              </w:rPr>
              <w:t>(7)</w:t>
            </w:r>
          </w:p>
        </w:tc>
        <w:tc>
          <w:tcPr>
            <w:tcW w:w="880" w:type="dxa"/>
            <w:vAlign w:val="bottom"/>
            <w:shd w:val="clear" w:color="auto" w:fill="CCECFF"/>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12.00 %</w:t>
            </w:r>
          </w:p>
        </w:tc>
        <w:tc>
          <w:tcPr>
            <w:tcW w:w="14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1,323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2,158</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(5), (7), (8), (10)</w:t>
            </w:r>
          </w:p>
        </w:tc>
        <w:tc>
          <w:tcPr>
            <w:tcW w:w="880" w:type="dxa"/>
            <w:vAlign w:val="bottom"/>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4"/>
                <w:szCs w:val="14"/>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409</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409</w:t>
            </w:r>
          </w:p>
        </w:tc>
        <w:tc>
          <w:tcPr>
            <w:tcW w:w="1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-1662430</wp:posOffset>
            </wp:positionV>
            <wp:extent cx="6707505"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Par /</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920" w:type="dxa"/>
            <w:vAlign w:val="bottom"/>
          </w:tcPr>
          <w:p>
            <w:pPr>
              <w:ind w:left="24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60" w:type="dxa"/>
            <w:vAlign w:val="bottom"/>
          </w:tcPr>
          <w:p>
            <w:pPr>
              <w:spacing w:after="0"/>
              <w:rPr>
                <w:sz w:val="11"/>
                <w:szCs w:val="11"/>
                <w:color w:val="auto"/>
              </w:rPr>
            </w:pPr>
          </w:p>
        </w:tc>
        <w:tc>
          <w:tcPr>
            <w:tcW w:w="6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w:t>
            </w:r>
          </w:p>
        </w:tc>
        <w:tc>
          <w:tcPr>
            <w:tcW w:w="26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w:t>
            </w:r>
          </w:p>
        </w:tc>
        <w:tc>
          <w:tcPr>
            <w:tcW w:w="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45</w:t>
            </w:r>
          </w:p>
        </w:tc>
      </w:tr>
      <w:tr>
        <w:trPr>
          <w:trHeight w:val="136"/>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UniTek Global Services, Inc. -</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20.00 %</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343,861</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344</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w:t>
            </w:r>
          </w:p>
        </w:tc>
      </w:tr>
      <w:tr>
        <w:trPr>
          <w:trHeight w:val="152"/>
        </w:trPr>
        <w:tc>
          <w:tcPr>
            <w:tcW w:w="27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Super Senior Preferred Equity </w:t>
            </w:r>
            <w:r>
              <w:rPr>
                <w:rFonts w:ascii="Times New Roman" w:cs="Times New Roman" w:eastAsia="Times New Roman" w:hAnsi="Times New Roman"/>
                <w:sz w:val="12"/>
                <w:szCs w:val="12"/>
                <w:color w:val="auto"/>
                <w:vertAlign w:val="superscript"/>
              </w:rPr>
              <w:t>(7)</w:t>
            </w:r>
          </w:p>
        </w:tc>
        <w:tc>
          <w:tcPr>
            <w:tcW w:w="9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UniTek Global Services, Inc. - Senior Preferred Equity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19.00 %</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448,851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UniTek Global Services, Inc.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13.50 %</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1,047,317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Preferred Equity</w:t>
            </w:r>
          </w:p>
        </w:tc>
        <w:tc>
          <w:tcPr>
            <w:tcW w:w="920" w:type="dxa"/>
            <w:vAlign w:val="bottom"/>
            <w:shd w:val="clear" w:color="auto" w:fill="CCECFF"/>
          </w:tcPr>
          <w:p>
            <w:pPr>
              <w:spacing w:after="0"/>
              <w:rPr>
                <w:sz w:val="12"/>
                <w:szCs w:val="12"/>
                <w:color w:val="auto"/>
              </w:rPr>
            </w:pPr>
          </w:p>
        </w:tc>
        <w:tc>
          <w:tcPr>
            <w:tcW w:w="21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11,028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11,571</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Common Equity/Warrants— 14.5% </w:t>
            </w:r>
            <w:r>
              <w:rPr>
                <w:rFonts w:ascii="Times New Roman" w:cs="Times New Roman" w:eastAsia="Times New Roman" w:hAnsi="Times New Roman"/>
                <w:sz w:val="12"/>
                <w:szCs w:val="12"/>
                <w:b w:val="1"/>
                <w:bCs w:val="1"/>
                <w:color w:val="auto"/>
                <w:vertAlign w:val="superscript"/>
              </w:rPr>
              <w:t>(6)</w:t>
            </w:r>
          </w:p>
        </w:tc>
        <w:tc>
          <w:tcPr>
            <w:tcW w:w="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Equity, LLC</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647,943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691</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Ad.net Holdings, Inc.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7,467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Affinion Group Holdings, Inc. (Warrants)</w:t>
            </w:r>
          </w:p>
        </w:tc>
        <w:tc>
          <w:tcPr>
            <w:tcW w:w="92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0"/>
                <w:szCs w:val="10"/>
                <w:color w:val="auto"/>
              </w:rPr>
              <w:t>04/10/2024</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8,893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805,164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AG Investco LP </w:t>
            </w:r>
            <w:r>
              <w:rPr>
                <w:rFonts w:ascii="Times New Roman" w:cs="Times New Roman" w:eastAsia="Times New Roman" w:hAnsi="Times New Roman"/>
                <w:sz w:val="12"/>
                <w:szCs w:val="12"/>
                <w:color w:val="auto"/>
                <w:vertAlign w:val="superscript"/>
              </w:rPr>
              <w:t>(7), (8), (9)</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194,836</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Altamira Intermediate Company II, Inc.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1,437,500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1,456</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Anteriad Holdings, LP (f/k/a MeritDirect Holdings, LP)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2,018</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Athletico Holdings, LLC </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4,516</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BioDerm Holdings,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1,313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1,514</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Holdings,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Auto Components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By Light Investco LP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22,789</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11,610</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Connatix Parent, LLC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38,278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Crane 1 Acquisition Parent Holdings, L.P.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199</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760,273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1,358</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Delta InvestCo LP (Sigma Defense Systems, LLC) </w:t>
            </w:r>
            <w:r>
              <w:rPr>
                <w:rFonts w:ascii="Times New Roman" w:cs="Times New Roman" w:eastAsia="Times New Roman" w:hAnsi="Times New Roman"/>
                <w:sz w:val="12"/>
                <w:szCs w:val="12"/>
                <w:color w:val="auto"/>
                <w:vertAlign w:val="superscript"/>
              </w:rPr>
              <w:t>(7), (8),(9)</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244,597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eCommission Holding Corporation </w:t>
            </w:r>
            <w:r>
              <w:rPr>
                <w:rFonts w:ascii="Times New Roman" w:cs="Times New Roman" w:eastAsia="Times New Roman" w:hAnsi="Times New Roman"/>
                <w:sz w:val="12"/>
                <w:szCs w:val="12"/>
                <w:color w:val="auto"/>
                <w:vertAlign w:val="superscript"/>
              </w:rPr>
              <w:t>(7), (10)</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Banking, Finance, Insurance &amp; Real Estate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251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463</w:t>
            </w:r>
          </w:p>
        </w:tc>
      </w:tr>
      <w:tr>
        <w:trPr>
          <w:trHeight w:val="133"/>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Topco,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1,125,000</w:t>
            </w: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1,062</w:t>
            </w:r>
          </w:p>
        </w:tc>
      </w:tr>
      <w:tr>
        <w:trPr>
          <w:trHeight w:val="132"/>
        </w:trPr>
        <w:tc>
          <w:tcPr>
            <w:tcW w:w="27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0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LLC</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541,667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612</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21,665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3,062</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FedHC InvestCo LP </w:t>
            </w:r>
            <w:r>
              <w:rPr>
                <w:rFonts w:ascii="Times New Roman" w:cs="Times New Roman" w:eastAsia="Times New Roman" w:hAnsi="Times New Roman"/>
                <w:sz w:val="12"/>
                <w:szCs w:val="12"/>
                <w:color w:val="auto"/>
                <w:vertAlign w:val="superscript"/>
              </w:rPr>
              <w:t>(7),(8),(9)</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7,566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Five Star Parent Holdings, LLC</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655,714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800</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ETE Blocker, LLC</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374,444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371</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Gauge Lash Coinvest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1,485,953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6,810</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Gauge Loving Tan,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2,481,781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2,088</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Gauge Schlesinger Coinvest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344</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Gauge TVC Coinvest, LLC (TVC Enterprises, LLC)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391,144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1,153</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GCOM InvestCo LP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19,184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3,342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3,165</w:t>
            </w:r>
          </w:p>
        </w:tc>
      </w:tr>
      <w:tr>
        <w:trPr>
          <w:trHeight w:val="136"/>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Go Dawgs Capital III,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Building Products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324,675</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325</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711</w:t>
            </w:r>
          </w:p>
        </w:tc>
      </w:tr>
      <w:tr>
        <w:trPr>
          <w:trHeight w:val="152"/>
        </w:trPr>
        <w:tc>
          <w:tcPr>
            <w:tcW w:w="27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(American Insulated Glass, LLC) </w:t>
            </w:r>
            <w:r>
              <w:rPr>
                <w:rFonts w:ascii="Times New Roman" w:cs="Times New Roman" w:eastAsia="Times New Roman" w:hAnsi="Times New Roman"/>
                <w:sz w:val="12"/>
                <w:szCs w:val="12"/>
                <w:color w:val="auto"/>
                <w:vertAlign w:val="superscript"/>
              </w:rPr>
              <w:t>(7), (8)</w:t>
            </w:r>
          </w:p>
        </w:tc>
        <w:tc>
          <w:tcPr>
            <w:tcW w:w="9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Hancock Claims Consultants Investors, LLC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450,000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HPA SPQ Aggregator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750,399</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751</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HV Watterson Holdings, LLC</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100,000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Icon Partners V C,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1,863,863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1,864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1,671</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Icon Partners V C, L.P. </w:t>
            </w:r>
            <w:r>
              <w:rPr>
                <w:rFonts w:ascii="Times New Roman" w:cs="Times New Roman" w:eastAsia="Times New Roman" w:hAnsi="Times New Roman"/>
                <w:sz w:val="12"/>
                <w:szCs w:val="12"/>
                <w:color w:val="auto"/>
                <w:vertAlign w:val="superscript"/>
              </w:rPr>
              <w:t>(7), (9)</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636,137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(66 )</w:t>
            </w:r>
          </w:p>
        </w:tc>
      </w:tr>
      <w:tr>
        <w:trPr>
          <w:trHeight w:val="136"/>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IIN Group Holdings, LLC</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1,000</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52"/>
        </w:trPr>
        <w:tc>
          <w:tcPr>
            <w:tcW w:w="27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(Integrative Nutrition, LLC) </w:t>
            </w:r>
            <w:r>
              <w:rPr>
                <w:rFonts w:ascii="Times New Roman" w:cs="Times New Roman" w:eastAsia="Times New Roman" w:hAnsi="Times New Roman"/>
                <w:sz w:val="12"/>
                <w:szCs w:val="12"/>
                <w:color w:val="auto"/>
                <w:vertAlign w:val="superscript"/>
              </w:rPr>
              <w:t>(7), (8)</w:t>
            </w:r>
          </w:p>
        </w:tc>
        <w:tc>
          <w:tcPr>
            <w:tcW w:w="9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Imagine Topco, LP (Common)</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1,236,027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IHS Parent Holdngs,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1,218,045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1,642</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Ironclad Holdco, LLC (Applied Technical Services, LLC)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5,811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844</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ITC Infusion Co-invest, LP </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116,032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1,268</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ITC Rumba, LLC (Cano Health, LLC) </w:t>
            </w:r>
            <w:r>
              <w:rPr>
                <w:rFonts w:ascii="Times New Roman" w:cs="Times New Roman" w:eastAsia="Times New Roman" w:hAnsi="Times New Roman"/>
                <w:sz w:val="12"/>
                <w:szCs w:val="12"/>
                <w:color w:val="auto"/>
                <w:vertAlign w:val="superscript"/>
              </w:rPr>
              <w:t>(7),(8)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46,763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144</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Kentucky Racing Holdco, LLC </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Hotels, Restaurants and Leisure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87,345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1,734,775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1,735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2,508</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KL Stockton Co-Invest LP (Any Hour Services) </w:t>
            </w:r>
            <w:r>
              <w:rPr>
                <w:rFonts w:ascii="Times New Roman" w:cs="Times New Roman" w:eastAsia="Times New Roman" w:hAnsi="Times New Roman"/>
                <w:sz w:val="12"/>
                <w:szCs w:val="12"/>
                <w:color w:val="auto"/>
                <w:vertAlign w:val="superscript"/>
              </w:rPr>
              <w:t>(7),(8)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Energy Equipment and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382,353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775</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Lightspeed Investment Holdco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585,587</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1,588</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LJ Avalon,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1,638,043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1,638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1,736</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A Common Equity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5,144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Magnolia Topco LP - Class B Common Equity </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28,231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Mars Intermediate Holdings II, Inc.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835</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468</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Aggregator, LP</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Commodity Chemicals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10,761</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1,155</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Meadowlark Title, LLC </w:t>
            </w:r>
            <w:r>
              <w:rPr>
                <w:rFonts w:ascii="Times New Roman" w:cs="Times New Roman" w:eastAsia="Times New Roman" w:hAnsi="Times New Roman"/>
                <w:sz w:val="12"/>
                <w:szCs w:val="12"/>
                <w:color w:val="auto"/>
                <w:vertAlign w:val="superscript"/>
              </w:rPr>
              <w:t>(8)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819,231</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MSpark, LLC</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and Publishing</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3,988</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Municipal Emergency Services, Inc.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1,973,370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2,230</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NEPRT Parent Holdings, LLC (Recteq, LLC) </w:t>
            </w:r>
            <w:r>
              <w:rPr>
                <w:rFonts w:ascii="Times New Roman" w:cs="Times New Roman" w:eastAsia="Times New Roman" w:hAnsi="Times New Roman"/>
                <w:sz w:val="12"/>
                <w:szCs w:val="12"/>
                <w:color w:val="auto"/>
                <w:vertAlign w:val="superscript"/>
              </w:rPr>
              <w:t>(7), (8)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1,494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NORA Parent Holdings, LLC</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2,544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2,544</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North Haven Saints Equity Holdings, LP </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223,602</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223</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NXOF Holdings, Inc. (Tyto Athene,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14,960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OceanSound Discovery Equity, LP (Holdco Sands Intermediate,</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173,638</w:t>
            </w:r>
          </w:p>
        </w:tc>
        <w:tc>
          <w:tcPr>
            <w:tcW w:w="26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1,614</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3,768</w:t>
            </w:r>
          </w:p>
        </w:tc>
      </w:tr>
      <w:tr>
        <w:trPr>
          <w:trHeight w:val="132"/>
        </w:trPr>
        <w:tc>
          <w:tcPr>
            <w:tcW w:w="2760" w:type="dxa"/>
            <w:vAlign w:val="bottom"/>
          </w:tcPr>
          <w:p>
            <w:pPr>
              <w:ind w:left="20"/>
              <w:spacing w:after="0" w:line="132" w:lineRule="exact"/>
              <w:rPr>
                <w:sz w:val="20"/>
                <w:szCs w:val="20"/>
                <w:color w:val="auto"/>
              </w:rPr>
            </w:pPr>
            <w:r>
              <w:rPr>
                <w:rFonts w:ascii="Times New Roman" w:cs="Times New Roman" w:eastAsia="Times New Roman" w:hAnsi="Times New Roman"/>
                <w:sz w:val="15"/>
                <w:szCs w:val="15"/>
                <w:color w:val="auto"/>
                <w:vertAlign w:val="subscript"/>
              </w:rPr>
              <w:t>LLC)</w:t>
            </w:r>
            <w:r>
              <w:rPr>
                <w:rFonts w:ascii="Times New Roman" w:cs="Times New Roman" w:eastAsia="Times New Roman" w:hAnsi="Times New Roman"/>
                <w:sz w:val="5"/>
                <w:szCs w:val="5"/>
                <w:color w:val="auto"/>
              </w:rPr>
              <w:t xml:space="preserve"> (7), (8)</w:t>
            </w:r>
          </w:p>
        </w:tc>
        <w:tc>
          <w:tcPr>
            <w:tcW w:w="9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OHCP V BC COI,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743,750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744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650</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OHCP V BC COI, L.P. </w:t>
            </w:r>
            <w:r>
              <w:rPr>
                <w:rFonts w:ascii="Times New Roman" w:cs="Times New Roman" w:eastAsia="Times New Roman" w:hAnsi="Times New Roman"/>
                <w:sz w:val="12"/>
                <w:szCs w:val="12"/>
                <w:color w:val="auto"/>
                <w:vertAlign w:val="superscript"/>
              </w:rPr>
              <w:t>(9)</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506,250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(64 )</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ORL Holdco, Inc.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PennantPark-TSO Senior Loan Fund, LP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11,167,847</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9,345</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LEP Pequod Holdings, LP</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1,006</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Pink Lily Holdco, LLC (PL Acquisitions, LLC) </w:t>
            </w:r>
            <w:r>
              <w:rPr>
                <w:rFonts w:ascii="Times New Roman" w:cs="Times New Roman" w:eastAsia="Times New Roman" w:hAnsi="Times New Roman"/>
                <w:sz w:val="12"/>
                <w:szCs w:val="12"/>
                <w:color w:val="auto"/>
                <w:vertAlign w:val="superscript"/>
              </w:rPr>
              <w:t>(8)</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1,735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610,583</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611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238</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Quad (U.S.) Co-Invest, L.P.</w:t>
            </w:r>
          </w:p>
        </w:tc>
        <w:tc>
          <w:tcPr>
            <w:tcW w:w="92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266,864</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312</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712</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446</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LP </w:t>
            </w:r>
            <w:r>
              <w:rPr>
                <w:rFonts w:ascii="Times New Roman" w:cs="Times New Roman" w:eastAsia="Times New Roman" w:hAnsi="Times New Roman"/>
                <w:sz w:val="12"/>
                <w:szCs w:val="12"/>
                <w:color w:val="auto"/>
                <w:vertAlign w:val="superscript"/>
              </w:rPr>
              <w:t>(7), (8), (9)</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955</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QuantiTech InvestCo II LP </w:t>
            </w:r>
            <w:r>
              <w:rPr>
                <w:rFonts w:ascii="Times New Roman" w:cs="Times New Roman" w:eastAsia="Times New Roman" w:hAnsi="Times New Roman"/>
                <w:sz w:val="12"/>
                <w:szCs w:val="12"/>
                <w:color w:val="auto"/>
                <w:vertAlign w:val="superscript"/>
              </w:rPr>
              <w:t>(7), (8),</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w:t>
            </w:r>
          </w:p>
        </w:tc>
      </w:tr>
      <w:tr>
        <w:trPr>
          <w:trHeight w:val="144"/>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RFMG Parent, LP (Rancho Health MSO, Inc.) </w:t>
            </w:r>
            <w:r>
              <w:rPr>
                <w:rFonts w:ascii="Times New Roman" w:cs="Times New Roman" w:eastAsia="Times New Roman" w:hAnsi="Times New Roman"/>
                <w:sz w:val="12"/>
                <w:szCs w:val="12"/>
                <w:color w:val="auto"/>
                <w:vertAlign w:val="superscript"/>
              </w:rPr>
              <w:t>(7)</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Equipment and Supplies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1,050,000</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1,052</w:t>
            </w:r>
          </w:p>
        </w:tc>
      </w:tr>
      <w:tr>
        <w:trPr>
          <w:trHeight w:val="144"/>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SBI Holdings Investments LLC (Sales Benchmark Index LLC)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64,634</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515</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Seaway Topco, LP</w:t>
            </w:r>
          </w:p>
        </w:tc>
        <w:tc>
          <w:tcPr>
            <w:tcW w:w="92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296</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235</w:t>
            </w:r>
          </w:p>
        </w:tc>
      </w:tr>
      <w:tr>
        <w:trPr>
          <w:trHeight w:val="148"/>
        </w:trPr>
        <w:tc>
          <w:tcPr>
            <w:tcW w:w="27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Signature CR Intermediate Holdco, Inc. </w:t>
            </w:r>
            <w:r>
              <w:rPr>
                <w:rFonts w:ascii="Times New Roman" w:cs="Times New Roman" w:eastAsia="Times New Roman" w:hAnsi="Times New Roman"/>
                <w:sz w:val="12"/>
                <w:szCs w:val="12"/>
                <w:color w:val="auto"/>
                <w:vertAlign w:val="superscript"/>
              </w:rPr>
              <w:t>(7)</w:t>
            </w:r>
          </w:p>
        </w:tc>
        <w:tc>
          <w:tcPr>
            <w:tcW w:w="92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70</w:t>
            </w: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1,784</w:t>
            </w:r>
          </w:p>
        </w:tc>
      </w:tr>
      <w:tr>
        <w:trPr>
          <w:trHeight w:val="140"/>
        </w:trPr>
        <w:tc>
          <w:tcPr>
            <w:tcW w:w="27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 L2 Holdings, LLC (Ledge Lounger, Inc.)</w:t>
            </w:r>
          </w:p>
        </w:tc>
        <w:tc>
          <w:tcPr>
            <w:tcW w:w="92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ind w:left="6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360,103</w:t>
            </w:r>
          </w:p>
        </w:tc>
        <w:tc>
          <w:tcPr>
            <w:tcW w:w="260" w:type="dxa"/>
            <w:vAlign w:val="bottom"/>
          </w:tcPr>
          <w:p>
            <w:pPr>
              <w:spacing w:after="0"/>
              <w:rPr>
                <w:sz w:val="12"/>
                <w:szCs w:val="12"/>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247</w:t>
            </w:r>
          </w:p>
        </w:tc>
      </w:tr>
      <w:tr>
        <w:trPr>
          <w:trHeight w:val="148"/>
        </w:trPr>
        <w:tc>
          <w:tcPr>
            <w:tcW w:w="27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1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bl>
    <w:p>
      <w:pPr>
        <w:spacing w:after="0" w:line="36" w:lineRule="exact"/>
        <w:rPr>
          <w:sz w:val="20"/>
          <w:szCs w:val="20"/>
          <w:color w:val="auto"/>
        </w:rPr>
      </w:pPr>
    </w:p>
    <w:p>
      <w:pPr>
        <w:sectPr>
          <w:pgSz w:w="11900" w:h="16840" w:orient="portrait"/>
          <w:cols w:equalWidth="0" w:num="1">
            <w:col w:w="10560"/>
          </w:cols>
          <w:pgMar w:left="660" w:top="1132" w:right="680" w:bottom="1440" w:gutter="0" w:footer="0" w:header="0"/>
        </w:sect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SCHEDULE OF INVESTMENTS - (Continued)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SEPTEMBER 30, 2023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Spread</w:t>
            </w: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5"/>
              </w:rPr>
              <w:t>Above</w:t>
            </w: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 /</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6"/>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Maturity</w:t>
            </w:r>
          </w:p>
        </w:tc>
        <w:tc>
          <w:tcPr>
            <w:tcW w:w="32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2"/>
                <w:szCs w:val="12"/>
                <w:color w:val="auto"/>
              </w:rPr>
            </w:pPr>
          </w:p>
        </w:tc>
        <w:tc>
          <w:tcPr>
            <w:tcW w:w="5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3"/>
              </w:rPr>
              <w:t xml:space="preserve">Fair Value </w:t>
            </w:r>
            <w:r>
              <w:rPr>
                <w:rFonts w:ascii="Times New Roman" w:cs="Times New Roman" w:eastAsia="Times New Roman" w:hAnsi="Times New Roman"/>
                <w:sz w:val="12"/>
                <w:szCs w:val="12"/>
                <w:b w:val="1"/>
                <w:bCs w:val="1"/>
                <w:color w:val="auto"/>
                <w:w w:val="93"/>
                <w:vertAlign w:val="superscript"/>
              </w:rPr>
              <w:t>(2)</w:t>
            </w:r>
          </w:p>
        </w:tc>
      </w:tr>
      <w:tr>
        <w:trPr>
          <w:trHeight w:val="12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SSC Dominion Holdings, LLC</w:t>
            </w:r>
          </w:p>
        </w:tc>
        <w:tc>
          <w:tcPr>
            <w:tcW w:w="460" w:type="dxa"/>
            <w:vAlign w:val="bottom"/>
          </w:tcPr>
          <w:p>
            <w:pPr>
              <w:spacing w:after="0"/>
              <w:rPr>
                <w:sz w:val="10"/>
                <w:szCs w:val="1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1,098</w:t>
            </w:r>
          </w:p>
        </w:tc>
        <w:tc>
          <w:tcPr>
            <w:tcW w:w="80" w:type="dxa"/>
            <w:vAlign w:val="bottom"/>
          </w:tcPr>
          <w:p>
            <w:pPr>
              <w:spacing w:after="0"/>
              <w:rPr>
                <w:sz w:val="10"/>
                <w:szCs w:val="10"/>
                <w:color w:val="auto"/>
              </w:rPr>
            </w:pPr>
          </w:p>
        </w:tc>
      </w:tr>
      <w:tr>
        <w:trPr>
          <w:trHeight w:val="152"/>
        </w:trPr>
        <w:tc>
          <w:tcPr>
            <w:tcW w:w="2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 xml:space="preserve">Class B (US Dominion, Inc.) </w:t>
            </w:r>
            <w:r>
              <w:rPr>
                <w:rFonts w:ascii="Times New Roman" w:cs="Times New Roman" w:eastAsia="Times New Roman" w:hAnsi="Times New Roman"/>
                <w:sz w:val="12"/>
                <w:szCs w:val="12"/>
                <w:color w:val="auto"/>
                <w:vertAlign w:val="superscript"/>
              </w:rPr>
              <w:t>(7)</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StellPen Holdings, LLC (CF512, Inc.)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161,538</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80" w:type="dxa"/>
            <w:vAlign w:val="bottom"/>
            <w:shd w:val="clear" w:color="auto" w:fill="CCECFF"/>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TAC LifePort Holdings, LLC </w:t>
            </w:r>
            <w:r>
              <w:rPr>
                <w:rFonts w:ascii="Times New Roman" w:cs="Times New Roman" w:eastAsia="Times New Roman" w:hAnsi="Times New Roman"/>
                <w:sz w:val="12"/>
                <w:szCs w:val="12"/>
                <w:color w:val="auto"/>
                <w:vertAlign w:val="superscript"/>
              </w:rPr>
              <w:t>(7),(8)</w:t>
            </w:r>
          </w:p>
        </w:tc>
        <w:tc>
          <w:tcPr>
            <w:tcW w:w="46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533,833</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80" w:type="dxa"/>
            <w:vAlign w:val="bottom"/>
          </w:tcPr>
          <w:p>
            <w:pPr>
              <w:spacing w:after="0"/>
              <w:rPr>
                <w:sz w:val="12"/>
                <w:szCs w:val="12"/>
                <w:color w:val="auto"/>
              </w:rPr>
            </w:pPr>
          </w:p>
        </w:tc>
      </w:tr>
      <w:tr>
        <w:trPr>
          <w:trHeight w:val="14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Tower Arch Infolinks Media, LP (Infolinks Media Buyco, LLC)</w:t>
            </w:r>
            <w:r>
              <w:rPr>
                <w:rFonts w:ascii="Times New Roman" w:cs="Times New Roman" w:eastAsia="Times New Roman" w:hAnsi="Times New Roman"/>
                <w:sz w:val="12"/>
                <w:szCs w:val="12"/>
                <w:color w:val="auto"/>
                <w:vertAlign w:val="superscript"/>
              </w:rPr>
              <w:t>(8)</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219,056</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388</w:t>
            </w:r>
          </w:p>
        </w:tc>
        <w:tc>
          <w:tcPr>
            <w:tcW w:w="80" w:type="dxa"/>
            <w:vAlign w:val="bottom"/>
            <w:shd w:val="clear" w:color="auto" w:fill="CCECFF"/>
          </w:tcPr>
          <w:p>
            <w:pPr>
              <w:spacing w:after="0"/>
              <w:rPr>
                <w:sz w:val="12"/>
                <w:szCs w:val="12"/>
                <w:color w:val="auto"/>
              </w:rPr>
            </w:pPr>
          </w:p>
        </w:tc>
      </w:tr>
      <w:tr>
        <w:trPr>
          <w:trHeight w:val="175"/>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Tower Arch Infolinks Media, LP (Infolinks Media Buyco, LLC)</w:t>
            </w:r>
            <w:r>
              <w:rPr>
                <w:rFonts w:ascii="Times New Roman" w:cs="Times New Roman" w:eastAsia="Times New Roman" w:hAnsi="Times New Roman"/>
                <w:sz w:val="12"/>
                <w:szCs w:val="12"/>
                <w:color w:val="auto"/>
                <w:vertAlign w:val="superscript"/>
              </w:rPr>
              <w:t>(8) (9)</w:t>
            </w:r>
          </w:p>
        </w:tc>
        <w:tc>
          <w:tcPr>
            <w:tcW w:w="46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146,550</w:t>
            </w:r>
          </w:p>
        </w:tc>
        <w:tc>
          <w:tcPr>
            <w:tcW w:w="1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9"/>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TPC Holding Company, LP </w:t>
            </w:r>
            <w:r>
              <w:rPr>
                <w:rFonts w:ascii="Times New Roman" w:cs="Times New Roman" w:eastAsia="Times New Roman" w:hAnsi="Times New Roman"/>
                <w:sz w:val="12"/>
                <w:szCs w:val="12"/>
                <w:color w:val="auto"/>
                <w:vertAlign w:val="superscript"/>
              </w:rPr>
              <w:t>(5), (7), (8), (10)</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Food Products</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21,527</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80" w:type="dxa"/>
            <w:vAlign w:val="bottom"/>
            <w:shd w:val="clear" w:color="auto" w:fill="CCECFF"/>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TWD Parent Holdings, LLC (The Vertex Companies, LLC) </w:t>
            </w:r>
            <w:r>
              <w:rPr>
                <w:rFonts w:ascii="Times New Roman" w:cs="Times New Roman" w:eastAsia="Times New Roman" w:hAnsi="Times New Roman"/>
                <w:sz w:val="12"/>
                <w:szCs w:val="12"/>
                <w:color w:val="auto"/>
                <w:vertAlign w:val="superscript"/>
              </w:rPr>
              <w:t>(7)</w:t>
            </w:r>
          </w:p>
        </w:tc>
        <w:tc>
          <w:tcPr>
            <w:tcW w:w="46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Construction &amp; Engineering</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749</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r>
      <w:tr>
        <w:trPr>
          <w:trHeight w:val="14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UniTek Global Services, Inc.(C)</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213,739</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UniTek Global Services, Inc. (W)</w:t>
            </w:r>
          </w:p>
        </w:tc>
        <w:tc>
          <w:tcPr>
            <w:tcW w:w="46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Telecommunications</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23,889</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UniVista Insurance </w:t>
            </w:r>
            <w:r>
              <w:rPr>
                <w:rFonts w:ascii="Times New Roman" w:cs="Times New Roman" w:eastAsia="Times New Roman" w:hAnsi="Times New Roman"/>
                <w:sz w:val="12"/>
                <w:szCs w:val="12"/>
                <w:color w:val="auto"/>
                <w:vertAlign w:val="superscript"/>
              </w:rPr>
              <w:t>(7),(8)</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400</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80" w:type="dxa"/>
            <w:vAlign w:val="bottom"/>
            <w:shd w:val="clear" w:color="auto" w:fill="CCECFF"/>
          </w:tcPr>
          <w:p>
            <w:pPr>
              <w:spacing w:after="0"/>
              <w:rPr>
                <w:sz w:val="12"/>
                <w:szCs w:val="12"/>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Partners Co., L.P.</w:t>
            </w:r>
          </w:p>
        </w:tc>
        <w:tc>
          <w:tcPr>
            <w:tcW w:w="46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694,444</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653</w:t>
            </w:r>
          </w:p>
        </w:tc>
        <w:tc>
          <w:tcPr>
            <w:tcW w:w="80" w:type="dxa"/>
            <w:vAlign w:val="bottom"/>
          </w:tcPr>
          <w:p>
            <w:pPr>
              <w:spacing w:after="0"/>
              <w:rPr>
                <w:sz w:val="12"/>
                <w:szCs w:val="12"/>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Holdco LLC</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36,458</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80" w:type="dxa"/>
            <w:vAlign w:val="bottom"/>
            <w:shd w:val="clear" w:color="auto" w:fill="CCECFF"/>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WCP IvyRehab QP CF Feeder, LP</w:t>
            </w:r>
            <w:r>
              <w:rPr>
                <w:rFonts w:ascii="Times New Roman" w:cs="Times New Roman" w:eastAsia="Times New Roman" w:hAnsi="Times New Roman"/>
                <w:sz w:val="12"/>
                <w:szCs w:val="12"/>
                <w:color w:val="auto"/>
                <w:vertAlign w:val="superscript"/>
              </w:rPr>
              <w:t>(8)</w:t>
            </w:r>
          </w:p>
        </w:tc>
        <w:tc>
          <w:tcPr>
            <w:tcW w:w="46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3,715,012</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4,319</w:t>
            </w:r>
          </w:p>
        </w:tc>
        <w:tc>
          <w:tcPr>
            <w:tcW w:w="80" w:type="dxa"/>
            <w:vAlign w:val="bottom"/>
          </w:tcPr>
          <w:p>
            <w:pPr>
              <w:spacing w:after="0"/>
              <w:rPr>
                <w:sz w:val="12"/>
                <w:szCs w:val="12"/>
                <w:color w:val="auto"/>
              </w:rPr>
            </w:pPr>
          </w:p>
        </w:tc>
      </w:tr>
      <w:tr>
        <w:trPr>
          <w:trHeight w:val="14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WCP IvyRehab QP CF Feeder, LP </w:t>
            </w:r>
            <w:r>
              <w:rPr>
                <w:rFonts w:ascii="Times New Roman" w:cs="Times New Roman" w:eastAsia="Times New Roman" w:hAnsi="Times New Roman"/>
                <w:sz w:val="12"/>
                <w:szCs w:val="12"/>
                <w:color w:val="auto"/>
                <w:vertAlign w:val="superscript"/>
              </w:rPr>
              <w:t>(8), (9)</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284,988</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2960" w:type="dxa"/>
            <w:vAlign w:val="bottom"/>
          </w:tcPr>
          <w:p>
            <w:pPr>
              <w:ind w:left="20"/>
              <w:spacing w:after="0" w:line="133" w:lineRule="exact"/>
              <w:rPr>
                <w:sz w:val="20"/>
                <w:szCs w:val="20"/>
                <w:color w:val="auto"/>
              </w:rPr>
            </w:pPr>
            <w:r>
              <w:rPr>
                <w:rFonts w:ascii="Times New Roman" w:cs="Times New Roman" w:eastAsia="Times New Roman" w:hAnsi="Times New Roman"/>
                <w:sz w:val="10"/>
                <w:szCs w:val="10"/>
                <w:color w:val="auto"/>
              </w:rPr>
              <w:t xml:space="preserve">Wildcat Parent, LP (Wildcat Buyerco, Inc.) </w:t>
            </w:r>
            <w:r>
              <w:rPr>
                <w:rFonts w:ascii="Times New Roman" w:cs="Times New Roman" w:eastAsia="Times New Roman" w:hAnsi="Times New Roman"/>
                <w:sz w:val="12"/>
                <w:szCs w:val="12"/>
                <w:color w:val="auto"/>
                <w:vertAlign w:val="superscript"/>
              </w:rPr>
              <w:t>(7)</w:t>
            </w:r>
          </w:p>
        </w:tc>
        <w:tc>
          <w:tcPr>
            <w:tcW w:w="460" w:type="dxa"/>
            <w:vAlign w:val="bottom"/>
          </w:tcPr>
          <w:p>
            <w:pPr>
              <w:spacing w:after="0"/>
              <w:rPr>
                <w:sz w:val="11"/>
                <w:szCs w:val="1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 and</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2,240</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794</w:t>
            </w:r>
          </w:p>
        </w:tc>
        <w:tc>
          <w:tcPr>
            <w:tcW w:w="80" w:type="dxa"/>
            <w:vAlign w:val="bottom"/>
          </w:tcPr>
          <w:p>
            <w:pPr>
              <w:spacing w:after="0"/>
              <w:rPr>
                <w:sz w:val="11"/>
                <w:szCs w:val="11"/>
                <w:color w:val="auto"/>
              </w:rPr>
            </w:pPr>
          </w:p>
        </w:tc>
      </w:tr>
      <w:tr>
        <w:trPr>
          <w:trHeight w:val="128"/>
        </w:trPr>
        <w:tc>
          <w:tcPr>
            <w:tcW w:w="2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Components</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Common Equity/Warrants</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72,159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94,733</w:t>
            </w:r>
          </w:p>
        </w:tc>
        <w:tc>
          <w:tcPr>
            <w:tcW w:w="80" w:type="dxa"/>
            <w:vAlign w:val="bottom"/>
            <w:shd w:val="clear" w:color="auto" w:fill="CCECFF"/>
          </w:tcPr>
          <w:p>
            <w:pPr>
              <w:spacing w:after="0"/>
              <w:rPr>
                <w:sz w:val="12"/>
                <w:szCs w:val="12"/>
                <w:color w:val="auto"/>
              </w:rPr>
            </w:pPr>
          </w:p>
        </w:tc>
      </w:tr>
      <w:tr>
        <w:trPr>
          <w:trHeight w:val="14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 Companies</w:t>
            </w: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768,240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772,178</w:t>
            </w:r>
          </w:p>
        </w:tc>
        <w:tc>
          <w:tcPr>
            <w:tcW w:w="80" w:type="dxa"/>
            <w:vAlign w:val="bottom"/>
          </w:tcPr>
          <w:p>
            <w:pPr>
              <w:spacing w:after="0"/>
              <w:rPr>
                <w:sz w:val="12"/>
                <w:szCs w:val="12"/>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 xml:space="preserve">Investments in Controlled, Affiliated Portfolio Companies—45.1% </w:t>
            </w:r>
            <w:r>
              <w:rPr>
                <w:rFonts w:ascii="Times New Roman" w:cs="Times New Roman" w:eastAsia="Times New Roman" w:hAnsi="Times New Roman"/>
                <w:sz w:val="12"/>
                <w:szCs w:val="12"/>
                <w:b w:val="1"/>
                <w:bCs w:val="1"/>
                <w:color w:val="auto"/>
                <w:w w:val="94"/>
                <w:vertAlign w:val="superscript"/>
              </w:rPr>
              <w:t>(3), (4)</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Debt—36.8%</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Marketplace Events, LLC - Super Priority First Lien Term Loan </w:t>
            </w:r>
            <w:r>
              <w:rPr>
                <w:rFonts w:ascii="Times New Roman" w:cs="Times New Roman" w:eastAsia="Times New Roman" w:hAnsi="Times New Roman"/>
                <w:sz w:val="12"/>
                <w:szCs w:val="12"/>
                <w:color w:val="auto"/>
                <w:vertAlign w:val="superscript"/>
              </w:rPr>
              <w:t>(7)</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09/30/2025</w:t>
            </w:r>
          </w:p>
        </w:tc>
        <w:tc>
          <w:tcPr>
            <w:tcW w:w="32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3,582</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3,582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3,582</w:t>
            </w:r>
          </w:p>
        </w:tc>
        <w:tc>
          <w:tcPr>
            <w:tcW w:w="80" w:type="dxa"/>
            <w:vAlign w:val="bottom"/>
            <w:shd w:val="clear" w:color="auto" w:fill="CCECFF"/>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Marketplace Events, LLC - Super Priority First Lien </w:t>
            </w:r>
            <w:r>
              <w:rPr>
                <w:rFonts w:ascii="Times New Roman" w:cs="Times New Roman" w:eastAsia="Times New Roman" w:hAnsi="Times New Roman"/>
                <w:sz w:val="12"/>
                <w:szCs w:val="12"/>
                <w:color w:val="auto"/>
                <w:vertAlign w:val="superscript"/>
              </w:rPr>
              <w:t>(7), (9)</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09/30/2025</w:t>
            </w:r>
          </w:p>
        </w:tc>
        <w:tc>
          <w:tcPr>
            <w:tcW w:w="32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3,261</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r>
      <w:tr>
        <w:trPr>
          <w:trHeight w:val="14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09/30/2026</w:t>
            </w:r>
          </w:p>
        </w:tc>
        <w:tc>
          <w:tcPr>
            <w:tcW w:w="320" w:type="dxa"/>
            <w:vAlign w:val="bottom"/>
            <w:shd w:val="clear" w:color="auto" w:fill="CCECFF"/>
          </w:tcPr>
          <w:p>
            <w:pPr>
              <w:spacing w:after="0"/>
              <w:rPr>
                <w:sz w:val="12"/>
                <w:szCs w:val="12"/>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4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10.94 %</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3M SOFR+550</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26,771</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20,931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26,770</w:t>
            </w:r>
          </w:p>
        </w:tc>
        <w:tc>
          <w:tcPr>
            <w:tcW w:w="80" w:type="dxa"/>
            <w:vAlign w:val="bottom"/>
            <w:shd w:val="clear" w:color="auto" w:fill="CCECFF"/>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(9), (10)</w:t>
            </w:r>
          </w:p>
        </w:tc>
        <w:tc>
          <w:tcPr>
            <w:tcW w:w="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05/06/2024</w:t>
            </w:r>
          </w:p>
        </w:tc>
        <w:tc>
          <w:tcPr>
            <w:tcW w:w="320" w:type="dxa"/>
            <w:vAlign w:val="bottom"/>
          </w:tcPr>
          <w:p>
            <w:pPr>
              <w:spacing w:after="0"/>
              <w:rPr>
                <w:sz w:val="12"/>
                <w:szCs w:val="12"/>
                <w:color w:val="auto"/>
              </w:rPr>
            </w:pPr>
          </w:p>
        </w:tc>
        <w:tc>
          <w:tcPr>
            <w:tcW w:w="2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13.33 %</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3M SOFR+800</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210,088</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210,088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210,088</w:t>
            </w:r>
          </w:p>
        </w:tc>
        <w:tc>
          <w:tcPr>
            <w:tcW w:w="80" w:type="dxa"/>
            <w:vAlign w:val="bottom"/>
          </w:tcPr>
          <w:p>
            <w:pPr>
              <w:spacing w:after="0"/>
              <w:rPr>
                <w:sz w:val="12"/>
                <w:szCs w:val="12"/>
                <w:color w:val="auto"/>
              </w:rPr>
            </w:pPr>
          </w:p>
        </w:tc>
      </w:tr>
      <w:tr>
        <w:trPr>
          <w:trHeight w:val="14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234,601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240,440</w:t>
            </w:r>
          </w:p>
        </w:tc>
        <w:tc>
          <w:tcPr>
            <w:tcW w:w="80" w:type="dxa"/>
            <w:vAlign w:val="bottom"/>
            <w:shd w:val="clear" w:color="auto" w:fill="CCECFF"/>
          </w:tcPr>
          <w:p>
            <w:pPr>
              <w:spacing w:after="0"/>
              <w:rPr>
                <w:sz w:val="12"/>
                <w:szCs w:val="12"/>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Interests—8.3%</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New MPE Holdings, LLC (Marketplace Events, LLC) </w:t>
            </w:r>
            <w:r>
              <w:rPr>
                <w:rFonts w:ascii="Times New Roman" w:cs="Times New Roman" w:eastAsia="Times New Roman" w:hAnsi="Times New Roman"/>
                <w:sz w:val="12"/>
                <w:szCs w:val="12"/>
                <w:color w:val="auto"/>
                <w:vertAlign w:val="superscript"/>
              </w:rPr>
              <w:t>(7),(8)</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04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349</w:t>
            </w: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3,675</w:t>
            </w:r>
          </w:p>
        </w:tc>
        <w:tc>
          <w:tcPr>
            <w:tcW w:w="80" w:type="dxa"/>
            <w:vAlign w:val="bottom"/>
            <w:shd w:val="clear" w:color="auto" w:fill="CCECFF"/>
          </w:tcPr>
          <w:p>
            <w:pPr>
              <w:spacing w:after="0"/>
              <w:rPr>
                <w:sz w:val="12"/>
                <w:szCs w:val="12"/>
                <w:color w:val="auto"/>
              </w:rPr>
            </w:pPr>
          </w:p>
        </w:tc>
      </w:tr>
      <w:tr>
        <w:trPr>
          <w:trHeight w:val="144"/>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PennantPark Senior Secured Loan Fund I LLC </w:t>
            </w:r>
            <w:r>
              <w:rPr>
                <w:rFonts w:ascii="Times New Roman" w:cs="Times New Roman" w:eastAsia="Times New Roman" w:hAnsi="Times New Roman"/>
                <w:sz w:val="12"/>
                <w:szCs w:val="12"/>
                <w:color w:val="auto"/>
                <w:vertAlign w:val="superscript"/>
              </w:rPr>
              <w:t>(7), (9), (10)</w:t>
            </w:r>
          </w:p>
        </w:tc>
        <w:tc>
          <w:tcPr>
            <w:tcW w:w="46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20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Financial Services</w:t>
            </w: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90,038</w:t>
            </w: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50,881</w:t>
            </w:r>
          </w:p>
        </w:tc>
        <w:tc>
          <w:tcPr>
            <w:tcW w:w="80" w:type="dxa"/>
            <w:vAlign w:val="bottom"/>
          </w:tcPr>
          <w:p>
            <w:pPr>
              <w:spacing w:after="0"/>
              <w:rPr>
                <w:sz w:val="12"/>
                <w:szCs w:val="12"/>
                <w:color w:val="auto"/>
              </w:rPr>
            </w:pPr>
          </w:p>
        </w:tc>
      </w:tr>
      <w:tr>
        <w:trPr>
          <w:trHeight w:val="144"/>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Interests</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90,038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54,556</w:t>
            </w:r>
          </w:p>
        </w:tc>
        <w:tc>
          <w:tcPr>
            <w:tcW w:w="80" w:type="dxa"/>
            <w:vAlign w:val="bottom"/>
            <w:shd w:val="clear" w:color="auto" w:fill="CCECFF"/>
          </w:tcPr>
          <w:p>
            <w:pPr>
              <w:spacing w:after="0"/>
              <w:rPr>
                <w:sz w:val="12"/>
                <w:szCs w:val="12"/>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in Controlled, Affiliated Portfolio Companies</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324,639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294,996</w:t>
            </w:r>
          </w:p>
        </w:tc>
        <w:tc>
          <w:tcPr>
            <w:tcW w:w="80" w:type="dxa"/>
            <w:vAlign w:val="bottom"/>
          </w:tcPr>
          <w:p>
            <w:pPr>
              <w:spacing w:after="0"/>
              <w:rPr>
                <w:sz w:val="12"/>
                <w:szCs w:val="12"/>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Investments—163.3%</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1,092,878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1,067,174</w:t>
            </w:r>
          </w:p>
        </w:tc>
        <w:tc>
          <w:tcPr>
            <w:tcW w:w="80" w:type="dxa"/>
            <w:vAlign w:val="bottom"/>
            <w:shd w:val="clear" w:color="auto" w:fill="CCECFF"/>
          </w:tcPr>
          <w:p>
            <w:pPr>
              <w:spacing w:after="0"/>
              <w:rPr>
                <w:sz w:val="12"/>
                <w:szCs w:val="12"/>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Equivalents—15.3%</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9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Money Market - BlackRock Federal FD Institutional 30</w:t>
            </w:r>
          </w:p>
        </w:tc>
        <w:tc>
          <w:tcPr>
            <w:tcW w:w="4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100,555</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100,555</w:t>
            </w:r>
          </w:p>
        </w:tc>
        <w:tc>
          <w:tcPr>
            <w:tcW w:w="80" w:type="dxa"/>
            <w:vAlign w:val="bottom"/>
            <w:shd w:val="clear" w:color="auto" w:fill="CCECFF"/>
          </w:tcPr>
          <w:p>
            <w:pPr>
              <w:spacing w:after="0"/>
              <w:rPr>
                <w:sz w:val="12"/>
                <w:szCs w:val="12"/>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100,555</w:t>
            </w:r>
          </w:p>
        </w:tc>
        <w:tc>
          <w:tcPr>
            <w:tcW w:w="80" w:type="dxa"/>
            <w:vAlign w:val="bottom"/>
          </w:tcPr>
          <w:p>
            <w:pPr>
              <w:spacing w:after="0"/>
              <w:rPr>
                <w:sz w:val="12"/>
                <w:szCs w:val="12"/>
                <w:color w:val="auto"/>
              </w:rPr>
            </w:pPr>
          </w:p>
        </w:tc>
      </w:tr>
      <w:tr>
        <w:trPr>
          <w:trHeight w:val="184"/>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Equivalents—178.6%</w:t>
            </w:r>
          </w:p>
        </w:tc>
        <w:tc>
          <w:tcPr>
            <w:tcW w:w="460" w:type="dxa"/>
            <w:vAlign w:val="bottom"/>
            <w:tcBorders>
              <w:bottom w:val="single" w:sz="8" w:color="CCECFF"/>
            </w:tcBorders>
            <w:shd w:val="clear" w:color="auto" w:fill="CCECFF"/>
          </w:tcPr>
          <w:p>
            <w:pPr>
              <w:spacing w:after="0"/>
              <w:rPr>
                <w:sz w:val="16"/>
                <w:szCs w:val="16"/>
                <w:color w:val="auto"/>
              </w:rPr>
            </w:pPr>
          </w:p>
        </w:tc>
        <w:tc>
          <w:tcPr>
            <w:tcW w:w="320" w:type="dxa"/>
            <w:vAlign w:val="bottom"/>
            <w:tcBorders>
              <w:bottom w:val="single" w:sz="8" w:color="CCECFF"/>
            </w:tcBorders>
            <w:shd w:val="clear" w:color="auto" w:fill="CCECFF"/>
          </w:tcPr>
          <w:p>
            <w:pPr>
              <w:spacing w:after="0"/>
              <w:rPr>
                <w:sz w:val="16"/>
                <w:szCs w:val="16"/>
                <w:color w:val="auto"/>
              </w:rPr>
            </w:pPr>
          </w:p>
        </w:tc>
        <w:tc>
          <w:tcPr>
            <w:tcW w:w="200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9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1,193,433</w:t>
            </w:r>
          </w:p>
        </w:tc>
        <w:tc>
          <w:tcPr>
            <w:tcW w:w="20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1,167,729</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20"/>
        </w:trPr>
        <w:tc>
          <w:tcPr>
            <w:tcW w:w="29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Assets—(78.6)%</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(514,124 )</w:t>
            </w:r>
          </w:p>
        </w:tc>
      </w:tr>
      <w:tr>
        <w:trPr>
          <w:trHeight w:val="184"/>
        </w:trPr>
        <w:tc>
          <w:tcPr>
            <w:tcW w:w="2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Net Assets—100.0%</w:t>
            </w:r>
          </w:p>
        </w:tc>
        <w:tc>
          <w:tcPr>
            <w:tcW w:w="460" w:type="dxa"/>
            <w:vAlign w:val="bottom"/>
            <w:tcBorders>
              <w:bottom w:val="single" w:sz="8" w:color="CCECFF"/>
            </w:tcBorders>
            <w:shd w:val="clear" w:color="auto" w:fill="CCECFF"/>
          </w:tcPr>
          <w:p>
            <w:pPr>
              <w:spacing w:after="0"/>
              <w:rPr>
                <w:sz w:val="16"/>
                <w:szCs w:val="16"/>
                <w:color w:val="auto"/>
              </w:rPr>
            </w:pPr>
          </w:p>
        </w:tc>
        <w:tc>
          <w:tcPr>
            <w:tcW w:w="320" w:type="dxa"/>
            <w:vAlign w:val="bottom"/>
            <w:tcBorders>
              <w:bottom w:val="single" w:sz="8" w:color="CCECFF"/>
            </w:tcBorders>
            <w:shd w:val="clear" w:color="auto" w:fill="CCECFF"/>
          </w:tcPr>
          <w:p>
            <w:pPr>
              <w:spacing w:after="0"/>
              <w:rPr>
                <w:sz w:val="16"/>
                <w:szCs w:val="16"/>
                <w:color w:val="auto"/>
              </w:rPr>
            </w:pPr>
          </w:p>
        </w:tc>
        <w:tc>
          <w:tcPr>
            <w:tcW w:w="2000" w:type="dxa"/>
            <w:vAlign w:val="bottom"/>
            <w:tcBorders>
              <w:bottom w:val="single" w:sz="8" w:color="CCECFF"/>
            </w:tcBorders>
            <w:shd w:val="clear" w:color="auto" w:fill="CCECFF"/>
          </w:tcPr>
          <w:p>
            <w:pPr>
              <w:spacing w:after="0"/>
              <w:rPr>
                <w:sz w:val="16"/>
                <w:szCs w:val="16"/>
                <w:color w:val="auto"/>
              </w:rPr>
            </w:pPr>
          </w:p>
        </w:tc>
        <w:tc>
          <w:tcPr>
            <w:tcW w:w="104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980" w:type="dxa"/>
            <w:vAlign w:val="bottom"/>
            <w:tcBorders>
              <w:bottom w:val="single" w:sz="8" w:color="CCECFF"/>
            </w:tcBorders>
            <w:shd w:val="clear" w:color="auto" w:fill="CCECFF"/>
          </w:tcPr>
          <w:p>
            <w:pPr>
              <w:spacing w:after="0"/>
              <w:rPr>
                <w:sz w:val="16"/>
                <w:szCs w:val="16"/>
                <w:color w:val="auto"/>
              </w:rPr>
            </w:pPr>
          </w:p>
        </w:tc>
        <w:tc>
          <w:tcPr>
            <w:tcW w:w="180" w:type="dxa"/>
            <w:vAlign w:val="bottom"/>
            <w:tcBorders>
              <w:bottom w:val="single" w:sz="8" w:color="CCECFF"/>
            </w:tcBorders>
            <w:shd w:val="clear" w:color="auto" w:fill="CCECFF"/>
          </w:tcPr>
          <w:p>
            <w:pPr>
              <w:spacing w:after="0"/>
              <w:rPr>
                <w:sz w:val="16"/>
                <w:szCs w:val="16"/>
                <w:color w:val="auto"/>
              </w:rPr>
            </w:pPr>
          </w:p>
        </w:tc>
        <w:tc>
          <w:tcPr>
            <w:tcW w:w="58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653,605</w:t>
            </w:r>
          </w:p>
        </w:tc>
        <w:tc>
          <w:tcPr>
            <w:tcW w:w="80" w:type="dxa"/>
            <w:vAlign w:val="bottom"/>
            <w:tcBorders>
              <w:bottom w:val="single" w:sz="8" w:color="CCECFF"/>
            </w:tcBorders>
            <w:shd w:val="clear" w:color="auto" w:fill="CCECFF"/>
          </w:tcPr>
          <w:p>
            <w:pPr>
              <w:spacing w:after="0"/>
              <w:rPr>
                <w:sz w:val="16"/>
                <w:szCs w:val="16"/>
                <w:color w:val="auto"/>
              </w:rPr>
            </w:pPr>
          </w:p>
        </w:tc>
      </w:tr>
    </w:tbl>
    <w:p>
      <w:pPr>
        <w:spacing w:after="0" w:line="60" w:lineRule="exact"/>
        <w:rPr>
          <w:sz w:val="20"/>
          <w:szCs w:val="20"/>
          <w:color w:val="auto"/>
        </w:rPr>
      </w:pPr>
    </w:p>
    <w:p>
      <w:pPr>
        <w:ind w:right="1700"/>
        <w:spacing w:after="0" w:line="253"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208"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Valued based on our accounting policy. The value of all securities was determined using significant unobservable inputs.</w:t>
      </w:r>
    </w:p>
    <w:p>
      <w:pPr>
        <w:spacing w:after="0" w:line="1" w:lineRule="exact"/>
        <w:rPr>
          <w:sz w:val="20"/>
          <w:szCs w:val="20"/>
          <w:color w:val="auto"/>
        </w:rPr>
      </w:pPr>
    </w:p>
    <w:p>
      <w:pPr>
        <w:ind w:right="1780"/>
        <w:spacing w:after="0" w:line="216"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sz w:val="20"/>
          <w:szCs w:val="20"/>
          <w:color w:val="auto"/>
        </w:rPr>
      </w:pPr>
    </w:p>
    <w:p>
      <w:pPr>
        <w:ind w:right="1640"/>
        <w:spacing w:after="0" w:line="219" w:lineRule="auto"/>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6" w:lineRule="auto"/>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1"/>
          <w:szCs w:val="11"/>
          <w:color w:val="auto"/>
        </w:rPr>
        <w:t>Non-U.S. company or principal place of business outside the United States.</w:t>
      </w:r>
    </w:p>
    <w:p>
      <w:pPr>
        <w:spacing w:after="0" w:line="203" w:lineRule="auto"/>
        <w:rPr>
          <w:sz w:val="20"/>
          <w:szCs w:val="20"/>
          <w:color w:val="auto"/>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1"/>
          <w:szCs w:val="11"/>
          <w:color w:val="auto"/>
        </w:rPr>
        <w:t>Non-income producing securities.</w:t>
      </w:r>
    </w:p>
    <w:p>
      <w:pPr>
        <w:spacing w:after="0" w:line="1" w:lineRule="exact"/>
        <w:rPr>
          <w:sz w:val="20"/>
          <w:szCs w:val="20"/>
          <w:color w:val="auto"/>
        </w:rPr>
      </w:pPr>
    </w:p>
    <w:p>
      <w:pPr>
        <w:ind w:right="2580"/>
        <w:spacing w:after="0" w:line="216" w:lineRule="auto"/>
        <w:rPr>
          <w:sz w:val="20"/>
          <w:szCs w:val="20"/>
          <w:color w:val="auto"/>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2031 Asset-Backed Debt and held through PennantPark CLO I, Ltd.</w:t>
      </w:r>
    </w:p>
    <w:p>
      <w:pPr>
        <w:spacing w:after="0" w:line="207" w:lineRule="auto"/>
        <w:rPr>
          <w:sz w:val="20"/>
          <w:szCs w:val="20"/>
          <w:color w:val="auto"/>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1"/>
          <w:szCs w:val="11"/>
          <w:color w:val="auto"/>
        </w:rPr>
        <w:t>Investment is held through our Taxable Subsidiary.</w:t>
      </w:r>
    </w:p>
    <w:p>
      <w:pPr>
        <w:spacing w:after="0" w:line="1" w:lineRule="exact"/>
        <w:rPr>
          <w:sz w:val="20"/>
          <w:szCs w:val="20"/>
          <w:color w:val="auto"/>
        </w:rPr>
      </w:pPr>
    </w:p>
    <w:p>
      <w:pPr>
        <w:ind w:right="1580"/>
        <w:spacing w:after="0" w:line="216" w:lineRule="auto"/>
        <w:rPr>
          <w:sz w:val="20"/>
          <w:szCs w:val="20"/>
          <w:color w:val="auto"/>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5"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2023, qualifying assets represent 76% of our total assets and non-qualifying assets represent 24% of our total assets.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ORGANIZATION</w:t>
      </w:r>
    </w:p>
    <w:p>
      <w:pPr>
        <w:spacing w:after="0" w:line="189"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12"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 market private companies whose debt is rated below investment grade. Floating rate loans pay interest at variable rates, which are determined periodically, on the basis of a floating base lending rate such as SOFR,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32"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We have entered into an investment management agreement, or (the "Investment Management Agreement"), with PennantPark Investment Advisers LLC (the "Investment Adviser"), an external adviser that manages our day-to-day operations. We have also entered into an administration agreement, or (the "Administration Agreement"), with PennantPark Investment Administration LLC (the "Administrator"), which provides the administrative services necessary for us to operate.</w:t>
      </w:r>
    </w:p>
    <w:p>
      <w:pPr>
        <w:spacing w:after="0" w:line="123" w:lineRule="exact"/>
        <w:rPr>
          <w:sz w:val="20"/>
          <w:szCs w:val="20"/>
          <w:color w:val="auto"/>
        </w:rPr>
      </w:pPr>
    </w:p>
    <w:p>
      <w:pPr>
        <w:jc w:val="both"/>
        <w:ind w:right="240" w:firstLine="420"/>
        <w:spacing w:after="0" w:line="268" w:lineRule="auto"/>
        <w:rPr>
          <w:sz w:val="20"/>
          <w:szCs w:val="20"/>
          <w:color w:val="auto"/>
        </w:rPr>
      </w:pPr>
      <w:r>
        <w:rPr>
          <w:rFonts w:ascii="Times New Roman" w:cs="Times New Roman" w:eastAsia="Times New Roman" w:hAnsi="Times New Roman"/>
          <w:sz w:val="13"/>
          <w:szCs w:val="13"/>
          <w:color w:val="auto"/>
        </w:rPr>
        <w:t>Funding I, our wholly- owned subsidiary and a special purpose entity, was organized in Delaware as a limited liability company in May 2011. We formed Funding I in order to establish a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w:t>
      </w:r>
    </w:p>
    <w:p>
      <w:pPr>
        <w:spacing w:after="0" w:line="123" w:lineRule="exact"/>
        <w:rPr>
          <w:sz w:val="20"/>
          <w:szCs w:val="20"/>
          <w:color w:val="auto"/>
        </w:rPr>
      </w:pPr>
    </w:p>
    <w:p>
      <w:pPr>
        <w:ind w:right="100" w:firstLine="420"/>
        <w:spacing w:after="0" w:line="286"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12" w:lineRule="exact"/>
        <w:rPr>
          <w:sz w:val="20"/>
          <w:szCs w:val="20"/>
          <w:color w:val="auto"/>
        </w:rPr>
      </w:pPr>
    </w:p>
    <w:p>
      <w:pPr>
        <w:ind w:right="300" w:firstLine="453"/>
        <w:spacing w:after="0" w:line="286" w:lineRule="auto"/>
        <w:rPr>
          <w:sz w:val="20"/>
          <w:szCs w:val="20"/>
          <w:color w:val="auto"/>
        </w:rPr>
      </w:pPr>
      <w:r>
        <w:rPr>
          <w:rFonts w:ascii="Times New Roman" w:cs="Times New Roman" w:eastAsia="Times New Roman" w:hAnsi="Times New Roman"/>
          <w:sz w:val="13"/>
          <w:szCs w:val="13"/>
          <w:color w:val="auto"/>
        </w:rPr>
        <w:t>On April 14, 2022, listing and trading of the Company's common stock commenced on the New York Stock Exchange after the Company voluntarily withdrew the principal listing of its common stock from the Nasdaq Stock Market LLC effective at market close on April 13, 2022.</w:t>
      </w:r>
    </w:p>
    <w:p>
      <w:pPr>
        <w:spacing w:after="0" w:line="112" w:lineRule="exact"/>
        <w:rPr>
          <w:sz w:val="20"/>
          <w:szCs w:val="20"/>
          <w:color w:val="auto"/>
        </w:rPr>
      </w:pPr>
    </w:p>
    <w:p>
      <w:pPr>
        <w:jc w:val="both"/>
        <w:ind w:right="360" w:firstLine="420"/>
        <w:spacing w:after="0" w:line="286" w:lineRule="auto"/>
        <w:rPr>
          <w:sz w:val="20"/>
          <w:szCs w:val="20"/>
          <w:color w:val="auto"/>
        </w:rPr>
      </w:pPr>
      <w:r>
        <w:rPr>
          <w:rFonts w:ascii="Times New Roman" w:cs="Times New Roman" w:eastAsia="Times New Roman" w:hAnsi="Times New Roman"/>
          <w:sz w:val="13"/>
          <w:szCs w:val="13"/>
          <w:color w:val="auto"/>
        </w:rPr>
        <w:t>On February 7, 2024, the Company filed a notice with the Israel Securities Authority and the Tel Aviv Stock Exchange Ltd (the “TASE”) voluntarily requesting to delist the Company’s common stock from trading on the TASE. The last day of trading on the TASE was May 6, 2024 and the delisting of the Company’s common stock from the TASE took effect on May 8, 2024.</w:t>
      </w:r>
    </w:p>
    <w:p>
      <w:pPr>
        <w:spacing w:after="0" w:line="112"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112"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In November 2017, we issued $138.6 million of our 2023 Notes. The principal on the 2023 Notes were payable in four annual installments as follows: 15% of the original principal amount on December 15, 2020, 15% of the original principal amount on December 15, 2021, 15% of the original principal amount on December 15, 2022 and 55% on December 15, 2023. On December 15, 2023, the remaining 2023 Notes were repaid in full. The 2023 Notes were general, unsecured obligations and ranked equal in right of payment with all of our existing and future senior unsecured indebtedness. The 2023 Notes were listed on the TASE. In connection with this offering, we dual listed our common stock on the TASE.</w:t>
      </w:r>
    </w:p>
    <w:p>
      <w:pPr>
        <w:spacing w:after="0" w:line="127" w:lineRule="exact"/>
        <w:rPr>
          <w:sz w:val="20"/>
          <w:szCs w:val="20"/>
          <w:color w:val="auto"/>
        </w:rPr>
      </w:pPr>
    </w:p>
    <w:p>
      <w:pPr>
        <w:ind w:right="100" w:firstLine="420"/>
        <w:spacing w:after="0" w:line="259"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130" w:lineRule="exact"/>
        <w:rPr>
          <w:sz w:val="20"/>
          <w:szCs w:val="20"/>
          <w:color w:val="auto"/>
        </w:rPr>
      </w:pPr>
    </w:p>
    <w:p>
      <w:pPr>
        <w:jc w:val="both"/>
        <w:ind w:right="220" w:firstLine="420"/>
        <w:spacing w:after="0" w:line="262" w:lineRule="auto"/>
        <w:rPr>
          <w:sz w:val="20"/>
          <w:szCs w:val="20"/>
          <w:color w:val="auto"/>
        </w:rPr>
      </w:pPr>
      <w:r>
        <w:rPr>
          <w:rFonts w:ascii="Times New Roman" w:cs="Times New Roman" w:eastAsia="Times New Roman" w:hAnsi="Times New Roman"/>
          <w:sz w:val="13"/>
          <w:szCs w:val="13"/>
          <w:color w:val="auto"/>
        </w:rPr>
        <w:t>On February 22, 2024, the 2036 Securitization Issuer completed the 2036 Debt Securitization. The 2036 Asset-Backed Debt is secured by a diversified portfolio of the 2036-Securitization Issuer consisting primarily of middle market loans and participation interests in middle market loans. The 2036 Asset-Backed Debt is scheduled to mature in April 2036. On the closing date of the 2036 Debt Securitization, in consideration of our transfer to the 2036 Securitization Issuer of the initial closing date loan portfolio, which included loans distributed to us by certain of our wholly-owned subsidiaries. See Note 10.</w:t>
      </w:r>
    </w:p>
    <w:p>
      <w:pPr>
        <w:spacing w:after="0" w:line="127"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In March 2021 and October 2021, we issued $100.0 million and $85.0 million, respectively, in aggregate principal amount of our 2026 Notes at a public offering price per note of 99.4% and 101.5% respectively. Interest on the 2026 Notes is paid semi- annually on April 1 and October 1 of each year, at a rate of 4.25% per year, commencing October 1, 2021. The 2026 Notes mature on April 1, 2026 and may be redeemed in whole or in part at our option subject to a make- whole premium if redeemed more than three months prior to maturity. The 2026 Notes are general, unsecured obligations and rank equal in right of payment with all of our existing and future senior unsecured indebtedness. The 2026 Notes are effectively subordinated to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2" w:lineRule="exact"/>
        <w:rPr>
          <w:sz w:val="20"/>
          <w:szCs w:val="20"/>
          <w:color w:val="auto"/>
        </w:rPr>
      </w:pPr>
    </w:p>
    <w:p>
      <w:pPr>
        <w:ind w:firstLine="330"/>
        <w:spacing w:after="0" w:line="262" w:lineRule="auto"/>
        <w:rPr>
          <w:sz w:val="20"/>
          <w:szCs w:val="20"/>
          <w:color w:val="auto"/>
        </w:rPr>
      </w:pPr>
      <w:r>
        <w:rPr>
          <w:rFonts w:ascii="Times New Roman" w:cs="Times New Roman" w:eastAsia="Times New Roman" w:hAnsi="Times New Roman"/>
          <w:sz w:val="13"/>
          <w:szCs w:val="13"/>
          <w:color w:val="auto"/>
        </w:rPr>
        <w:t>In April 2021, we formed PennantPark -TSO Senior Loan Fund LP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March 31, 2024, our capital commitment of $15.3 million is fully funded and we hold 23.08% of the total outstanding Class A Units of PTSF and a 4.99% voting interest in the general partner which manages PTSF.</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On February 4, 2022, we formed PFLT Investment Holdings II, LLC, a Delaware limited liability company (“Holdings II”), as a wholly owned subsidiary. On December 31, 2022, we contributed 100% of our interests in PFLT Investment Holdings, LLC (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right="420" w:firstLine="420"/>
        <w:spacing w:after="0" w:line="286" w:lineRule="auto"/>
        <w:rPr>
          <w:sz w:val="20"/>
          <w:szCs w:val="20"/>
          <w:color w:val="auto"/>
        </w:rPr>
      </w:pPr>
      <w:r>
        <w:rPr>
          <w:rFonts w:ascii="Times New Roman" w:cs="Times New Roman" w:eastAsia="Times New Roman" w:hAnsi="Times New Roman"/>
          <w:sz w:val="13"/>
          <w:szCs w:val="13"/>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SIGNIFICANT ACCOUNTING POLICIES</w:t>
      </w:r>
    </w:p>
    <w:p>
      <w:pPr>
        <w:spacing w:after="0" w:line="165" w:lineRule="exact"/>
        <w:rPr>
          <w:sz w:val="20"/>
          <w:szCs w:val="20"/>
          <w:color w:val="auto"/>
        </w:rPr>
      </w:pPr>
    </w:p>
    <w:p>
      <w:pPr>
        <w:ind w:firstLine="420"/>
        <w:spacing w:after="0" w:line="256"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jc w:val="both"/>
        <w:ind w:right="120" w:firstLine="420"/>
        <w:spacing w:after="0" w:line="268" w:lineRule="auto"/>
        <w:rPr>
          <w:sz w:val="20"/>
          <w:szCs w:val="20"/>
          <w:color w:val="auto"/>
        </w:rPr>
      </w:pPr>
      <w:r>
        <w:rPr>
          <w:rFonts w:ascii="Times New Roman" w:cs="Times New Roman" w:eastAsia="Times New Roman" w:hAnsi="Times New Roman"/>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Restatement of Previously Issued Financial Statements</w:t>
      </w:r>
    </w:p>
    <w:p>
      <w:pPr>
        <w:spacing w:after="0" w:line="107"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PSSL and PTSF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March 31, 2023, and the impact of the error correction is reflected on the consolidated statement of cash flows for the six months ended March 31, 2023 as an increase to cash and cash equivalents, beginning of period totaling $3.6 million, an increase to cash and cash equivalents, end of period totaling $0.5 million, and decrease in due to affiliates of $3.1 million.</w:t>
      </w:r>
    </w:p>
    <w:p>
      <w:pPr>
        <w:spacing w:after="0" w:line="72" w:lineRule="exact"/>
        <w:rPr>
          <w:sz w:val="20"/>
          <w:szCs w:val="20"/>
          <w:color w:val="auto"/>
        </w:rPr>
      </w:pPr>
    </w:p>
    <w:p>
      <w:pPr>
        <w:ind w:right="340" w:firstLine="420"/>
        <w:spacing w:after="0" w:line="286" w:lineRule="auto"/>
        <w:rPr>
          <w:sz w:val="20"/>
          <w:szCs w:val="20"/>
          <w:color w:val="auto"/>
        </w:rPr>
      </w:pPr>
      <w:r>
        <w:rPr>
          <w:rFonts w:ascii="Times New Roman" w:cs="Times New Roman" w:eastAsia="Times New Roman" w:hAnsi="Times New Roman"/>
          <w:sz w:val="13"/>
          <w:szCs w:val="13"/>
          <w:color w:val="auto"/>
        </w:rPr>
        <w:t>There was no impact from the error correction to total net assets and net asset value per share as reported on the consolidated statement of assets and liabilities as of March 31, 2023. The corrections related to the prior year comparative cash flow statement amounts were reported in the quarter ended March 31, 2024.</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significant accounting policies consistently applied are as follows:</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(a) Investment Valuations</w:t>
      </w:r>
    </w:p>
    <w:p>
      <w:pPr>
        <w:spacing w:after="0" w:line="16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the Investment Adviser;</w:t>
      </w:r>
    </w:p>
    <w:p>
      <w:pPr>
        <w:spacing w:after="0" w:line="163"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580" w:firstLine="420"/>
        <w:spacing w:after="0" w:line="263"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w:t>
      </w: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393700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9"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3"/>
          <w:szCs w:val="13"/>
          <w:color w:val="auto"/>
        </w:rPr>
        <w:t>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(b) Security Transactions, Revenue Recognition, and Realized/Unrealized Gains or Losses</w:t>
      </w:r>
    </w:p>
    <w:p>
      <w:pPr>
        <w:spacing w:after="0" w:line="167"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27" w:lineRule="exact"/>
        <w:rPr>
          <w:sz w:val="20"/>
          <w:szCs w:val="20"/>
          <w:color w:val="auto"/>
        </w:rPr>
      </w:pPr>
    </w:p>
    <w:p>
      <w:pPr>
        <w:ind w:right="120" w:firstLine="420"/>
        <w:spacing w:after="0" w:line="255"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 Litigation settlements are accounted for in accordance with the gain contingency provisions of ASC Subtopic 450-30, Gain Contingencies, or ASC 450-30.</w:t>
      </w:r>
    </w:p>
    <w:p>
      <w:pPr>
        <w:spacing w:after="0" w:line="134"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 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2024, we had one portfolio company on non-accrual, representing 0.4% and 0.3% of our overall portfolio on a cost and fair value basis, respectively. As of September 30, 2023, we had three portfolio companies on non-accrual, representing 0.9% and 0.2% of our overall portfolio on a cost and fair value basis, respectively.</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 Income Taxes</w:t>
      </w:r>
    </w:p>
    <w:p>
      <w:pPr>
        <w:spacing w:after="0" w:line="167"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the three and six months ended March 31, 2024, we recorded a provision for taxes on net investment income of $ 0.5 million and $0.7 million, respectively, pertaining to federal excise tax. For three and six months ended March 31, 2023, we recorded a provision for taxes on net investment income of $0.2 million and $0.7 million, respectively, pertaining to federal excise tax.</w:t>
      </w:r>
    </w:p>
    <w:p>
      <w:pPr>
        <w:spacing w:after="0" w:line="132"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Holdings II, is subject to U.S. federal, state and local corporate income taxes. The income tax expense and related tax liabilities of the Taxable Subsidiary are reflected in the Company’s consolidated financial statements.</w:t>
      </w:r>
    </w:p>
    <w:p>
      <w:pPr>
        <w:spacing w:after="0" w:line="112"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For the three and six months ended March 31, 2024, the Company recognized a provision for taxes of $0.2 million and $0.2 million on unrealized appreciation (depreciation) on investments by the Taxable Subsidiary. For the three and six months ended March 31, 2023, the Company recognized a provision reduction for taxes of $3.7 million and $2.9 million, respectively,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March 31, 2024 and September 30, 2023, $1.6 million and $1.8 million, respectively, was accrued as a deferred tax liability on the Consolidated Statements of Assets and Liabilities relating to unrealized gain on investments held by the Taxable Subsidiary. As of March 31, 2024 and September 30, 2023, zero and $0.3 million, respectively, was accrued as a provision for taxes on the Consolidated Statements of Operations relating to realized gain on investments held by the Taxable Subsidiary. During the three and six months ended March 31, 2024, the Company paid zero and zero, respectively, in taxes on realized gains on the sale of investments held by the Taxable Subsidiary. During the three and six months ended March 31, 2024 and March 31, 2023, the Company did not make any tax payments related to realized gains on the sale of investments held by the Taxable Subsidiary.</w:t>
      </w:r>
    </w:p>
    <w:p>
      <w:pPr>
        <w:spacing w:after="0" w:line="13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3" w:lineRule="exact"/>
        <w:rPr>
          <w:sz w:val="20"/>
          <w:szCs w:val="20"/>
          <w:color w:val="auto"/>
        </w:rPr>
      </w:pPr>
    </w:p>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of assets and liabilities to reflect their tax character. Temporary differences arise when certain items of income, expense, gain or loss are recognized at some time in the future.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 Distributions and Capital Transactions</w:t>
      </w:r>
    </w:p>
    <w:p>
      <w:pPr>
        <w:spacing w:after="0" w:line="167"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Capital transactions through offerings of our common stock are recorded when issued and offering costs are charged as a reduction of capital upon issuance of our common stock.</w:t>
      </w:r>
    </w:p>
    <w:p>
      <w:pPr>
        <w:spacing w:after="0" w:line="163"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On March 27, 2023 we entered into equity distribution agreements with Citizens JMP Securities, LLC, Raymond James &amp; Associates, Inc. and Truist Securities, Inc. (together, the "Equity Distribution Agreements"), as sales agents (each a "Sales Agent" and together, the "Sales Agents") in connection with the sale of shares of our common stock, with an aggregate offering price of up to $100 million under an at-the -market offering ("ATM Program"). On August 11, 2023 we amended the Equity Distribution Agreements with each of the Sales Agents (together, the "Amended and Restated Equity Distribution Agreements") to increase the aggregate offering price to up to $250 million. The Amended and Restated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134"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During the three and six months ended March 31, 2024, we issued 4,493,436 shares of common stock through the ATM Program at an average price of $ 11.35 per share, raising $51.0 million of net proceeds after commissions to the sales agents and inclusive of proceeds from the Investment Adviser to ensure that all shares were sold at or above NAV. In connection with the share issuance, we expensed $0.6 million of deferred offering costs incurred related to establishing the ATM Program to additional paid in capital.</w:t>
      </w:r>
    </w:p>
    <w:p>
      <w:pPr>
        <w:spacing w:after="0" w:line="119" w:lineRule="exact"/>
        <w:rPr>
          <w:sz w:val="20"/>
          <w:szCs w:val="20"/>
          <w:color w:val="auto"/>
        </w:rPr>
      </w:pPr>
    </w:p>
    <w:p>
      <w:pPr>
        <w:ind w:left="420" w:hanging="186"/>
        <w:spacing w:after="0"/>
        <w:tabs>
          <w:tab w:leader="none" w:pos="420" w:val="left"/>
        </w:tabs>
        <w:numPr>
          <w:ilvl w:val="0"/>
          <w:numId w:val="3"/>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6" w:lineRule="exact"/>
        <w:rPr>
          <w:rFonts w:ascii="Times New Roman" w:cs="Times New Roman" w:eastAsia="Times New Roman" w:hAnsi="Times New Roman"/>
          <w:sz w:val="13"/>
          <w:szCs w:val="13"/>
          <w:b w:val="1"/>
          <w:bCs w:val="1"/>
          <w:i w:val="1"/>
          <w:iCs w:val="1"/>
          <w:color w:val="auto"/>
        </w:rPr>
      </w:pPr>
    </w:p>
    <w:p>
      <w:pPr>
        <w:ind w:left="42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2" w:lineRule="exact"/>
        <w:rPr>
          <w:rFonts w:ascii="Times New Roman" w:cs="Times New Roman" w:eastAsia="Times New Roman" w:hAnsi="Times New Roman"/>
          <w:sz w:val="13"/>
          <w:szCs w:val="13"/>
          <w:b w:val="1"/>
          <w:bCs w:val="1"/>
          <w:i w:val="1"/>
          <w:iCs w:val="1"/>
          <w:color w:val="auto"/>
        </w:rPr>
      </w:pPr>
    </w:p>
    <w:p>
      <w:pPr>
        <w:ind w:left="4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2" w:lineRule="exact"/>
        <w:rPr>
          <w:rFonts w:ascii="Times New Roman" w:cs="Times New Roman" w:eastAsia="Times New Roman" w:hAnsi="Times New Roman"/>
          <w:sz w:val="13"/>
          <w:szCs w:val="13"/>
          <w:b w:val="1"/>
          <w:bCs w:val="1"/>
          <w:i w:val="1"/>
          <w:iCs w:val="1"/>
          <w:color w:val="auto"/>
        </w:rPr>
      </w:pPr>
    </w:p>
    <w:p>
      <w:pPr>
        <w:ind w:left="44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23" w:lineRule="exact"/>
        <w:rPr>
          <w:sz w:val="20"/>
          <w:szCs w:val="20"/>
          <w:color w:val="auto"/>
        </w:rPr>
      </w:pPr>
    </w:p>
    <w:p>
      <w:pPr>
        <w:ind w:right="140" w:firstLine="420"/>
        <w:spacing w:after="0" w:line="268" w:lineRule="auto"/>
        <w:rPr>
          <w:sz w:val="20"/>
          <w:szCs w:val="20"/>
          <w:color w:val="auto"/>
        </w:rPr>
      </w:pPr>
      <w:r>
        <w:rPr>
          <w:rFonts w:ascii="Times New Roman" w:cs="Times New Roman" w:eastAsia="Times New Roman" w:hAnsi="Times New Roman"/>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(f) Consolidation</w:t>
      </w:r>
    </w:p>
    <w:p>
      <w:pPr>
        <w:spacing w:after="0" w:line="167" w:lineRule="exact"/>
        <w:rPr>
          <w:sz w:val="20"/>
          <w:szCs w:val="20"/>
          <w:color w:val="auto"/>
        </w:rPr>
      </w:pPr>
    </w:p>
    <w:p>
      <w:pPr>
        <w:ind w:right="20" w:firstLine="420"/>
        <w:spacing w:after="0" w:line="262" w:lineRule="auto"/>
        <w:rPr>
          <w:sz w:val="20"/>
          <w:szCs w:val="20"/>
          <w:color w:val="auto"/>
        </w:rPr>
      </w:pPr>
      <w:r>
        <w:rPr>
          <w:rFonts w:ascii="Times New Roman" w:cs="Times New Roman" w:eastAsia="Times New Roman" w:hAnsi="Times New Roman"/>
          <w:sz w:val="13"/>
          <w:szCs w:val="13"/>
          <w:color w:val="auto"/>
        </w:rPr>
        <w:t>As permitted under Regulation S-X and as explained by ASC paragraph 946-810- 45-3,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Securitization Issuer, and the 2036-Securitization Issuer in our Consolidated Financial Statements. We do not consolidate our non-controlling interest in PSSL or PTSF. See further description of our investment in PSSL in Note 4.</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(g) Asset Transfers and Servicing</w:t>
      </w:r>
    </w:p>
    <w:p>
      <w:pPr>
        <w:spacing w:after="0" w:line="167" w:lineRule="exact"/>
        <w:rPr>
          <w:sz w:val="20"/>
          <w:szCs w:val="20"/>
          <w:color w:val="auto"/>
        </w:rPr>
      </w:pPr>
    </w:p>
    <w:p>
      <w:pPr>
        <w:jc w:val="both"/>
        <w:ind w:firstLine="420"/>
        <w:spacing w:after="0" w:line="268" w:lineRule="auto"/>
        <w:rPr>
          <w:sz w:val="20"/>
          <w:szCs w:val="20"/>
          <w:color w:val="auto"/>
        </w:rPr>
      </w:pPr>
      <w:r>
        <w:rPr>
          <w:rFonts w:ascii="Times New Roman" w:cs="Times New Roman" w:eastAsia="Times New Roman" w:hAnsi="Times New Roman"/>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(h) Recent Accounting Pronouncements</w:t>
      </w:r>
    </w:p>
    <w:p>
      <w:pPr>
        <w:spacing w:after="0" w:line="167" w:lineRule="exact"/>
        <w:rPr>
          <w:sz w:val="20"/>
          <w:szCs w:val="20"/>
          <w:color w:val="auto"/>
        </w:rPr>
      </w:pPr>
    </w:p>
    <w:p>
      <w:pPr>
        <w:ind w:right="80" w:firstLine="33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three and six months ended March 31, 2024, the effect of which was not material to the consolidated financial statements and the notes thereto.</w:t>
      </w:r>
    </w:p>
    <w:p>
      <w:pPr>
        <w:spacing w:after="0" w:line="130" w:lineRule="exact"/>
        <w:rPr>
          <w:sz w:val="20"/>
          <w:szCs w:val="20"/>
          <w:color w:val="auto"/>
        </w:rPr>
      </w:pPr>
    </w:p>
    <w:p>
      <w:pPr>
        <w:ind w:right="20" w:firstLine="420"/>
        <w:spacing w:after="0" w:line="258" w:lineRule="auto"/>
        <w:rPr>
          <w:sz w:val="20"/>
          <w:szCs w:val="20"/>
          <w:color w:val="auto"/>
        </w:rPr>
      </w:pPr>
      <w:r>
        <w:rPr>
          <w:rFonts w:ascii="Times New Roman" w:cs="Times New Roman" w:eastAsia="Times New Roman" w:hAnsi="Times New Roman"/>
          <w:sz w:val="13"/>
          <w:szCs w:val="13"/>
          <w:color w:val="auto"/>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289" w:lineRule="exact"/>
        <w:rPr>
          <w:sz w:val="20"/>
          <w:szCs w:val="20"/>
          <w:color w:val="auto"/>
        </w:rPr>
      </w:pPr>
    </w:p>
    <w:p>
      <w:pPr>
        <w:ind w:right="120" w:firstLine="420"/>
        <w:spacing w:after="0" w:line="263" w:lineRule="auto"/>
        <w:rPr>
          <w:sz w:val="20"/>
          <w:szCs w:val="20"/>
          <w:color w:val="auto"/>
        </w:rPr>
      </w:pPr>
      <w:r>
        <w:rPr>
          <w:rFonts w:ascii="Times New Roman" w:cs="Times New Roman" w:eastAsia="Times New Roman" w:hAnsi="Times New Roman"/>
          <w:sz w:val="13"/>
          <w:szCs w:val="13"/>
          <w:color w:val="auto"/>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w:t>
      </w: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393700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3"/>
          <w:szCs w:val="13"/>
          <w:color w:val="auto"/>
        </w:rPr>
        <w:t>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25" w:lineRule="exact"/>
        <w:rPr>
          <w:sz w:val="20"/>
          <w:szCs w:val="20"/>
          <w:color w:val="auto"/>
        </w:rPr>
      </w:pPr>
    </w:p>
    <w:p>
      <w:pPr>
        <w:ind w:left="140" w:hanging="134"/>
        <w:spacing w:after="0"/>
        <w:tabs>
          <w:tab w:leader="none" w:pos="14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AGREEMENTS AND RELATED PARTY TRANSACTIONS</w:t>
      </w:r>
    </w:p>
    <w:p>
      <w:pPr>
        <w:spacing w:after="0" w:line="160" w:lineRule="exact"/>
        <w:rPr>
          <w:rFonts w:ascii="Times New Roman" w:cs="Times New Roman" w:eastAsia="Times New Roman" w:hAnsi="Times New Roman"/>
          <w:sz w:val="13"/>
          <w:szCs w:val="13"/>
          <w:b w:val="1"/>
          <w:bCs w:val="1"/>
          <w:color w:val="auto"/>
        </w:rPr>
      </w:pPr>
    </w:p>
    <w:p>
      <w:pPr>
        <w:ind w:left="540" w:hanging="258"/>
        <w:spacing w:after="0"/>
        <w:tabs>
          <w:tab w:leader="none" w:pos="540" w:val="left"/>
        </w:tabs>
        <w:numPr>
          <w:ilvl w:val="1"/>
          <w:numId w:val="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Investment Management Agreement</w:t>
      </w:r>
    </w:p>
    <w:p>
      <w:pPr>
        <w:spacing w:after="0" w:line="16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The Investment Management Agreement with the Investment Adviser was reapproved by our board of directors, including a majority of our directors who are not interested persons of us or the Investment Adviser, in May 2024.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Base Management Fee</w:t>
      </w:r>
    </w:p>
    <w:p>
      <w:pPr>
        <w:spacing w:after="0" w:line="16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2024, the Investment Adviser earned a base management fee of $3.4 million and $6.4 million respectively, from us. For the three and six months ended March 31, 2023, the Investment Adviser earned a base management fee of $2.9 million and $5.8 million respectively, from us.</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i w:val="1"/>
          <w:iCs w:val="1"/>
          <w:color w:val="auto"/>
        </w:rPr>
        <w:t>Incentive Fee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incentive fee has two parts, as follows:</w:t>
      </w:r>
    </w:p>
    <w:p>
      <w:pPr>
        <w:spacing w:after="0" w:line="163" w:lineRule="exact"/>
        <w:rPr>
          <w:sz w:val="20"/>
          <w:szCs w:val="20"/>
          <w:color w:val="auto"/>
        </w:rPr>
      </w:pPr>
    </w:p>
    <w:p>
      <w:pPr>
        <w:ind w:firstLine="420"/>
        <w:spacing w:after="0" w:line="252" w:lineRule="auto"/>
        <w:rPr>
          <w:sz w:val="20"/>
          <w:szCs w:val="20"/>
          <w:color w:val="auto"/>
        </w:rPr>
      </w:pPr>
      <w:r>
        <w:rPr>
          <w:rFonts w:ascii="Times New Roman" w:cs="Times New Roman" w:eastAsia="Times New Roman" w:hAnsi="Times New Roman"/>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50% of our Pre- Incentive Fee Net Investment Income with respect to that portion of such Pre-Incentive Fee Net Investment Income, if any, that exceeds the hurdle rate but is less than 2.9167% in any calendar quarter (11.67% annualized) (we refer to this portion of our Pre -Incentive Fee Net Investment Income (which exceeds the hurdle but is less than 2.9167%) as the “catch-up,” which is meant to provide our Investment Adviser with 20% of our Pre-Incentive Fee Net Investment Income, as if a hurdle did not apply, if this net investment income exceeds</w:t>
      </w:r>
    </w:p>
    <w:p>
      <w:pPr>
        <w:spacing w:after="0" w:line="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3"/>
          <w:szCs w:val="13"/>
          <w:color w:val="auto"/>
        </w:rPr>
        <w:t>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six months ended March 31, 2024, the Investment Adviser earned $4.8 million and $9.6 million, respectively, in incentive fees on net investment income from us. For the three and six months ended March 31, 2023, the Investment Adviser earned $4.2 million and $7.6 million, respectively, in incentive fees on net investment income from us.</w:t>
      </w:r>
    </w:p>
    <w:p>
      <w:pPr>
        <w:spacing w:after="0" w:line="133" w:lineRule="exact"/>
        <w:rPr>
          <w:sz w:val="20"/>
          <w:szCs w:val="20"/>
          <w:color w:val="auto"/>
        </w:rPr>
      </w:pPr>
    </w:p>
    <w:p>
      <w:pPr>
        <w:ind w:right="160" w:firstLine="420"/>
        <w:spacing w:after="0" w:line="262" w:lineRule="auto"/>
        <w:rPr>
          <w:sz w:val="20"/>
          <w:szCs w:val="20"/>
          <w:color w:val="auto"/>
        </w:rPr>
      </w:pPr>
      <w:r>
        <w:rPr>
          <w:rFonts w:ascii="Times New Roman" w:cs="Times New Roman" w:eastAsia="Times New Roman" w:hAnsi="Times New Roman"/>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six months ended March 31, 2024 and 2023, the Investment Adviser did not accrue an incentive fee on capital gains, as calculated under the Investment Management Agreement (as described above).</w:t>
      </w:r>
    </w:p>
    <w:p>
      <w:pPr>
        <w:spacing w:after="0" w:line="127"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and six months ended March 31, 2024 and 2023, was zero, respectively.</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32" w:right="70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(b)  Administration Agreement</w:t>
      </w:r>
    </w:p>
    <w:p>
      <w:pPr>
        <w:spacing w:after="0" w:line="167"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Administration Agreement with the Administrator was reapproved by our board of directors, including a majority of the directors who are not interested persons of us, in May 2024.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Financial Officer, Chief Compliance Officer, Corporate Counsel and their respective staffs. The amount billed by the Administrator may include credits related to its administrative agreement with PSSL.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2024, we recorded administrative expenses of approximately $0.6 million and $1.2 million, respectively, including expenses the Administrator incurred for services described above. For the three and six months ended March 31, 2023, we recorded administrative expenses of approximately $0.2 million and $0.3 million, respectively, including expenses the Administrator incurred for services described above.</w:t>
      </w:r>
    </w:p>
    <w:p>
      <w:pPr>
        <w:spacing w:after="0" w:line="13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(c) Other Related Party Transactions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There were no transactions subject to Rule 17a-7 under the 1940 Act during each of the three and six months ended March 31, 2024 and 2023.</w:t>
      </w:r>
    </w:p>
    <w:p>
      <w:pPr>
        <w:spacing w:after="0" w:line="163" w:lineRule="exact"/>
        <w:rPr>
          <w:sz w:val="20"/>
          <w:szCs w:val="20"/>
          <w:color w:val="auto"/>
        </w:rPr>
      </w:pPr>
    </w:p>
    <w:p>
      <w:pPr>
        <w:jc w:val="both"/>
        <w:ind w:right="14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six months ended March 31, 2024, we sold $ 77.2 million and $139.9 million in investments to PSSL at fair value, respectively, and recognized zero and zero of net realized gains (losses), respectively. For the three and six months ended March 31, 2023, we sold $ 27.1 million and $45.9 million in investments to PSSL at fair value, respectively, and recognized less than $(0.1) million and less than $(0.1) million of net realized losses, respectively, for the same period.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three and six months ended March 31, 2024 and 2023, we sold no investments to PTSF.</w:t>
      </w:r>
    </w:p>
    <w:p>
      <w:pPr>
        <w:spacing w:after="0" w:line="163" w:lineRule="exact"/>
        <w:rPr>
          <w:sz w:val="20"/>
          <w:szCs w:val="20"/>
          <w:color w:val="auto"/>
        </w:rPr>
      </w:pPr>
    </w:p>
    <w:p>
      <w:pPr>
        <w:ind w:right="320" w:firstLine="420"/>
        <w:spacing w:after="0" w:line="286" w:lineRule="auto"/>
        <w:rPr>
          <w:sz w:val="20"/>
          <w:szCs w:val="20"/>
          <w:color w:val="auto"/>
        </w:rPr>
      </w:pPr>
      <w:r>
        <w:rPr>
          <w:rFonts w:ascii="Times New Roman" w:cs="Times New Roman" w:eastAsia="Times New Roman" w:hAnsi="Times New Roman"/>
          <w:sz w:val="13"/>
          <w:szCs w:val="13"/>
          <w:color w:val="auto"/>
        </w:rPr>
        <w:t>As of March 31, 2024 and September 30, 2023, PFLT had a payable to PSSL and PTSF of $0.1 million and $0.6 million, respectively, presented as a Due to Affiliates on the consolidated statement of assets and liabilities. These amounts are related to cash owed to PSSL and PTSF from PFLT in connection with trades between the funds.</w:t>
      </w:r>
    </w:p>
    <w:p>
      <w:pPr>
        <w:spacing w:after="0" w:line="11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As of March 31, 2024 and September 30, 2023, PFLT had a receivable from the Administrator of $0.2 million and zero, respectively, presented as Due from Affiliate on the consolidated statements of assets and liabilities. This amount relates to agency fees collected on behalf of the Company.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4. INVESTMENTS</w:t>
      </w:r>
    </w:p>
    <w:p>
      <w:pPr>
        <w:spacing w:after="0" w:line="165" w:lineRule="exact"/>
        <w:rPr>
          <w:sz w:val="20"/>
          <w:szCs w:val="20"/>
          <w:color w:val="auto"/>
        </w:rPr>
      </w:pPr>
    </w:p>
    <w:p>
      <w:pPr>
        <w:ind w:right="40" w:firstLine="420"/>
        <w:spacing w:after="0" w:line="265" w:lineRule="auto"/>
        <w:rPr>
          <w:sz w:val="20"/>
          <w:szCs w:val="20"/>
          <w:color w:val="auto"/>
        </w:rPr>
      </w:pPr>
      <w:r>
        <w:rPr>
          <w:rFonts w:ascii="Times New Roman" w:cs="Times New Roman" w:eastAsia="Times New Roman" w:hAnsi="Times New Roman"/>
          <w:sz w:val="13"/>
          <w:szCs w:val="13"/>
          <w:color w:val="auto"/>
        </w:rPr>
        <w:t>For the three and six months ended March 31, 2024, purchases of investments, including PIK interest totaled $339.1 million and $642.5 million, respectively. For the same periods in the prior year, purchases of investments, including PIK interest, totaled $85.6 million and $151.2 million, respectively. Sales and repayments of investments for the three and six months ended March 31, 2024 totaled $144.8 million and $248.7 million, respectively. For the three and six months ended March 31, 2023, sales and repayments of investments totaled $62.6 million and $125.6 million, respectively.</w:t>
      </w:r>
    </w:p>
    <w:p>
      <w:pPr>
        <w:spacing w:after="0" w:line="2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Investments and cash and cash equivalents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3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5"/>
          </w:tcPr>
          <w:p>
            <w:pPr>
              <w:ind w:left="62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84"/>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Classification</w:t>
            </w:r>
          </w:p>
        </w:tc>
        <w:tc>
          <w:tcPr>
            <w:tcW w:w="320" w:type="dxa"/>
            <w:vAlign w:val="bottom"/>
          </w:tcPr>
          <w:p>
            <w:pPr>
              <w:spacing w:after="0"/>
              <w:rPr>
                <w:sz w:val="16"/>
                <w:szCs w:val="16"/>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84"/>
        </w:trPr>
        <w:tc>
          <w:tcPr>
            <w:tcW w:w="4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20" w:type="dxa"/>
            <w:vAlign w:val="bottom"/>
            <w:shd w:val="clear" w:color="auto" w:fill="CCEC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1,080,800</w:t>
            </w:r>
          </w:p>
        </w:tc>
        <w:tc>
          <w:tcPr>
            <w:tcW w:w="600" w:type="dxa"/>
            <w:vAlign w:val="bottom"/>
            <w:gridSpan w:val="2"/>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1,074,820</w:t>
            </w:r>
          </w:p>
        </w:tc>
        <w:tc>
          <w:tcPr>
            <w:tcW w:w="580" w:type="dxa"/>
            <w:vAlign w:val="bottom"/>
            <w:gridSpan w:val="2"/>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708,452</w:t>
            </w:r>
          </w:p>
        </w:tc>
        <w:tc>
          <w:tcPr>
            <w:tcW w:w="460" w:type="dxa"/>
            <w:vAlign w:val="bottom"/>
            <w:gridSpan w:val="2"/>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696,078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 in PSSL</w:t>
            </w: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210,088</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210,088</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210,088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210,088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4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Subordinate debt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4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108,587</w:t>
            </w:r>
          </w:p>
        </w:tc>
        <w:tc>
          <w:tcPr>
            <w:tcW w:w="24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139,695</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83,188</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109,978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interests in PSSL</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90,038</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53,112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90,038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1,489,679</w:t>
            </w:r>
          </w:p>
        </w:tc>
        <w:tc>
          <w:tcPr>
            <w:tcW w:w="24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1,477,883</w:t>
            </w:r>
          </w:p>
        </w:tc>
        <w:tc>
          <w:tcPr>
            <w:tcW w:w="26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1,092,878</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1,067,174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125,246</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125,252</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2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320" w:type="dxa"/>
            <w:vAlign w:val="bottom"/>
            <w:tcBorders>
              <w:bottom w:val="single" w:sz="8" w:color="auto"/>
            </w:tcBorders>
            <w:shd w:val="clear" w:color="auto" w:fill="CCEC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1,614,925</w:t>
            </w:r>
          </w:p>
        </w:tc>
        <w:tc>
          <w:tcPr>
            <w:tcW w:w="240" w:type="dxa"/>
            <w:vAlign w:val="bottom"/>
            <w:tcBorders>
              <w:bottom w:val="single" w:sz="8" w:color="CCECFF"/>
            </w:tcBorders>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1,603,135</w:t>
            </w:r>
          </w:p>
        </w:tc>
        <w:tc>
          <w:tcPr>
            <w:tcW w:w="26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1,193,433</w:t>
            </w:r>
          </w:p>
        </w:tc>
        <w:tc>
          <w:tcPr>
            <w:tcW w:w="24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1,167,729</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2" w:right="660"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05" w:lineRule="exact"/>
        <w:rPr>
          <w:sz w:val="20"/>
          <w:szCs w:val="20"/>
          <w:color w:val="auto"/>
        </w:rPr>
      </w:pPr>
    </w:p>
    <w:p>
      <w:pPr>
        <w:ind w:right="480" w:firstLine="420"/>
        <w:spacing w:after="0" w:line="286" w:lineRule="auto"/>
        <w:rPr>
          <w:sz w:val="20"/>
          <w:szCs w:val="20"/>
          <w:color w:val="auto"/>
        </w:rPr>
      </w:pPr>
      <w:r>
        <w:rPr>
          <w:rFonts w:ascii="Times New Roman" w:cs="Times New Roman" w:eastAsia="Times New Roman" w:hAnsi="Times New Roman"/>
          <w:sz w:val="13"/>
          <w:szCs w:val="13"/>
          <w:color w:val="auto"/>
        </w:rPr>
        <w:t>The table below describes investments by industry classification and enumerates the percentage, by fair value, of the total portfolio assets (excluding cash and cash equivalents) in such industries: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 Classification</w:t>
            </w:r>
          </w:p>
        </w:tc>
        <w:tc>
          <w:tcPr>
            <w:tcW w:w="184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 xml:space="preserve">March 31, 2024 </w:t>
            </w:r>
            <w:r>
              <w:rPr>
                <w:rFonts w:ascii="Times New Roman" w:cs="Times New Roman" w:eastAsia="Times New Roman" w:hAnsi="Times New Roman"/>
                <w:sz w:val="16"/>
                <w:szCs w:val="16"/>
                <w:b w:val="1"/>
                <w:bCs w:val="1"/>
                <w:color w:val="auto"/>
                <w:vertAlign w:val="superscript"/>
              </w:rPr>
              <w:t>(1)</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September 30, 2023 </w:t>
            </w:r>
            <w:r>
              <w:rPr>
                <w:rFonts w:ascii="Times New Roman" w:cs="Times New Roman" w:eastAsia="Times New Roman" w:hAnsi="Times New Roman"/>
                <w:sz w:val="16"/>
                <w:szCs w:val="16"/>
                <w:b w:val="1"/>
                <w:bCs w:val="1"/>
                <w:color w:val="auto"/>
                <w:vertAlign w:val="superscript"/>
              </w:rPr>
              <w:t>(1)</w:t>
            </w:r>
          </w:p>
        </w:tc>
      </w:tr>
      <w:tr>
        <w:trPr>
          <w:trHeight w:val="180"/>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Professional Services</w:t>
            </w:r>
          </w:p>
        </w:tc>
        <w:tc>
          <w:tcPr>
            <w:tcW w:w="184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10  %</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Aerospace and Defense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Media</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Providers and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Electronic Equipment, Instruments, and Components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 &amp; Engineering</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Personal Products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Distributors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Media: Diversified and Production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Healthcare Technology</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Commercial Services &amp; Supplies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 and Building</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Insurance</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Air Freight and Logistics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 Components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Automobiles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Business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Chemicals, Plastics and Rubber</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Diversified Consumer Services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Diversified Financial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Energy Equipment and Services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Financial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Food Products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Healthcare Equipment and Supplies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Hotels, Restaurants and Leisure</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Leisure Products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Metals and Mining</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Textiles, Apparel and Luxury Goods</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 Other</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4"/>
        </w:trPr>
        <w:tc>
          <w:tcPr>
            <w:tcW w:w="7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740" w:type="dxa"/>
            <w:vAlign w:val="bottom"/>
            <w:gridSpan w:val="2"/>
            <w:shd w:val="clear" w:color="auto" w:fill="CCECFF"/>
          </w:tcPr>
          <w:p>
            <w:pPr>
              <w:jc w:val="right"/>
              <w:ind w:right="100"/>
              <w:spacing w:after="0" w:line="184" w:lineRule="exact"/>
              <w:rPr>
                <w:sz w:val="20"/>
                <w:szCs w:val="20"/>
                <w:color w:val="auto"/>
              </w:rPr>
            </w:pPr>
            <w:r>
              <w:rPr>
                <w:rFonts w:ascii="Times New Roman" w:cs="Times New Roman" w:eastAsia="Times New Roman" w:hAnsi="Times New Roman"/>
                <w:sz w:val="11"/>
                <w:szCs w:val="11"/>
                <w:color w:val="auto"/>
              </w:rPr>
              <w:t xml:space="preserve">100 </w:t>
            </w:r>
            <w:r>
              <w:rPr>
                <w:rFonts w:ascii="Times New Roman" w:cs="Times New Roman" w:eastAsia="Times New Roman" w:hAnsi="Times New Roman"/>
                <w:sz w:val="21"/>
                <w:szCs w:val="21"/>
                <w:color w:val="auto"/>
                <w:vertAlign w:val="subscript"/>
              </w:rPr>
              <w:t>%</w:t>
            </w:r>
          </w:p>
        </w:tc>
        <w:tc>
          <w:tcPr>
            <w:tcW w:w="100" w:type="dxa"/>
            <w:vAlign w:val="bottom"/>
            <w:shd w:val="clear" w:color="auto" w:fill="CCECFF"/>
          </w:tcPr>
          <w:p>
            <w:pPr>
              <w:spacing w:after="0"/>
              <w:rPr>
                <w:sz w:val="17"/>
                <w:szCs w:val="17"/>
                <w:color w:val="auto"/>
              </w:rPr>
            </w:pPr>
          </w:p>
        </w:tc>
        <w:tc>
          <w:tcPr>
            <w:tcW w:w="1580" w:type="dxa"/>
            <w:vAlign w:val="bottom"/>
            <w:gridSpan w:val="2"/>
            <w:shd w:val="clear" w:color="auto" w:fill="CCEC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100 </w:t>
            </w:r>
            <w:r>
              <w:rPr>
                <w:rFonts w:ascii="Times New Roman" w:cs="Times New Roman" w:eastAsia="Times New Roman" w:hAnsi="Times New Roman"/>
                <w:sz w:val="21"/>
                <w:szCs w:val="21"/>
                <w:color w:val="auto"/>
                <w:vertAlign w:val="subscript"/>
              </w:rPr>
              <w:t>%</w:t>
            </w:r>
          </w:p>
        </w:tc>
        <w:tc>
          <w:tcPr>
            <w:tcW w:w="40" w:type="dxa"/>
            <w:vAlign w:val="bottom"/>
          </w:tcPr>
          <w:p>
            <w:pPr>
              <w:spacing w:after="0"/>
              <w:rPr>
                <w:sz w:val="17"/>
                <w:szCs w:val="17"/>
                <w:color w:val="auto"/>
              </w:rPr>
            </w:pPr>
          </w:p>
        </w:tc>
      </w:tr>
      <w:tr>
        <w:trPr>
          <w:trHeight w:val="20"/>
        </w:trPr>
        <w:tc>
          <w:tcPr>
            <w:tcW w:w="7140" w:type="dxa"/>
            <w:vAlign w:val="bottom"/>
            <w:tcBorders>
              <w:top w:val="single" w:sz="8" w:color="CCECFF"/>
            </w:tcBorders>
            <w:shd w:val="clear" w:color="auto" w:fill="CCEC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Excludes investments in PSSL.</w:t>
      </w: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right="180" w:firstLine="420"/>
        <w:spacing w:after="0" w:line="259"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2024 and September 30, 2023, PSSL had total assets of $941.0 million and $869.4 million, respectively, and its investment portfolio consisted of investments in 106 and 105 portfolio companies, respectively. As of March 31, 2024, at fair value, the largest investment in a single portfolio company in PSSL was $21.4 million and the five largest investments totaled $95.6 million. As of September 30, 2023, at fair value, the largest investment in a single portfolio company in PSSL was $18.5 million and the five largest investments totaled $83.4 million. PSSL invests in portfolio companies in the same industries in which we may directly invest.</w:t>
      </w:r>
    </w:p>
    <w:p>
      <w:pPr>
        <w:spacing w:after="0" w:line="130"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We and Kemper provide capital to PSSL in the form of first lien secured debt and equity interests. As of March 31, 2024 and September 30, 2023, we and Kemper owned 87.5% and 12.5%, respectively, of each of the outstanding first lien secured debt and equity interests. As of the same dates, our investment in PSSL consisted of first lien secured debt of $210.1 million (additional $27.6 million unfunded) and $210.1 million (additional $27.6 million unfunded), respectively, and equity interests of $90.0 million (additional $11.8 million unfunded) and $90.0 million (additional $11.8 million unfunded), respectively.</w:t>
      </w:r>
    </w:p>
    <w:p>
      <w:pPr>
        <w:spacing w:after="0" w:line="127"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89"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In August 2023 PSSL entered into a $260.0 million (decreased from $325.0 million) senior secured revolving credit facility which bears interest at SOFR plus 260 basis points (including a spread adjustment) with Ally Bank through its wholly-owned subsidiary, PennantPark Senior Secured Loan Facility LLC II, or PSSL Subsidiary II, subject to leverage and borrowing base restrictions.</w:t>
      </w:r>
    </w:p>
    <w:p>
      <w:pPr>
        <w:spacing w:after="0" w:line="112"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3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April 2023, PSSL completed a $297.8 million debt securitization in the form of a collateralized loan obligation, or the “2035 Asset- Backed Debt”. The 2035 Asset -Backed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PSSL’s portfolio at fair value:</w:t>
            </w: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52"/>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140" w:type="dxa"/>
            <w:vAlign w:val="bottom"/>
          </w:tcPr>
          <w:p>
            <w:pPr>
              <w:spacing w:after="0"/>
              <w:rPr>
                <w:sz w:val="24"/>
                <w:szCs w:val="24"/>
                <w:color w:val="auto"/>
              </w:rPr>
            </w:pPr>
          </w:p>
        </w:tc>
        <w:tc>
          <w:tcPr>
            <w:tcW w:w="15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4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869,684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785,859</w:t>
            </w:r>
          </w:p>
        </w:tc>
        <w:tc>
          <w:tcPr>
            <w:tcW w:w="40" w:type="dxa"/>
            <w:vAlign w:val="bottom"/>
          </w:tcPr>
          <w:p>
            <w:pPr>
              <w:spacing w:after="0"/>
              <w:rPr>
                <w:sz w:val="16"/>
                <w:szCs w:val="16"/>
                <w:color w:val="auto"/>
              </w:rPr>
            </w:pPr>
          </w:p>
        </w:tc>
      </w:tr>
      <w:tr>
        <w:trPr>
          <w:trHeight w:val="176"/>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140" w:type="dxa"/>
            <w:vAlign w:val="bottom"/>
          </w:tcPr>
          <w:p>
            <w:pPr>
              <w:spacing w:after="0"/>
              <w:rPr>
                <w:sz w:val="15"/>
                <w:szCs w:val="15"/>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12.0 %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12.1 %</w:t>
            </w:r>
          </w:p>
        </w:tc>
      </w:tr>
      <w:tr>
        <w:trPr>
          <w:trHeight w:val="184"/>
        </w:trPr>
        <w:tc>
          <w:tcPr>
            <w:tcW w:w="5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2140" w:type="dxa"/>
            <w:vAlign w:val="bottom"/>
            <w:shd w:val="clear" w:color="auto" w:fill="CCECFF"/>
          </w:tcPr>
          <w:p>
            <w:pPr>
              <w:spacing w:after="0"/>
              <w:rPr>
                <w:sz w:val="16"/>
                <w:szCs w:val="16"/>
                <w:color w:val="auto"/>
              </w:rPr>
            </w:pPr>
          </w:p>
        </w:tc>
        <w:tc>
          <w:tcPr>
            <w:tcW w:w="1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106</w:t>
            </w:r>
          </w:p>
        </w:tc>
        <w:tc>
          <w:tcPr>
            <w:tcW w:w="200" w:type="dxa"/>
            <w:vAlign w:val="bottom"/>
            <w:shd w:val="clear" w:color="auto" w:fill="CCECFF"/>
          </w:tcPr>
          <w:p>
            <w:pPr>
              <w:spacing w:after="0"/>
              <w:rPr>
                <w:sz w:val="16"/>
                <w:szCs w:val="16"/>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105</w:t>
            </w:r>
          </w:p>
        </w:tc>
        <w:tc>
          <w:tcPr>
            <w:tcW w:w="40" w:type="dxa"/>
            <w:vAlign w:val="bottom"/>
          </w:tcPr>
          <w:p>
            <w:pPr>
              <w:spacing w:after="0"/>
              <w:rPr>
                <w:sz w:val="16"/>
                <w:szCs w:val="16"/>
                <w:color w:val="auto"/>
              </w:rPr>
            </w:pPr>
          </w:p>
        </w:tc>
      </w:tr>
      <w:tr>
        <w:trPr>
          <w:trHeight w:val="176"/>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2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21,381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18,463</w:t>
            </w:r>
          </w:p>
        </w:tc>
        <w:tc>
          <w:tcPr>
            <w:tcW w:w="40" w:type="dxa"/>
            <w:vAlign w:val="bottom"/>
          </w:tcPr>
          <w:p>
            <w:pPr>
              <w:spacing w:after="0"/>
              <w:rPr>
                <w:sz w:val="15"/>
                <w:szCs w:val="15"/>
                <w:color w:val="auto"/>
              </w:rPr>
            </w:pPr>
          </w:p>
        </w:tc>
      </w:tr>
      <w:tr>
        <w:trPr>
          <w:trHeight w:val="184"/>
        </w:trPr>
        <w:tc>
          <w:tcPr>
            <w:tcW w:w="5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214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95,589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83,365</w:t>
            </w:r>
          </w:p>
        </w:tc>
        <w:tc>
          <w:tcPr>
            <w:tcW w:w="40" w:type="dxa"/>
            <w:vAlign w:val="bottom"/>
          </w:tcPr>
          <w:p>
            <w:pPr>
              <w:spacing w:after="0"/>
              <w:rPr>
                <w:sz w:val="16"/>
                <w:szCs w:val="16"/>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March 31, 2024 (Par and $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60" w:type="dxa"/>
            <w:vAlign w:val="bottom"/>
          </w:tcPr>
          <w:p>
            <w:pPr>
              <w:jc w:val="center"/>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w:t>
            </w:r>
          </w:p>
        </w:tc>
        <w:tc>
          <w:tcPr>
            <w:tcW w:w="240" w:type="dxa"/>
            <w:vAlign w:val="bottom"/>
          </w:tcPr>
          <w:p>
            <w:pPr>
              <w:spacing w:after="0"/>
              <w:rPr>
                <w:sz w:val="11"/>
                <w:szCs w:val="11"/>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3"/>
              </w:rPr>
              <w:t>Fair Value (2)</w:t>
            </w: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- 1,425.9%</w:t>
            </w:r>
          </w:p>
        </w:tc>
        <w:tc>
          <w:tcPr>
            <w:tcW w:w="840" w:type="dxa"/>
            <w:vAlign w:val="bottom"/>
            <w:shd w:val="clear" w:color="auto" w:fill="CCECFF"/>
          </w:tcPr>
          <w:p>
            <w:pPr>
              <w:spacing w:after="0"/>
              <w:rPr>
                <w:sz w:val="12"/>
                <w:szCs w:val="12"/>
                <w:color w:val="auto"/>
              </w:rPr>
            </w:pPr>
          </w:p>
        </w:tc>
        <w:tc>
          <w:tcPr>
            <w:tcW w:w="180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SOFR+660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2,875</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9,726</w:t>
            </w:r>
          </w:p>
        </w:tc>
        <w:tc>
          <w:tcPr>
            <w:tcW w:w="0" w:type="dxa"/>
            <w:vAlign w:val="bottom"/>
          </w:tcPr>
          <w:p>
            <w:pPr>
              <w:spacing w:after="0"/>
              <w:rPr>
                <w:sz w:val="1"/>
                <w:szCs w:val="1"/>
                <w:color w:val="auto"/>
              </w:rPr>
            </w:pPr>
          </w:p>
        </w:tc>
      </w:tr>
      <w:tr>
        <w:trPr>
          <w:trHeight w:val="20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112"/>
              <w:spacing w:after="0" w:line="204" w:lineRule="exact"/>
              <w:rPr>
                <w:sz w:val="20"/>
                <w:szCs w:val="20"/>
                <w:color w:val="auto"/>
              </w:rPr>
            </w:pPr>
            <w:r>
              <w:rPr>
                <w:rFonts w:ascii="Times New Roman" w:cs="Times New Roman" w:eastAsia="Times New Roman" w:hAnsi="Times New Roman"/>
                <w:sz w:val="10"/>
                <w:szCs w:val="10"/>
                <w:color w:val="auto"/>
              </w:rPr>
              <w:t xml:space="preserve">11.83 </w:t>
            </w:r>
            <w:r>
              <w:rPr>
                <w:rFonts w:ascii="Times New Roman" w:cs="Times New Roman" w:eastAsia="Times New Roman" w:hAnsi="Times New Roman"/>
                <w:sz w:val="19"/>
                <w:szCs w:val="19"/>
                <w:color w:val="auto"/>
                <w:vertAlign w:val="subscript"/>
              </w:rPr>
              <w:t>%</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18,856</w:t>
            </w:r>
          </w:p>
        </w:tc>
        <w:tc>
          <w:tcPr>
            <w:tcW w:w="24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18,509</w:t>
            </w:r>
          </w:p>
        </w:tc>
        <w:tc>
          <w:tcPr>
            <w:tcW w:w="160" w:type="dxa"/>
            <w:vAlign w:val="bottom"/>
          </w:tcPr>
          <w:p>
            <w:pPr>
              <w:spacing w:after="0"/>
              <w:rPr>
                <w:sz w:val="17"/>
                <w:szCs w:val="17"/>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18,875</w:t>
            </w: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SOFR+626</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8,753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8,695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8,753</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10.81 %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15,960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15,731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15,800</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12,787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12,276</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Publishing</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4,859</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4,835</w:t>
            </w:r>
          </w:p>
        </w:tc>
        <w:tc>
          <w:tcPr>
            <w:tcW w:w="0" w:type="dxa"/>
            <w:vAlign w:val="bottom"/>
          </w:tcPr>
          <w:p>
            <w:pPr>
              <w:spacing w:after="0"/>
              <w:rPr>
                <w:sz w:val="1"/>
                <w:szCs w:val="1"/>
                <w:color w:val="auto"/>
              </w:rPr>
            </w:pPr>
          </w:p>
        </w:tc>
      </w:tr>
      <w:tr>
        <w:trPr>
          <w:trHeight w:val="137"/>
        </w:trPr>
        <w:tc>
          <w:tcPr>
            <w:tcW w:w="31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Publishing</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4,750</w:t>
            </w: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4,708</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4,726</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7/21/2027</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7,472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7,328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7,397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11,104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11.54 %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11,021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11,060</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4,925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4,847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8,933</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15,053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14,978</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SOFR+490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5,545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SOFR+626</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2,305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2,305</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Automotive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444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417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423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12.37 %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SOFR+688</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13,387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13,350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13,253</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9,587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9,470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SOFR+619</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6,785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6,704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6,684</w:t>
            </w:r>
          </w:p>
        </w:tc>
        <w:tc>
          <w:tcPr>
            <w:tcW w:w="0" w:type="dxa"/>
            <w:vAlign w:val="bottom"/>
          </w:tcPr>
          <w:p>
            <w:pPr>
              <w:spacing w:after="0"/>
              <w:rPr>
                <w:sz w:val="1"/>
                <w:szCs w:val="1"/>
                <w:color w:val="auto"/>
              </w:rPr>
            </w:pPr>
          </w:p>
        </w:tc>
      </w:tr>
      <w:tr>
        <w:trPr>
          <w:trHeight w:val="136"/>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8/31/2024</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13.18 %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9,119</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9,109</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8,800</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(PIK 1.00%)</w:t>
            </w: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18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40" w:type="dxa"/>
            <w:vAlign w:val="bottom"/>
            <w:vMerge w:val="restart"/>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9.44 %</w:t>
            </w:r>
          </w:p>
        </w:tc>
        <w:tc>
          <w:tcPr>
            <w:tcW w:w="1060" w:type="dxa"/>
            <w:vAlign w:val="bottom"/>
            <w:vMerge w:val="restart"/>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SOFR+400</w:t>
            </w:r>
          </w:p>
        </w:tc>
        <w:tc>
          <w:tcPr>
            <w:tcW w:w="82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6,743</w:t>
            </w:r>
          </w:p>
        </w:tc>
        <w:tc>
          <w:tcPr>
            <w:tcW w:w="24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6,522</w:t>
            </w:r>
          </w:p>
        </w:tc>
        <w:tc>
          <w:tcPr>
            <w:tcW w:w="160" w:type="dxa"/>
            <w:vAlign w:val="bottom"/>
            <w:shd w:val="clear" w:color="auto" w:fill="CCECFF"/>
          </w:tcPr>
          <w:p>
            <w:pPr>
              <w:spacing w:after="0"/>
              <w:rPr>
                <w:sz w:val="12"/>
                <w:szCs w:val="12"/>
                <w:color w:val="auto"/>
              </w:rPr>
            </w:pPr>
          </w:p>
        </w:tc>
        <w:tc>
          <w:tcPr>
            <w:tcW w:w="7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6,659</w:t>
            </w:r>
          </w:p>
        </w:tc>
        <w:tc>
          <w:tcPr>
            <w:tcW w:w="0" w:type="dxa"/>
            <w:vAlign w:val="bottom"/>
          </w:tcPr>
          <w:p>
            <w:pPr>
              <w:spacing w:after="0"/>
              <w:rPr>
                <w:sz w:val="1"/>
                <w:szCs w:val="1"/>
                <w:color w:val="auto"/>
              </w:rPr>
            </w:pPr>
          </w:p>
        </w:tc>
      </w:tr>
      <w:tr>
        <w:trPr>
          <w:trHeight w:val="92"/>
        </w:trPr>
        <w:tc>
          <w:tcPr>
            <w:tcW w:w="3160" w:type="dxa"/>
            <w:vAlign w:val="bottom"/>
            <w:shd w:val="clear" w:color="auto" w:fill="CCECFF"/>
          </w:tcPr>
          <w:p>
            <w:pPr>
              <w:spacing w:after="0"/>
              <w:rPr>
                <w:sz w:val="8"/>
                <w:szCs w:val="8"/>
                <w:color w:val="auto"/>
              </w:rPr>
            </w:pPr>
          </w:p>
        </w:tc>
        <w:tc>
          <w:tcPr>
            <w:tcW w:w="840" w:type="dxa"/>
            <w:vAlign w:val="bottom"/>
            <w:vMerge w:val="continue"/>
            <w:shd w:val="clear" w:color="auto" w:fill="CCECFF"/>
          </w:tcPr>
          <w:p>
            <w:pPr>
              <w:spacing w:after="0"/>
              <w:rPr>
                <w:sz w:val="8"/>
                <w:szCs w:val="8"/>
                <w:color w:val="auto"/>
              </w:rPr>
            </w:pPr>
          </w:p>
        </w:tc>
        <w:tc>
          <w:tcPr>
            <w:tcW w:w="1800" w:type="dxa"/>
            <w:vAlign w:val="bottom"/>
            <w:vMerge w:val="continue"/>
            <w:shd w:val="clear" w:color="auto" w:fill="CCECFF"/>
          </w:tcPr>
          <w:p>
            <w:pPr>
              <w:spacing w:after="0"/>
              <w:rPr>
                <w:sz w:val="8"/>
                <w:szCs w:val="8"/>
                <w:color w:val="auto"/>
              </w:rPr>
            </w:pPr>
          </w:p>
        </w:tc>
        <w:tc>
          <w:tcPr>
            <w:tcW w:w="1140" w:type="dxa"/>
            <w:vAlign w:val="bottom"/>
            <w:vMerge w:val="continue"/>
            <w:shd w:val="clear" w:color="auto" w:fill="CCECFF"/>
          </w:tcPr>
          <w:p>
            <w:pPr>
              <w:spacing w:after="0"/>
              <w:rPr>
                <w:sz w:val="8"/>
                <w:szCs w:val="8"/>
                <w:color w:val="auto"/>
              </w:rPr>
            </w:pPr>
          </w:p>
        </w:tc>
        <w:tc>
          <w:tcPr>
            <w:tcW w:w="1060" w:type="dxa"/>
            <w:vAlign w:val="bottom"/>
            <w:vMerge w:val="continue"/>
            <w:shd w:val="clear" w:color="auto" w:fill="CCECFF"/>
          </w:tcPr>
          <w:p>
            <w:pPr>
              <w:spacing w:after="0"/>
              <w:rPr>
                <w:sz w:val="8"/>
                <w:szCs w:val="8"/>
                <w:color w:val="auto"/>
              </w:rPr>
            </w:pPr>
          </w:p>
        </w:tc>
        <w:tc>
          <w:tcPr>
            <w:tcW w:w="820" w:type="dxa"/>
            <w:vAlign w:val="bottom"/>
            <w:vMerge w:val="continue"/>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620" w:type="dxa"/>
            <w:vAlign w:val="bottom"/>
            <w:vMerge w:val="continue"/>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720" w:type="dxa"/>
            <w:vAlign w:val="bottom"/>
            <w:vMerge w:val="continue"/>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SOFR+576</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3,795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3,643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10.81 %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2,078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2,078</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14,637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14,455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14,637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10.68 %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2,614</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2,442</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14,149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14,114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64"/>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18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140" w:type="dxa"/>
            <w:vAlign w:val="bottom"/>
            <w:tcBorders>
              <w:bottom w:val="single" w:sz="8" w:color="CCECFF"/>
            </w:tcBorders>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12.43 %</w:t>
            </w:r>
          </w:p>
        </w:tc>
        <w:tc>
          <w:tcPr>
            <w:tcW w:w="1060" w:type="dxa"/>
            <w:vAlign w:val="bottom"/>
            <w:tcBorders>
              <w:bottom w:val="single" w:sz="8" w:color="CCECFF"/>
            </w:tcBorders>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SOFR+710</w:t>
            </w:r>
          </w:p>
        </w:tc>
        <w:tc>
          <w:tcPr>
            <w:tcW w:w="820" w:type="dxa"/>
            <w:vAlign w:val="bottom"/>
            <w:tcBorders>
              <w:bottom w:val="single" w:sz="8" w:color="CCECFF"/>
            </w:tcBorders>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10,849</w:t>
            </w:r>
          </w:p>
        </w:tc>
        <w:tc>
          <w:tcPr>
            <w:tcW w:w="240" w:type="dxa"/>
            <w:vAlign w:val="bottom"/>
            <w:tcBorders>
              <w:bottom w:val="single" w:sz="8" w:color="CCECFF"/>
            </w:tcBorders>
            <w:shd w:val="clear" w:color="auto" w:fill="CCECFF"/>
          </w:tcPr>
          <w:p>
            <w:pPr>
              <w:spacing w:after="0"/>
              <w:rPr>
                <w:sz w:val="14"/>
                <w:szCs w:val="14"/>
                <w:color w:val="auto"/>
              </w:rPr>
            </w:pPr>
          </w:p>
        </w:tc>
        <w:tc>
          <w:tcPr>
            <w:tcW w:w="6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10,821</w:t>
            </w:r>
          </w:p>
        </w:tc>
        <w:tc>
          <w:tcPr>
            <w:tcW w:w="160" w:type="dxa"/>
            <w:vAlign w:val="bottom"/>
            <w:tcBorders>
              <w:bottom w:val="single" w:sz="8" w:color="CCECFF"/>
            </w:tcBorders>
            <w:shd w:val="clear" w:color="auto" w:fill="CCECFF"/>
          </w:tcPr>
          <w:p>
            <w:pPr>
              <w:spacing w:after="0"/>
              <w:rPr>
                <w:sz w:val="14"/>
                <w:szCs w:val="14"/>
                <w:color w:val="auto"/>
              </w:rPr>
            </w:pPr>
          </w:p>
        </w:tc>
        <w:tc>
          <w:tcPr>
            <w:tcW w:w="72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10,816</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SOFR+475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4,989</w:t>
            </w:r>
          </w:p>
        </w:tc>
        <w:tc>
          <w:tcPr>
            <w:tcW w:w="0" w:type="dxa"/>
            <w:vAlign w:val="bottom"/>
          </w:tcPr>
          <w:p>
            <w:pPr>
              <w:spacing w:after="0"/>
              <w:rPr>
                <w:sz w:val="1"/>
                <w:szCs w:val="1"/>
                <w:color w:val="auto"/>
              </w:rPr>
            </w:pPr>
          </w:p>
        </w:tc>
      </w:tr>
      <w:tr>
        <w:trPr>
          <w:trHeight w:val="137"/>
        </w:trPr>
        <w:tc>
          <w:tcPr>
            <w:tcW w:w="31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11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11.56 %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8,910</w:t>
            </w: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8,801</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8,732</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12,611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12,463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12,358</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12,342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12,113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12,465</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10.32 %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SOFR+475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10,143</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10,094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10,143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3,716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3,707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3,530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2,333</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2,310</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2,024</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11.32 %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9,002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8,867</w:t>
            </w: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180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40" w:type="dxa"/>
            <w:vAlign w:val="bottom"/>
            <w:vMerge w:val="restart"/>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11.72 %</w:t>
            </w:r>
          </w:p>
        </w:tc>
        <w:tc>
          <w:tcPr>
            <w:tcW w:w="1060" w:type="dxa"/>
            <w:vAlign w:val="bottom"/>
            <w:vMerge w:val="restart"/>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3,513</w:t>
            </w:r>
          </w:p>
        </w:tc>
        <w:tc>
          <w:tcPr>
            <w:tcW w:w="24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c>
          <w:tcPr>
            <w:tcW w:w="160" w:type="dxa"/>
            <w:vAlign w:val="bottom"/>
            <w:shd w:val="clear" w:color="auto" w:fill="CCECFF"/>
          </w:tcPr>
          <w:p>
            <w:pPr>
              <w:spacing w:after="0"/>
              <w:rPr>
                <w:sz w:val="12"/>
                <w:szCs w:val="12"/>
                <w:color w:val="auto"/>
              </w:rPr>
            </w:pPr>
          </w:p>
        </w:tc>
        <w:tc>
          <w:tcPr>
            <w:tcW w:w="72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3,460</w:t>
            </w:r>
          </w:p>
        </w:tc>
        <w:tc>
          <w:tcPr>
            <w:tcW w:w="0" w:type="dxa"/>
            <w:vAlign w:val="bottom"/>
          </w:tcPr>
          <w:p>
            <w:pPr>
              <w:spacing w:after="0"/>
              <w:rPr>
                <w:sz w:val="1"/>
                <w:szCs w:val="1"/>
                <w:color w:val="auto"/>
              </w:rPr>
            </w:pPr>
          </w:p>
        </w:tc>
      </w:tr>
      <w:tr>
        <w:trPr>
          <w:trHeight w:val="116"/>
        </w:trPr>
        <w:tc>
          <w:tcPr>
            <w:tcW w:w="3160" w:type="dxa"/>
            <w:vAlign w:val="bottom"/>
            <w:shd w:val="clear" w:color="auto" w:fill="CCECFF"/>
          </w:tcPr>
          <w:p>
            <w:pPr>
              <w:spacing w:after="0"/>
              <w:rPr>
                <w:sz w:val="10"/>
                <w:szCs w:val="10"/>
                <w:color w:val="auto"/>
              </w:rPr>
            </w:pPr>
          </w:p>
        </w:tc>
        <w:tc>
          <w:tcPr>
            <w:tcW w:w="840" w:type="dxa"/>
            <w:vAlign w:val="bottom"/>
            <w:vMerge w:val="continue"/>
            <w:shd w:val="clear" w:color="auto" w:fill="CCECFF"/>
          </w:tcPr>
          <w:p>
            <w:pPr>
              <w:spacing w:after="0"/>
              <w:rPr>
                <w:sz w:val="10"/>
                <w:szCs w:val="10"/>
                <w:color w:val="auto"/>
              </w:rPr>
            </w:pPr>
          </w:p>
        </w:tc>
        <w:tc>
          <w:tcPr>
            <w:tcW w:w="1800" w:type="dxa"/>
            <w:vAlign w:val="bottom"/>
            <w:vMerge w:val="continue"/>
            <w:shd w:val="clear" w:color="auto" w:fill="CCECFF"/>
          </w:tcPr>
          <w:p>
            <w:pPr>
              <w:spacing w:after="0"/>
              <w:rPr>
                <w:sz w:val="10"/>
                <w:szCs w:val="10"/>
                <w:color w:val="auto"/>
              </w:rPr>
            </w:pPr>
          </w:p>
        </w:tc>
        <w:tc>
          <w:tcPr>
            <w:tcW w:w="1140" w:type="dxa"/>
            <w:vAlign w:val="bottom"/>
            <w:vMerge w:val="continue"/>
            <w:shd w:val="clear" w:color="auto" w:fill="CCECFF"/>
          </w:tcPr>
          <w:p>
            <w:pPr>
              <w:spacing w:after="0"/>
              <w:rPr>
                <w:sz w:val="10"/>
                <w:szCs w:val="10"/>
                <w:color w:val="auto"/>
              </w:rPr>
            </w:pPr>
          </w:p>
        </w:tc>
        <w:tc>
          <w:tcPr>
            <w:tcW w:w="1060" w:type="dxa"/>
            <w:vAlign w:val="bottom"/>
            <w:vMerge w:val="continue"/>
            <w:shd w:val="clear" w:color="auto" w:fill="CCECFF"/>
          </w:tcPr>
          <w:p>
            <w:pPr>
              <w:spacing w:after="0"/>
              <w:rPr>
                <w:sz w:val="10"/>
                <w:szCs w:val="10"/>
                <w:color w:val="auto"/>
              </w:rPr>
            </w:pPr>
          </w:p>
        </w:tc>
        <w:tc>
          <w:tcPr>
            <w:tcW w:w="820" w:type="dxa"/>
            <w:vAlign w:val="bottom"/>
            <w:vMerge w:val="continue"/>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20" w:type="dxa"/>
            <w:vAlign w:val="bottom"/>
            <w:vMerge w:val="continue"/>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2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SOFR+510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9,201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9,109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12.64 %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16,370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16,196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16,370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SOFR+685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6,060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6,060</w:t>
            </w: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SOFR+715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11,156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11,144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10,375</w:t>
            </w:r>
          </w:p>
        </w:tc>
        <w:tc>
          <w:tcPr>
            <w:tcW w:w="0" w:type="dxa"/>
            <w:vAlign w:val="bottom"/>
          </w:tcPr>
          <w:p>
            <w:pPr>
              <w:spacing w:after="0"/>
              <w:rPr>
                <w:sz w:val="1"/>
                <w:szCs w:val="1"/>
                <w:color w:val="auto"/>
              </w:rPr>
            </w:pPr>
          </w:p>
        </w:tc>
      </w:tr>
      <w:tr>
        <w:trPr>
          <w:trHeight w:val="152"/>
        </w:trPr>
        <w:tc>
          <w:tcPr>
            <w:tcW w:w="3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114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2.25%)</w:t>
            </w:r>
          </w:p>
        </w:tc>
        <w:tc>
          <w:tcPr>
            <w:tcW w:w="10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8/27/2026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5,880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5,840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5,821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SOFR+761</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8,205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8,094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8,041</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3,869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3,881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11.46 %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16,578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16,303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16,578</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13.23 %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14,359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14,215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11.72 %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14,970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14,950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14,760</w:t>
            </w:r>
          </w:p>
        </w:tc>
        <w:tc>
          <w:tcPr>
            <w:tcW w:w="0" w:type="dxa"/>
            <w:vAlign w:val="bottom"/>
          </w:tcPr>
          <w:p>
            <w:pPr>
              <w:spacing w:after="0"/>
              <w:rPr>
                <w:sz w:val="1"/>
                <w:szCs w:val="1"/>
                <w:color w:val="auto"/>
              </w:rPr>
            </w:pPr>
          </w:p>
        </w:tc>
      </w:tr>
      <w:tr>
        <w:trPr>
          <w:trHeight w:val="152"/>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11,375</w:t>
            </w:r>
          </w:p>
        </w:tc>
        <w:tc>
          <w:tcPr>
            <w:tcW w:w="240" w:type="dxa"/>
            <w:vAlign w:val="bottom"/>
          </w:tcPr>
          <w:p>
            <w:pPr>
              <w:spacing w:after="0"/>
              <w:rPr>
                <w:sz w:val="13"/>
                <w:szCs w:val="13"/>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11,280</w:t>
            </w:r>
          </w:p>
        </w:tc>
        <w:tc>
          <w:tcPr>
            <w:tcW w:w="160" w:type="dxa"/>
            <w:vAlign w:val="bottom"/>
          </w:tcPr>
          <w:p>
            <w:pPr>
              <w:spacing w:after="0"/>
              <w:rPr>
                <w:sz w:val="13"/>
                <w:szCs w:val="13"/>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11,375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2,528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2,547</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12.31 %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SOFR+700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7,444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SOFR+765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12.97 %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SOFR+765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522</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2,079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1,983</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SOFR+500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2,991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10.72 %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Marketplace Events, LLC - Super Priority First Lien Unfunded Term Loan </w:t>
            </w:r>
            <w:r>
              <w:rPr>
                <w:rFonts w:ascii="Times New Roman" w:cs="Times New Roman" w:eastAsia="Times New Roman" w:hAnsi="Times New Roman"/>
                <w:sz w:val="12"/>
                <w:szCs w:val="12"/>
                <w:color w:val="auto"/>
                <w:vertAlign w:val="superscript"/>
              </w:rPr>
              <w:t>(3)</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10.72 %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11,529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11,443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11,529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8,373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8,274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8,261</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10.87 %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6,348</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6,250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6,260</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2,360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2,312</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19,296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18,985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19,103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5,739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5,736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5,739</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13,132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12,946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13,001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3,413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3,368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3,413</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&amp; Childcare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10,657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10,538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10,177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5/9/2029</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4,809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4,747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4,809</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8/31/2029</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21,381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21,001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21,381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11.69 %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SOFR+636</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15,765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15,535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15,765</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14.75 %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SOFR+940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2,076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13.82 %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SOFR+843</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5/30/2028</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12.07 %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SOFR+668</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180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10.68 %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180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12.82 %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SOFR+751</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4,315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9/30/2028</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11,998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11,998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10560"/>
          </w:cols>
          <w:pgMar w:left="660" w:top="1132" w:right="680"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396240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6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Par</w:t>
            </w:r>
          </w:p>
        </w:tc>
        <w:tc>
          <w:tcPr>
            <w:tcW w:w="140" w:type="dxa"/>
            <w:vAlign w:val="bottom"/>
          </w:tcPr>
          <w:p>
            <w:pPr>
              <w:spacing w:after="0"/>
              <w:rPr>
                <w:sz w:val="12"/>
                <w:szCs w:val="12"/>
                <w:color w:val="auto"/>
              </w:rPr>
            </w:pP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3"/>
              </w:rPr>
              <w:t>Fair Value (2)</w:t>
            </w:r>
          </w:p>
        </w:tc>
        <w:tc>
          <w:tcPr>
            <w:tcW w:w="0" w:type="dxa"/>
            <w:vAlign w:val="bottom"/>
          </w:tcPr>
          <w:p>
            <w:pPr>
              <w:spacing w:after="0"/>
              <w:rPr>
                <w:sz w:val="1"/>
                <w:szCs w:val="1"/>
                <w:color w:val="auto"/>
              </w:rPr>
            </w:pPr>
          </w:p>
        </w:tc>
      </w:tr>
      <w:tr>
        <w:trPr>
          <w:trHeight w:val="128"/>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9/29/2025</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10.72 %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9,443</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12.43 %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7,700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7,612</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6,815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4.00%)</w:t>
            </w:r>
          </w:p>
        </w:tc>
        <w:tc>
          <w:tcPr>
            <w:tcW w:w="10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2,544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8"/>
              </w:rPr>
              <w:t>Education</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11.09 %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11,081</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10,956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9,474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11.66 %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2,789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10.92 %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2/28/2028</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11.45 %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4,913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4,860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4,850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4,812</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80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11.07 %</w:t>
            </w:r>
          </w:p>
        </w:tc>
        <w:tc>
          <w:tcPr>
            <w:tcW w:w="106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SOFR+576</w:t>
            </w: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12,366</w:t>
            </w: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12,304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10,511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31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3,730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3,662</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3,674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11.51 %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9,268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9,243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12.93 %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SOFR+760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5,079</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5,066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5,079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800" w:type="dxa"/>
            <w:vAlign w:val="bottom"/>
            <w:shd w:val="clear" w:color="auto" w:fill="CCECFF"/>
          </w:tcPr>
          <w:p>
            <w:pPr>
              <w:spacing w:after="0"/>
              <w:rPr>
                <w:sz w:val="13"/>
                <w:szCs w:val="13"/>
                <w:color w:val="auto"/>
              </w:rPr>
            </w:pP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1.00%)</w:t>
            </w:r>
          </w:p>
        </w:tc>
        <w:tc>
          <w:tcPr>
            <w:tcW w:w="10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7/14/2025</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12.68 %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11,830</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(PIK 0.50%)</w:t>
            </w: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11.46 %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4,925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4,863</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12,573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12,402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11.70 %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11,416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11,237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11,302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9.94 %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1,297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11.57 %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4,888</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4,821</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9.91 %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11,736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4,554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10.95 %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4,091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4,032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SOFR+501</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1,777</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7"/>
              </w:rPr>
              <w:t>System Planning and Analysis, Inc. (f/k/a Management Consulting &amp; Research,</w:t>
            </w:r>
          </w:p>
        </w:tc>
        <w:tc>
          <w:tcPr>
            <w:tcW w:w="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SOFR+590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14,663</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14,495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14,648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10.49 %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180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11.96 %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8,553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8,449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11.42 %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SOFR+610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7,676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7,565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7,676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10.94 %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16,617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16,434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1"/>
              </w:rPr>
              <w:t>Automotive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11.33 %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19,826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19,547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6/16/2025</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11.73 %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3,418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4/1/2028</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IT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10.98 %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14,579</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13,745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6/15/2026</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6,858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6,757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4,645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4,465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3,437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 xml:space="preserve">Walker Edison Furniture Company LLC - Junior Revolving Credit Facility </w:t>
            </w:r>
            <w:r>
              <w:rPr>
                <w:rFonts w:ascii="Times New Roman" w:cs="Times New Roman" w:eastAsia="Times New Roman" w:hAnsi="Times New Roman"/>
                <w:sz w:val="12"/>
                <w:szCs w:val="12"/>
                <w:color w:val="auto"/>
                <w:w w:val="99"/>
                <w:vertAlign w:val="superscript"/>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1060" w:type="dxa"/>
            <w:vAlign w:val="bottom"/>
          </w:tcPr>
          <w:p>
            <w:pPr>
              <w:spacing w:after="0"/>
              <w:rPr>
                <w:sz w:val="12"/>
                <w:szCs w:val="12"/>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11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604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(157 )</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12/3/2029</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11.31 %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12,250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12,057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16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112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2/27/2027</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and Components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11.06 %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16,097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15,971</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16,016</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2"/>
              </w:rPr>
              <w:t>Automobiles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12.68 %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SOFR+735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16,743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16,699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80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873,061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865,487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- 6.9%</w:t>
            </w:r>
          </w:p>
        </w:tc>
        <w:tc>
          <w:tcPr>
            <w:tcW w:w="860" w:type="dxa"/>
            <w:vAlign w:val="bottom"/>
            <w:shd w:val="clear" w:color="auto" w:fill="CCECFF"/>
          </w:tcPr>
          <w:p>
            <w:pPr>
              <w:spacing w:after="0"/>
              <w:rPr>
                <w:sz w:val="12"/>
                <w:szCs w:val="12"/>
                <w:color w:val="auto"/>
              </w:rPr>
            </w:pPr>
          </w:p>
        </w:tc>
        <w:tc>
          <w:tcPr>
            <w:tcW w:w="180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86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6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86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6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800" w:type="dxa"/>
            <w:vAlign w:val="bottom"/>
            <w:shd w:val="clear" w:color="auto" w:fill="CCECFF"/>
          </w:tcPr>
          <w:p>
            <w:pPr>
              <w:jc w:val="center"/>
              <w:ind w:right="32"/>
              <w:spacing w:after="0"/>
              <w:rPr>
                <w:sz w:val="20"/>
                <w:szCs w:val="20"/>
                <w:color w:val="auto"/>
              </w:rPr>
            </w:pPr>
            <w:r>
              <w:rPr>
                <w:rFonts w:ascii="Times New Roman" w:cs="Times New Roman" w:eastAsia="Times New Roman" w:hAnsi="Times New Roman"/>
                <w:sz w:val="10"/>
                <w:szCs w:val="10"/>
                <w:color w:val="auto"/>
                <w:w w:val="94"/>
              </w:rPr>
              <w:t>Wholesale</w:t>
            </w: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- 1,432.8%</w:t>
            </w:r>
          </w:p>
        </w:tc>
        <w:tc>
          <w:tcPr>
            <w:tcW w:w="860" w:type="dxa"/>
            <w:vAlign w:val="bottom"/>
            <w:shd w:val="clear" w:color="auto" w:fill="CCECFF"/>
          </w:tcPr>
          <w:p>
            <w:pPr>
              <w:spacing w:after="0"/>
              <w:rPr>
                <w:sz w:val="12"/>
                <w:szCs w:val="12"/>
                <w:color w:val="auto"/>
              </w:rPr>
            </w:pPr>
          </w:p>
        </w:tc>
        <w:tc>
          <w:tcPr>
            <w:tcW w:w="180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879,528</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869,684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- 103.6%</w:t>
            </w:r>
          </w:p>
        </w:tc>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60" w:type="dxa"/>
            <w:vAlign w:val="bottom"/>
            <w:shd w:val="clear" w:color="auto" w:fill="CCECFF"/>
          </w:tcPr>
          <w:p>
            <w:pPr>
              <w:spacing w:after="0"/>
              <w:rPr>
                <w:sz w:val="12"/>
                <w:szCs w:val="12"/>
                <w:color w:val="auto"/>
              </w:rPr>
            </w:pPr>
          </w:p>
        </w:tc>
        <w:tc>
          <w:tcPr>
            <w:tcW w:w="180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62,892</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62,892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62,892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—1,536.4%</w:t>
            </w:r>
          </w:p>
        </w:tc>
        <w:tc>
          <w:tcPr>
            <w:tcW w:w="860" w:type="dxa"/>
            <w:vAlign w:val="bottom"/>
            <w:tcBorders>
              <w:bottom w:val="single" w:sz="8" w:color="CCECFF"/>
            </w:tcBorders>
            <w:shd w:val="clear" w:color="auto" w:fill="CCECFF"/>
          </w:tcPr>
          <w:p>
            <w:pPr>
              <w:spacing w:after="0"/>
              <w:rPr>
                <w:sz w:val="16"/>
                <w:szCs w:val="16"/>
                <w:color w:val="auto"/>
              </w:rPr>
            </w:pPr>
          </w:p>
        </w:tc>
        <w:tc>
          <w:tcPr>
            <w:tcW w:w="1800" w:type="dxa"/>
            <w:vAlign w:val="bottom"/>
            <w:tcBorders>
              <w:bottom w:val="single" w:sz="8" w:color="CCECFF"/>
            </w:tcBorders>
            <w:shd w:val="clear" w:color="auto" w:fill="CCECFF"/>
          </w:tcPr>
          <w:p>
            <w:pPr>
              <w:spacing w:after="0"/>
              <w:rPr>
                <w:sz w:val="16"/>
                <w:szCs w:val="16"/>
                <w:color w:val="auto"/>
              </w:rPr>
            </w:pPr>
          </w:p>
        </w:tc>
        <w:tc>
          <w:tcPr>
            <w:tcW w:w="112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92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942,420</w:t>
            </w:r>
          </w:p>
        </w:tc>
        <w:tc>
          <w:tcPr>
            <w:tcW w:w="20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932,576</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(1,436.4)%</w:t>
            </w: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(871,877 )</w:t>
            </w:r>
          </w:p>
        </w:tc>
        <w:tc>
          <w:tcPr>
            <w:tcW w:w="0" w:type="dxa"/>
            <w:vAlign w:val="bottom"/>
          </w:tcPr>
          <w:p>
            <w:pPr>
              <w:spacing w:after="0"/>
              <w:rPr>
                <w:sz w:val="1"/>
                <w:szCs w:val="1"/>
                <w:color w:val="auto"/>
              </w:rPr>
            </w:pPr>
          </w:p>
        </w:tc>
      </w:tr>
      <w:tr>
        <w:trPr>
          <w:trHeight w:val="188"/>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860" w:type="dxa"/>
            <w:vAlign w:val="bottom"/>
            <w:tcBorders>
              <w:bottom w:val="single" w:sz="8" w:color="CCECFF"/>
            </w:tcBorders>
            <w:shd w:val="clear" w:color="auto" w:fill="CCECFF"/>
          </w:tcPr>
          <w:p>
            <w:pPr>
              <w:spacing w:after="0"/>
              <w:rPr>
                <w:sz w:val="16"/>
                <w:szCs w:val="16"/>
                <w:color w:val="auto"/>
              </w:rPr>
            </w:pPr>
          </w:p>
        </w:tc>
        <w:tc>
          <w:tcPr>
            <w:tcW w:w="1800" w:type="dxa"/>
            <w:vAlign w:val="bottom"/>
            <w:tcBorders>
              <w:bottom w:val="single" w:sz="8" w:color="CCECFF"/>
            </w:tcBorders>
            <w:shd w:val="clear" w:color="auto" w:fill="CCECFF"/>
          </w:tcPr>
          <w:p>
            <w:pPr>
              <w:spacing w:after="0"/>
              <w:rPr>
                <w:sz w:val="16"/>
                <w:szCs w:val="16"/>
                <w:color w:val="auto"/>
              </w:rPr>
            </w:pPr>
          </w:p>
        </w:tc>
        <w:tc>
          <w:tcPr>
            <w:tcW w:w="112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92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20" w:type="dxa"/>
            <w:vAlign w:val="bottom"/>
            <w:tcBorders>
              <w:bottom w:val="single" w:sz="8" w:color="CCECFF"/>
            </w:tcBorders>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60,699</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LIBOR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06"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spacing w:after="0" w:line="198"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Security currently on interest non-accrual status.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2023 (Par and $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w:t>
            </w:r>
          </w:p>
        </w:tc>
        <w:tc>
          <w:tcPr>
            <w:tcW w:w="240" w:type="dxa"/>
            <w:vAlign w:val="bottom"/>
          </w:tcPr>
          <w:p>
            <w:pPr>
              <w:spacing w:after="0"/>
              <w:rPr>
                <w:sz w:val="12"/>
                <w:szCs w:val="12"/>
                <w:color w:val="auto"/>
              </w:rPr>
            </w:pPr>
          </w:p>
        </w:tc>
        <w:tc>
          <w:tcPr>
            <w:tcW w:w="6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2"/>
                <w:szCs w:val="12"/>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3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- 1,347.5%</w:t>
            </w: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2,940</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2,886</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11.65 %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8,723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8,754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11/30/2026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12,852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12,535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12,338</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5/23/2024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 March 2023</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5/23/2024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4,875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4,814</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7/21/2027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7,510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7,348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2,187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2,181</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11,013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9,579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9,475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9,387</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DDTL Unfunded (3)</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9,218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9,093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9,126</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15,132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14,905</w:t>
            </w:r>
          </w:p>
        </w:tc>
        <w:tc>
          <w:tcPr>
            <w:tcW w:w="0" w:type="dxa"/>
            <w:vAlign w:val="bottom"/>
          </w:tcPr>
          <w:p>
            <w:pPr>
              <w:spacing w:after="0"/>
              <w:rPr>
                <w:sz w:val="1"/>
                <w:szCs w:val="1"/>
                <w:color w:val="auto"/>
              </w:rPr>
            </w:pPr>
          </w:p>
        </w:tc>
      </w:tr>
      <w:tr>
        <w:trPr>
          <w:trHeight w:val="13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11.50 %</w:t>
            </w: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SOFR+626</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2,349</w:t>
            </w:r>
          </w:p>
        </w:tc>
        <w:tc>
          <w:tcPr>
            <w:tcW w:w="240" w:type="dxa"/>
            <w:vAlign w:val="bottom"/>
          </w:tcPr>
          <w:p>
            <w:pPr>
              <w:spacing w:after="0"/>
              <w:rPr>
                <w:sz w:val="11"/>
                <w:szCs w:val="11"/>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160" w:type="dxa"/>
            <w:vAlign w:val="bottom"/>
          </w:tcPr>
          <w:p>
            <w:pPr>
              <w:spacing w:after="0"/>
              <w:rPr>
                <w:sz w:val="11"/>
                <w:szCs w:val="11"/>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0" w:type="dxa"/>
            <w:vAlign w:val="bottom"/>
          </w:tcPr>
          <w:p>
            <w:pPr>
              <w:spacing w:after="0"/>
              <w:rPr>
                <w:sz w:val="1"/>
                <w:szCs w:val="1"/>
                <w:color w:val="auto"/>
              </w:rPr>
            </w:pPr>
          </w:p>
        </w:tc>
      </w:tr>
      <w:tr>
        <w:trPr>
          <w:trHeight w:val="100"/>
        </w:trPr>
        <w:tc>
          <w:tcPr>
            <w:tcW w:w="28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4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SOFR+688</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13,821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Cadence Aerospace,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11/14/2023</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4,011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2.00%)</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9,636</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SOFR+619</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6,820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6,722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6,684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4/10/2025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10.15 %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SOFR+476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5,499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9,232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9,201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8,955</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1.00%)</w:t>
            </w:r>
          </w:p>
        </w:tc>
        <w:tc>
          <w:tcPr>
            <w:tcW w:w="9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10/28/2028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6,797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6,559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6,445</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3,815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3,681</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14,712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14,511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14,429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14,376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14,256</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8,955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8,821</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1/17/2024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2,200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2,171</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12,675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12,422</w:t>
            </w:r>
          </w:p>
        </w:tc>
        <w:tc>
          <w:tcPr>
            <w:tcW w:w="0" w:type="dxa"/>
            <w:vAlign w:val="bottom"/>
          </w:tcPr>
          <w:p>
            <w:pPr>
              <w:spacing w:after="0"/>
              <w:rPr>
                <w:sz w:val="1"/>
                <w:szCs w:val="1"/>
                <w:color w:val="auto"/>
              </w:rPr>
            </w:pPr>
          </w:p>
        </w:tc>
      </w:tr>
      <w:tr>
        <w:trPr>
          <w:trHeight w:val="140"/>
        </w:trPr>
        <w:tc>
          <w:tcPr>
            <w:tcW w:w="28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24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11.89 %</w:t>
            </w:r>
          </w:p>
        </w:tc>
        <w:tc>
          <w:tcPr>
            <w:tcW w:w="960" w:type="dxa"/>
            <w:vAlign w:val="bottom"/>
            <w:vMerge w:val="restart"/>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04"/>
        </w:trPr>
        <w:tc>
          <w:tcPr>
            <w:tcW w:w="2880" w:type="dxa"/>
            <w:vAlign w:val="bottom"/>
            <w:vMerge w:val="continue"/>
            <w:shd w:val="clear" w:color="auto" w:fill="CCECFF"/>
          </w:tcPr>
          <w:p>
            <w:pPr>
              <w:spacing w:after="0"/>
              <w:rPr>
                <w:sz w:val="9"/>
                <w:szCs w:val="9"/>
                <w:color w:val="auto"/>
              </w:rPr>
            </w:pPr>
          </w:p>
        </w:tc>
        <w:tc>
          <w:tcPr>
            <w:tcW w:w="840" w:type="dxa"/>
            <w:vAlign w:val="bottom"/>
            <w:vMerge w:val="continue"/>
            <w:shd w:val="clear" w:color="auto" w:fill="CCECFF"/>
          </w:tcPr>
          <w:p>
            <w:pPr>
              <w:spacing w:after="0"/>
              <w:rPr>
                <w:sz w:val="9"/>
                <w:szCs w:val="9"/>
                <w:color w:val="auto"/>
              </w:rPr>
            </w:pPr>
          </w:p>
        </w:tc>
        <w:tc>
          <w:tcPr>
            <w:tcW w:w="2460" w:type="dxa"/>
            <w:vAlign w:val="bottom"/>
            <w:vMerge w:val="continue"/>
            <w:shd w:val="clear" w:color="auto" w:fill="CCECFF"/>
          </w:tcPr>
          <w:p>
            <w:pPr>
              <w:spacing w:after="0"/>
              <w:rPr>
                <w:sz w:val="9"/>
                <w:szCs w:val="9"/>
                <w:color w:val="auto"/>
              </w:rPr>
            </w:pPr>
          </w:p>
        </w:tc>
        <w:tc>
          <w:tcPr>
            <w:tcW w:w="940" w:type="dxa"/>
            <w:vAlign w:val="bottom"/>
            <w:vMerge w:val="continue"/>
            <w:shd w:val="clear" w:color="auto" w:fill="CCECFF"/>
          </w:tcPr>
          <w:p>
            <w:pPr>
              <w:spacing w:after="0"/>
              <w:rPr>
                <w:sz w:val="9"/>
                <w:szCs w:val="9"/>
                <w:color w:val="auto"/>
              </w:rPr>
            </w:pPr>
          </w:p>
        </w:tc>
        <w:tc>
          <w:tcPr>
            <w:tcW w:w="960" w:type="dxa"/>
            <w:vAlign w:val="bottom"/>
            <w:vMerge w:val="continue"/>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10,195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10,143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10,114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11.96 %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3,736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3,549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2,322</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12/31/2026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2,194</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11/23/2028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4,913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12/10/2024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11.75 %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3,014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2,968</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11/15/2027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9,248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9,075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9,110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12/31/2024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12.51 %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16,257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16,453</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12/28/2028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6,090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6,090</w:t>
            </w:r>
          </w:p>
        </w:tc>
        <w:tc>
          <w:tcPr>
            <w:tcW w:w="0" w:type="dxa"/>
            <w:vAlign w:val="bottom"/>
          </w:tcPr>
          <w:p>
            <w:pPr>
              <w:spacing w:after="0"/>
              <w:rPr>
                <w:sz w:val="1"/>
                <w:szCs w:val="1"/>
                <w:color w:val="auto"/>
              </w:rPr>
            </w:pPr>
          </w:p>
        </w:tc>
      </w:tr>
      <w:tr>
        <w:trPr>
          <w:trHeight w:val="196"/>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Integrated Data Services</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line="196" w:lineRule="exact"/>
              <w:rPr>
                <w:sz w:val="20"/>
                <w:szCs w:val="20"/>
                <w:color w:val="auto"/>
              </w:rPr>
            </w:pPr>
            <w:r>
              <w:rPr>
                <w:rFonts w:ascii="Times New Roman" w:cs="Times New Roman" w:eastAsia="Times New Roman" w:hAnsi="Times New Roman"/>
                <w:sz w:val="10"/>
                <w:szCs w:val="10"/>
                <w:color w:val="auto"/>
              </w:rPr>
              <w:t xml:space="preserve">11.87 </w:t>
            </w:r>
            <w:r>
              <w:rPr>
                <w:rFonts w:ascii="Times New Roman" w:cs="Times New Roman" w:eastAsia="Times New Roman" w:hAnsi="Times New Roman"/>
                <w:sz w:val="19"/>
                <w:szCs w:val="19"/>
                <w:color w:val="auto"/>
                <w:vertAlign w:val="subscript"/>
              </w:rPr>
              <w:t>%</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18,904</w:t>
            </w:r>
          </w:p>
        </w:tc>
        <w:tc>
          <w:tcPr>
            <w:tcW w:w="240" w:type="dxa"/>
            <w:vAlign w:val="bottom"/>
            <w:shd w:val="clear" w:color="auto" w:fill="CCECFF"/>
          </w:tcPr>
          <w:p>
            <w:pPr>
              <w:spacing w:after="0"/>
              <w:rPr>
                <w:sz w:val="17"/>
                <w:szCs w:val="17"/>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18,532</w:t>
            </w:r>
          </w:p>
        </w:tc>
        <w:tc>
          <w:tcPr>
            <w:tcW w:w="160" w:type="dxa"/>
            <w:vAlign w:val="bottom"/>
            <w:shd w:val="clear" w:color="auto" w:fill="CCECFF"/>
          </w:tcPr>
          <w:p>
            <w:pPr>
              <w:spacing w:after="0"/>
              <w:rPr>
                <w:sz w:val="17"/>
                <w:szCs w:val="17"/>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18,463</w:t>
            </w:r>
          </w:p>
        </w:tc>
        <w:tc>
          <w:tcPr>
            <w:tcW w:w="0" w:type="dxa"/>
            <w:vAlign w:val="bottom"/>
          </w:tcPr>
          <w:p>
            <w:pPr>
              <w:spacing w:after="0"/>
              <w:rPr>
                <w:sz w:val="1"/>
                <w:szCs w:val="1"/>
                <w:color w:val="auto"/>
              </w:rPr>
            </w:pPr>
          </w:p>
        </w:tc>
      </w:tr>
      <w:tr>
        <w:trPr>
          <w:trHeight w:val="13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11,105</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11,083</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10,439</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2.25%)</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8/27/2026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5,906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5,851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5,847</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SOFR+761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8,246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8,104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8,080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3,886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3,861</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12/20/2023</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SOFR+810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15,509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15,487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15,509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11/10/2027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16,662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16,346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16,412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14,210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13,989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14,068</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10/31/2024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SOFR+643</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15,042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14,997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14,862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11,911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11,935</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2,534</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5/26/2028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7,481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7,337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(4)</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7/20/2027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96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OpCo DIP Loans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SOFR+1000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2,097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1,986</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2,228</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33"/>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Unfunded Term</w:t>
            </w: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Loan (3)</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3,782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11,472</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7,758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6,271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6,244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12/10/2027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3/28/2024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5,769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5,763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5,740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&amp; Childcare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10,711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10,497</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5/9/2029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5,042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4,970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5,042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Milani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6/6/2024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14,213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14,194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14,213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11.68 %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15,849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15,588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15,849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Output Services Group, Inc. </w:t>
            </w:r>
            <w:r>
              <w:rPr>
                <w:rFonts w:ascii="Times New Roman" w:cs="Times New Roman" w:eastAsia="Times New Roman" w:hAnsi="Times New Roman"/>
                <w:sz w:val="12"/>
                <w:szCs w:val="12"/>
                <w:color w:val="auto"/>
                <w:vertAlign w:val="superscript"/>
              </w:rPr>
              <w:t>(4)</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6/27/2026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7,759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7,689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1,513</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SOFR+751</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4,345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4,269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Peaquod Merger Sub,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11,474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25"/>
        </w:trPr>
        <w:tc>
          <w:tcPr>
            <w:tcW w:w="28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46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10.68</w:t>
            </w:r>
          </w:p>
        </w:tc>
        <w:tc>
          <w:tcPr>
            <w:tcW w:w="960" w:type="dxa"/>
            <w:vAlign w:val="bottom"/>
            <w:shd w:val="clear" w:color="auto" w:fill="CCECFF"/>
          </w:tcPr>
          <w:p>
            <w:pPr>
              <w:spacing w:after="0"/>
              <w:rPr>
                <w:sz w:val="10"/>
                <w:szCs w:val="10"/>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9,493</w:t>
            </w:r>
          </w:p>
        </w:tc>
        <w:tc>
          <w:tcPr>
            <w:tcW w:w="240" w:type="dxa"/>
            <w:vAlign w:val="bottom"/>
            <w:shd w:val="clear" w:color="auto" w:fill="CCECFF"/>
          </w:tcPr>
          <w:p>
            <w:pPr>
              <w:spacing w:after="0"/>
              <w:rPr>
                <w:sz w:val="10"/>
                <w:szCs w:val="10"/>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9,282</w:t>
            </w:r>
          </w:p>
        </w:tc>
        <w:tc>
          <w:tcPr>
            <w:tcW w:w="16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7,974</w:t>
            </w:r>
          </w:p>
        </w:tc>
        <w:tc>
          <w:tcPr>
            <w:tcW w:w="0" w:type="dxa"/>
            <w:vAlign w:val="bottom"/>
          </w:tcPr>
          <w:p>
            <w:pPr>
              <w:spacing w:after="0"/>
              <w:rPr>
                <w:sz w:val="1"/>
                <w:szCs w:val="1"/>
                <w:color w:val="auto"/>
              </w:rPr>
            </w:pPr>
          </w:p>
        </w:tc>
      </w:tr>
      <w:tr>
        <w:trPr>
          <w:trHeight w:val="13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9/29/2025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7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7,565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7,467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4.00%)</w:t>
            </w:r>
          </w:p>
        </w:tc>
        <w:tc>
          <w:tcPr>
            <w:tcW w:w="9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2,551</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2,491</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40" w:orient="portrait"/>
          <w:cols w:equalWidth="0" w:num="1">
            <w:col w:w="10560"/>
          </w:cols>
          <w:pgMar w:left="660" w:top="1132" w:right="680" w:bottom="753"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401320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753"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4"/>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6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Par</w:t>
            </w:r>
          </w:p>
        </w:tc>
        <w:tc>
          <w:tcPr>
            <w:tcW w:w="140" w:type="dxa"/>
            <w:vAlign w:val="bottom"/>
          </w:tcPr>
          <w:p>
            <w:pPr>
              <w:spacing w:after="0"/>
              <w:rPr>
                <w:sz w:val="11"/>
                <w:szCs w:val="11"/>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r>
      <w:tr>
        <w:trPr>
          <w:trHeight w:val="144"/>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7/6/2028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11,138</w:t>
            </w:r>
          </w:p>
        </w:tc>
        <w:tc>
          <w:tcPr>
            <w:tcW w:w="1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10,999</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10,636</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11/19/2026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2,803</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2,761</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12/18/2025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1,029</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2/28/2028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4,938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4,876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4,740</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1/29/2026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4,875</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4,825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12/20/2024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SOFR+576</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12,432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10,878</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3,749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1/3/2025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9,522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9,474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9,475</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12/20/2024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SOFR+760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5,167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5,148</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5,116</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1.00%)</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7/14/2025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11,791</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11,777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11,407</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0.50%)</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6/13/2029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4,950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4,802</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12/18/2025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SOFR+865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13,787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13,579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13,580</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5/17/2028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10/14/2025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11,796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11,739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10,598</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7/17/2025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4,563</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4,112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12/11/2026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9,075</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9,025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8,894</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1,786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1,779</w:t>
            </w:r>
          </w:p>
        </w:tc>
        <w:tc>
          <w:tcPr>
            <w:tcW w:w="80" w:type="dxa"/>
            <w:vAlign w:val="bottom"/>
          </w:tcPr>
          <w:p>
            <w:pPr>
              <w:spacing w:after="0"/>
              <w:rPr>
                <w:sz w:val="12"/>
                <w:szCs w:val="12"/>
                <w:color w:val="auto"/>
              </w:rPr>
            </w:pPr>
          </w:p>
        </w:tc>
      </w:tr>
      <w:tr>
        <w:trPr>
          <w:trHeight w:val="137"/>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80" w:type="dxa"/>
            <w:vAlign w:val="bottom"/>
            <w:shd w:val="clear" w:color="auto" w:fill="CCECFF"/>
          </w:tcPr>
          <w:p>
            <w:pPr>
              <w:spacing w:after="0"/>
              <w:rPr>
                <w:sz w:val="11"/>
                <w:szCs w:val="11"/>
                <w:color w:val="auto"/>
              </w:rPr>
            </w:pPr>
          </w:p>
        </w:tc>
        <w:tc>
          <w:tcPr>
            <w:tcW w:w="24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r>
      <w:tr>
        <w:trPr>
          <w:trHeight w:val="13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8/16/2027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14,738</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14,575</w:t>
            </w:r>
          </w:p>
        </w:tc>
        <w:tc>
          <w:tcPr>
            <w:tcW w:w="80" w:type="dxa"/>
            <w:vAlign w:val="bottom"/>
            <w:shd w:val="clear" w:color="auto" w:fill="CCECFF"/>
          </w:tcPr>
          <w:p>
            <w:pPr>
              <w:spacing w:after="0"/>
              <w:rPr>
                <w:sz w:val="11"/>
                <w:szCs w:val="1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10.75 %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7/18/2025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2,262</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2,259</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10/31/2025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5,602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5,518</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7/27/2026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5,403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5,336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5,382</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8/31/2027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7,716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7,591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7,656</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10.95 %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8,654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8,556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8,654</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6/16/2025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4,316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4,310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4,316</w:t>
            </w:r>
          </w:p>
        </w:tc>
        <w:tc>
          <w:tcPr>
            <w:tcW w:w="80" w:type="dxa"/>
            <w:vAlign w:val="bottom"/>
          </w:tcPr>
          <w:p>
            <w:pPr>
              <w:spacing w:after="0"/>
              <w:rPr>
                <w:sz w:val="12"/>
                <w:szCs w:val="12"/>
                <w:color w:val="auto"/>
              </w:rPr>
            </w:pPr>
          </w:p>
        </w:tc>
      </w:tr>
      <w:tr>
        <w:trPr>
          <w:trHeight w:val="164"/>
        </w:trPr>
        <w:tc>
          <w:tcPr>
            <w:tcW w:w="28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80" w:type="dxa"/>
            <w:vAlign w:val="bottom"/>
            <w:tcBorders>
              <w:bottom w:val="single" w:sz="8" w:color="CCECFF"/>
            </w:tcBorders>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4/1/2028</w:t>
            </w:r>
          </w:p>
        </w:tc>
        <w:tc>
          <w:tcPr>
            <w:tcW w:w="24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tcBorders>
              <w:bottom w:val="single" w:sz="8" w:color="CCECFF"/>
            </w:tcBorders>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960" w:type="dxa"/>
            <w:vAlign w:val="bottom"/>
            <w:tcBorders>
              <w:bottom w:val="single" w:sz="8" w:color="CCECFF"/>
            </w:tcBorders>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tcBorders>
              <w:bottom w:val="single" w:sz="8" w:color="CCECFF"/>
            </w:tcBorders>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140" w:type="dxa"/>
            <w:vAlign w:val="bottom"/>
            <w:tcBorders>
              <w:bottom w:val="single" w:sz="8" w:color="CCECFF"/>
            </w:tcBorders>
            <w:shd w:val="clear" w:color="auto" w:fill="CCECFF"/>
          </w:tcPr>
          <w:p>
            <w:pPr>
              <w:spacing w:after="0"/>
              <w:rPr>
                <w:sz w:val="14"/>
                <w:szCs w:val="14"/>
                <w:color w:val="auto"/>
              </w:rPr>
            </w:pPr>
          </w:p>
        </w:tc>
        <w:tc>
          <w:tcPr>
            <w:tcW w:w="5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14,565</w:t>
            </w:r>
          </w:p>
        </w:tc>
        <w:tc>
          <w:tcPr>
            <w:tcW w:w="20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CCECFF"/>
            </w:tcBorders>
            <w:shd w:val="clear" w:color="auto" w:fill="CCECFF"/>
          </w:tcPr>
          <w:p>
            <w:pPr>
              <w:spacing w:after="0"/>
              <w:rPr>
                <w:sz w:val="14"/>
                <w:szCs w:val="14"/>
                <w:color w:val="auto"/>
              </w:rPr>
            </w:pPr>
          </w:p>
        </w:tc>
        <w:tc>
          <w:tcPr>
            <w:tcW w:w="6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13,379</w:t>
            </w:r>
          </w:p>
        </w:tc>
        <w:tc>
          <w:tcPr>
            <w:tcW w:w="80" w:type="dxa"/>
            <w:vAlign w:val="bottom"/>
            <w:tcBorders>
              <w:bottom w:val="single" w:sz="8" w:color="CCECFF"/>
            </w:tcBorders>
            <w:shd w:val="clear" w:color="auto" w:fill="CCECFF"/>
          </w:tcPr>
          <w:p>
            <w:pPr>
              <w:spacing w:after="0"/>
              <w:rPr>
                <w:sz w:val="14"/>
                <w:szCs w:val="14"/>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6,892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SOFR+685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3,521</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80" w:type="dxa"/>
            <w:vAlign w:val="bottom"/>
            <w:shd w:val="clear" w:color="auto" w:fill="CCECFF"/>
          </w:tcPr>
          <w:p>
            <w:pPr>
              <w:spacing w:after="0"/>
              <w:rPr>
                <w:sz w:val="12"/>
                <w:szCs w:val="12"/>
                <w:color w:val="auto"/>
              </w:rPr>
            </w:pPr>
          </w:p>
        </w:tc>
      </w:tr>
      <w:tr>
        <w:trPr>
          <w:trHeight w:val="133"/>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Revolving Credit</w:t>
            </w:r>
          </w:p>
        </w:tc>
        <w:tc>
          <w:tcPr>
            <w:tcW w:w="8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Facility</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11.68 %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tcPr>
          <w:p>
            <w:pPr>
              <w:spacing w:after="0"/>
              <w:rPr>
                <w:sz w:val="11"/>
                <w:szCs w:val="1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2/27/2026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10,565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10,491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10,460</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16,732</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16,660</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16,188</w:t>
            </w:r>
          </w:p>
        </w:tc>
        <w:tc>
          <w:tcPr>
            <w:tcW w:w="80" w:type="dxa"/>
            <w:vAlign w:val="bottom"/>
            <w:shd w:val="clear" w:color="auto" w:fill="CCECFF"/>
          </w:tcPr>
          <w:p>
            <w:pPr>
              <w:spacing w:after="0"/>
              <w:rPr>
                <w:sz w:val="12"/>
                <w:szCs w:val="12"/>
                <w:color w:val="auto"/>
              </w:rPr>
            </w:pPr>
          </w:p>
        </w:tc>
      </w:tr>
      <w:tr>
        <w:trPr>
          <w:trHeight w:val="144"/>
        </w:trPr>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801,215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783,598</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- 3.9%</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- 1,351.4%</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804,608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785,859</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- 133.2%</w:t>
            </w:r>
          </w:p>
        </w:tc>
        <w:tc>
          <w:tcPr>
            <w:tcW w:w="8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0" w:type="dxa"/>
            <w:vAlign w:val="bottom"/>
          </w:tcPr>
          <w:p>
            <w:pPr>
              <w:spacing w:after="0"/>
              <w:rPr>
                <w:sz w:val="12"/>
                <w:szCs w:val="12"/>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0" w:type="dxa"/>
            <w:vAlign w:val="bottom"/>
            <w:shd w:val="clear" w:color="auto" w:fill="CCECFF"/>
          </w:tcPr>
          <w:p>
            <w:pPr>
              <w:spacing w:after="0"/>
              <w:rPr>
                <w:sz w:val="12"/>
                <w:szCs w:val="12"/>
                <w:color w:val="auto"/>
              </w:rPr>
            </w:pPr>
          </w:p>
        </w:tc>
      </w:tr>
      <w:tr>
        <w:trPr>
          <w:trHeight w:val="144"/>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—1,484.6%</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882,054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863,305</w:t>
            </w:r>
          </w:p>
        </w:tc>
        <w:tc>
          <w:tcPr>
            <w:tcW w:w="80" w:type="dxa"/>
            <w:vAlign w:val="bottom"/>
          </w:tcPr>
          <w:p>
            <w:pPr>
              <w:spacing w:after="0"/>
              <w:rPr>
                <w:sz w:val="12"/>
                <w:szCs w:val="12"/>
                <w:color w:val="auto"/>
              </w:rPr>
            </w:pPr>
          </w:p>
        </w:tc>
      </w:tr>
      <w:tr>
        <w:trPr>
          <w:trHeight w:val="20"/>
        </w:trPr>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(1,384.6)%</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(805,155 )</w:t>
            </w:r>
          </w:p>
        </w:tc>
      </w:tr>
      <w:tr>
        <w:trPr>
          <w:trHeight w:val="144"/>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58,150</w:t>
            </w:r>
          </w:p>
        </w:tc>
        <w:tc>
          <w:tcPr>
            <w:tcW w:w="80" w:type="dxa"/>
            <w:vAlign w:val="bottom"/>
          </w:tcPr>
          <w:p>
            <w:pPr>
              <w:spacing w:after="0"/>
              <w:rPr>
                <w:sz w:val="12"/>
                <w:szCs w:val="12"/>
                <w:color w:val="auto"/>
              </w:rPr>
            </w:pPr>
          </w:p>
        </w:tc>
      </w:tr>
      <w:tr>
        <w:trPr>
          <w:trHeight w:val="20"/>
        </w:trPr>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LIBOR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spacing w:after="0" w:line="206"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spacing w:after="0" w:line="198" w:lineRule="auto"/>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a delayed settlement or a revolving line of credit that is currently an unfunded investment. This security does not earn a basis point spread above an index while it is unfunded.</w:t>
      </w:r>
    </w:p>
    <w:p>
      <w:pPr>
        <w:spacing w:after="0"/>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Security currently on interest non-accrual status.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PSSL ($ in thousands):</w:t>
            </w:r>
          </w:p>
        </w:tc>
        <w:tc>
          <w:tcPr>
            <w:tcW w:w="1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72"/>
        </w:trPr>
        <w:tc>
          <w:tcPr>
            <w:tcW w:w="5700" w:type="dxa"/>
            <w:vAlign w:val="bottom"/>
          </w:tcPr>
          <w:p>
            <w:pPr>
              <w:spacing w:after="0"/>
              <w:rPr>
                <w:sz w:val="24"/>
                <w:szCs w:val="24"/>
                <w:color w:val="auto"/>
              </w:rPr>
            </w:pPr>
          </w:p>
        </w:tc>
        <w:tc>
          <w:tcPr>
            <w:tcW w:w="19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5700" w:type="dxa"/>
            <w:vAlign w:val="bottom"/>
          </w:tcPr>
          <w:p>
            <w:pPr>
              <w:spacing w:after="0"/>
              <w:rPr>
                <w:sz w:val="16"/>
                <w:szCs w:val="16"/>
                <w:color w:val="auto"/>
              </w:rPr>
            </w:pPr>
          </w:p>
        </w:tc>
        <w:tc>
          <w:tcPr>
            <w:tcW w:w="1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cost—$879,528 and $804,608, respectively)</w:t>
            </w:r>
          </w:p>
        </w:tc>
        <w:tc>
          <w:tcPr>
            <w:tcW w:w="1940" w:type="dxa"/>
            <w:vAlign w:val="bottom"/>
          </w:tcPr>
          <w:p>
            <w:pPr>
              <w:jc w:val="right"/>
              <w:ind w:right="173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869,684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785,859</w:t>
            </w:r>
          </w:p>
        </w:tc>
        <w:tc>
          <w:tcPr>
            <w:tcW w:w="80" w:type="dxa"/>
            <w:vAlign w:val="bottom"/>
          </w:tcPr>
          <w:p>
            <w:pPr>
              <w:spacing w:after="0"/>
              <w:rPr>
                <w:sz w:val="15"/>
                <w:szCs w:val="15"/>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(cost—$62,892 and $77,446, respectively)</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62,892</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77,446</w:t>
            </w:r>
          </w:p>
        </w:tc>
        <w:tc>
          <w:tcPr>
            <w:tcW w:w="80" w:type="dxa"/>
            <w:vAlign w:val="bottom"/>
            <w:shd w:val="clear" w:color="auto" w:fill="CCECFF"/>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80" w:type="dxa"/>
            <w:vAlign w:val="bottom"/>
          </w:tcPr>
          <w:p>
            <w:pPr>
              <w:spacing w:after="0"/>
              <w:rPr>
                <w:sz w:val="15"/>
                <w:szCs w:val="15"/>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shd w:val="clear" w:color="auto" w:fill="CCECFF"/>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5"/>
                <w:szCs w:val="15"/>
                <w:color w:val="auto"/>
              </w:rPr>
            </w:pPr>
          </w:p>
        </w:tc>
      </w:tr>
      <w:tr>
        <w:trPr>
          <w:trHeight w:val="184"/>
        </w:trPr>
        <w:tc>
          <w:tcPr>
            <w:tcW w:w="5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940,966</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shd w:val="clear" w:color="auto" w:fill="CCECFF"/>
          </w:tcPr>
          <w:p>
            <w:pPr>
              <w:spacing w:after="0"/>
              <w:rPr>
                <w:sz w:val="16"/>
                <w:szCs w:val="16"/>
                <w:color w:val="auto"/>
              </w:rPr>
            </w:pPr>
          </w:p>
        </w:tc>
      </w:tr>
      <w:tr>
        <w:trPr>
          <w:trHeight w:val="177"/>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94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135,600</w:t>
            </w:r>
          </w:p>
        </w:tc>
        <w:tc>
          <w:tcPr>
            <w:tcW w:w="30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48,600</w:t>
            </w:r>
          </w:p>
        </w:tc>
        <w:tc>
          <w:tcPr>
            <w:tcW w:w="80" w:type="dxa"/>
            <w:vAlign w:val="bottom"/>
            <w:shd w:val="clear" w:color="auto" w:fill="CCECFF"/>
          </w:tcPr>
          <w:p>
            <w:pPr>
              <w:spacing w:after="0"/>
              <w:rPr>
                <w:sz w:val="15"/>
                <w:szCs w:val="15"/>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 Asset-backed debt, net (par—$246,000)</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244,277</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243,973</w:t>
            </w:r>
          </w:p>
        </w:tc>
        <w:tc>
          <w:tcPr>
            <w:tcW w:w="80" w:type="dxa"/>
            <w:vAlign w:val="bottom"/>
          </w:tcPr>
          <w:p>
            <w:pPr>
              <w:spacing w:after="0"/>
              <w:rPr>
                <w:sz w:val="15"/>
                <w:szCs w:val="15"/>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243,708</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243,483</w:t>
            </w:r>
          </w:p>
        </w:tc>
        <w:tc>
          <w:tcPr>
            <w:tcW w:w="80" w:type="dxa"/>
            <w:vAlign w:val="bottom"/>
            <w:shd w:val="clear" w:color="auto" w:fill="CCECFF"/>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240,100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240,100</w:t>
            </w:r>
          </w:p>
        </w:tc>
        <w:tc>
          <w:tcPr>
            <w:tcW w:w="80" w:type="dxa"/>
            <w:vAlign w:val="bottom"/>
          </w:tcPr>
          <w:p>
            <w:pPr>
              <w:spacing w:after="0"/>
              <w:rPr>
                <w:sz w:val="15"/>
                <w:szCs w:val="15"/>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9,406</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80" w:type="dxa"/>
            <w:vAlign w:val="bottom"/>
            <w:shd w:val="clear" w:color="auto" w:fill="CCECFF"/>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13,466</w:t>
            </w:r>
          </w:p>
        </w:tc>
        <w:tc>
          <w:tcPr>
            <w:tcW w:w="80" w:type="dxa"/>
            <w:vAlign w:val="bottom"/>
          </w:tcPr>
          <w:p>
            <w:pPr>
              <w:spacing w:after="0"/>
              <w:rPr>
                <w:sz w:val="15"/>
                <w:szCs w:val="15"/>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6,395</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6,488</w:t>
            </w:r>
          </w:p>
        </w:tc>
        <w:tc>
          <w:tcPr>
            <w:tcW w:w="80" w:type="dxa"/>
            <w:vAlign w:val="bottom"/>
            <w:shd w:val="clear" w:color="auto" w:fill="CCECFF"/>
          </w:tcPr>
          <w:p>
            <w:pPr>
              <w:spacing w:after="0"/>
              <w:rPr>
                <w:sz w:val="16"/>
                <w:szCs w:val="16"/>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5"/>
                <w:szCs w:val="15"/>
                <w:color w:val="auto"/>
              </w:rPr>
            </w:pPr>
          </w:p>
        </w:tc>
      </w:tr>
      <w:tr>
        <w:trPr>
          <w:trHeight w:val="184"/>
        </w:trPr>
        <w:tc>
          <w:tcPr>
            <w:tcW w:w="5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880,267</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811,260</w:t>
            </w:r>
          </w:p>
        </w:tc>
        <w:tc>
          <w:tcPr>
            <w:tcW w:w="80" w:type="dxa"/>
            <w:vAlign w:val="bottom"/>
            <w:shd w:val="clear" w:color="auto" w:fill="CCECFF"/>
          </w:tcPr>
          <w:p>
            <w:pPr>
              <w:spacing w:after="0"/>
              <w:rPr>
                <w:sz w:val="16"/>
                <w:szCs w:val="16"/>
                <w:color w:val="auto"/>
              </w:rPr>
            </w:pPr>
          </w:p>
        </w:tc>
      </w:tr>
      <w:tr>
        <w:trPr>
          <w:trHeight w:val="180"/>
        </w:trPr>
        <w:tc>
          <w:tcPr>
            <w:tcW w:w="57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Commitments and contingencies</w:t>
            </w:r>
            <w:r>
              <w:rPr>
                <w:rFonts w:ascii="Times New Roman" w:cs="Times New Roman" w:eastAsia="Times New Roman" w:hAnsi="Times New Roman"/>
                <w:sz w:val="16"/>
                <w:szCs w:val="16"/>
                <w:color w:val="auto"/>
                <w:vertAlign w:val="superscript"/>
              </w:rPr>
              <w:t>(1)</w:t>
            </w:r>
          </w:p>
        </w:tc>
        <w:tc>
          <w:tcPr>
            <w:tcW w:w="1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94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60,699</w:t>
            </w:r>
          </w:p>
        </w:tc>
        <w:tc>
          <w:tcPr>
            <w:tcW w:w="30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58,150</w:t>
            </w:r>
          </w:p>
        </w:tc>
        <w:tc>
          <w:tcPr>
            <w:tcW w:w="80" w:type="dxa"/>
            <w:vAlign w:val="bottom"/>
            <w:shd w:val="clear" w:color="auto" w:fill="CCECFF"/>
          </w:tcPr>
          <w:p>
            <w:pPr>
              <w:spacing w:after="0"/>
              <w:rPr>
                <w:sz w:val="15"/>
                <w:szCs w:val="15"/>
                <w:color w:val="auto"/>
              </w:rPr>
            </w:pPr>
          </w:p>
        </w:tc>
      </w:tr>
      <w:tr>
        <w:trPr>
          <w:trHeight w:val="177"/>
        </w:trPr>
        <w:tc>
          <w:tcPr>
            <w:tcW w:w="57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940" w:type="dxa"/>
            <w:vAlign w:val="bottom"/>
          </w:tcPr>
          <w:p>
            <w:pPr>
              <w:jc w:val="right"/>
              <w:ind w:right="173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940,966</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tcPr>
          <w:p>
            <w:pPr>
              <w:spacing w:after="0"/>
              <w:rPr>
                <w:sz w:val="15"/>
                <w:szCs w:val="15"/>
                <w:color w:val="auto"/>
              </w:rPr>
            </w:pPr>
          </w:p>
        </w:tc>
      </w:tr>
      <w:tr>
        <w:trPr>
          <w:trHeight w:val="20"/>
        </w:trPr>
        <w:tc>
          <w:tcPr>
            <w:tcW w:w="57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As of March 31, 2024 and September 30, 2023, PSSL had unfunded commitments to fund investments of $1.2 million and $1.1 million,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PSSL ($ 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72"/>
        </w:trPr>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20" w:type="dxa"/>
            <w:vAlign w:val="bottom"/>
          </w:tcPr>
          <w:p>
            <w:pPr>
              <w:spacing w:after="0"/>
              <w:rPr>
                <w:sz w:val="24"/>
                <w:szCs w:val="24"/>
                <w:color w:val="auto"/>
              </w:rPr>
            </w:pPr>
          </w:p>
        </w:tc>
        <w:tc>
          <w:tcPr>
            <w:tcW w:w="216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r>
      <w:tr>
        <w:trPr>
          <w:trHeight w:val="18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26,916</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21,292</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52,964</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40,908</w:t>
            </w:r>
          </w:p>
        </w:tc>
        <w:tc>
          <w:tcPr>
            <w:tcW w:w="80" w:type="dxa"/>
            <w:vAlign w:val="bottom"/>
            <w:shd w:val="clear" w:color="auto" w:fill="CCECFF"/>
          </w:tcPr>
          <w:p>
            <w:pPr>
              <w:spacing w:after="0"/>
              <w:rPr>
                <w:sz w:val="16"/>
                <w:szCs w:val="16"/>
                <w:color w:val="auto"/>
              </w:rPr>
            </w:pPr>
          </w:p>
        </w:tc>
      </w:tr>
      <w:tr>
        <w:trPr>
          <w:trHeight w:val="176"/>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tcPr>
          <w:p>
            <w:pPr>
              <w:spacing w:after="0"/>
              <w:rPr>
                <w:sz w:val="15"/>
                <w:szCs w:val="15"/>
                <w:color w:val="auto"/>
              </w:rPr>
            </w:pP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27,304</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21,739</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53,529</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41,465</w:t>
            </w:r>
          </w:p>
        </w:tc>
        <w:tc>
          <w:tcPr>
            <w:tcW w:w="80" w:type="dxa"/>
            <w:vAlign w:val="bottom"/>
            <w:shd w:val="clear" w:color="auto" w:fill="CCECFF"/>
          </w:tcPr>
          <w:p>
            <w:pPr>
              <w:spacing w:after="0"/>
              <w:rPr>
                <w:sz w:val="16"/>
                <w:szCs w:val="16"/>
                <w:color w:val="auto"/>
              </w:rPr>
            </w:pPr>
          </w:p>
        </w:tc>
      </w:tr>
      <w:tr>
        <w:trPr>
          <w:trHeight w:val="180"/>
        </w:trPr>
        <w:tc>
          <w:tcPr>
            <w:tcW w:w="5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b w:val="1"/>
                <w:bCs w:val="1"/>
                <w:color w:val="auto"/>
              </w:rPr>
              <w:t>Expenses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and expense on credit facility and asset-backed debt</w:t>
            </w:r>
          </w:p>
        </w:tc>
        <w:tc>
          <w:tcPr>
            <w:tcW w:w="18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13,784</w:t>
            </w:r>
          </w:p>
        </w:tc>
        <w:tc>
          <w:tcPr>
            <w:tcW w:w="3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9,678</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27,181</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18,319</w:t>
            </w:r>
          </w:p>
        </w:tc>
        <w:tc>
          <w:tcPr>
            <w:tcW w:w="80" w:type="dxa"/>
            <w:vAlign w:val="bottom"/>
            <w:shd w:val="clear" w:color="auto" w:fill="CCECFF"/>
          </w:tcPr>
          <w:p>
            <w:pPr>
              <w:spacing w:after="0"/>
              <w:rPr>
                <w:sz w:val="15"/>
                <w:szCs w:val="15"/>
                <w:color w:val="auto"/>
              </w:rPr>
            </w:pPr>
          </w:p>
        </w:tc>
      </w:tr>
      <w:tr>
        <w:trPr>
          <w:trHeight w:val="176"/>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8,095</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14,173</w:t>
            </w:r>
          </w:p>
        </w:tc>
        <w:tc>
          <w:tcPr>
            <w:tcW w:w="80" w:type="dxa"/>
            <w:vAlign w:val="bottom"/>
          </w:tcPr>
          <w:p>
            <w:pPr>
              <w:spacing w:after="0"/>
              <w:rPr>
                <w:sz w:val="15"/>
                <w:szCs w:val="15"/>
                <w:color w:val="auto"/>
              </w:rPr>
            </w:pP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1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80" w:type="dxa"/>
            <w:vAlign w:val="bottom"/>
            <w:shd w:val="clear" w:color="auto" w:fill="CCECFF"/>
          </w:tcPr>
          <w:p>
            <w:pPr>
              <w:spacing w:after="0"/>
              <w:rPr>
                <w:sz w:val="16"/>
                <w:szCs w:val="16"/>
                <w:color w:val="auto"/>
              </w:rPr>
            </w:pPr>
          </w:p>
        </w:tc>
      </w:tr>
      <w:tr>
        <w:trPr>
          <w:trHeight w:val="176"/>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tcPr>
          <w:p>
            <w:pPr>
              <w:spacing w:after="0"/>
              <w:rPr>
                <w:sz w:val="15"/>
                <w:szCs w:val="15"/>
                <w:color w:val="auto"/>
              </w:rPr>
            </w:pP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22,687</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17,837</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45,125</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34,096</w:t>
            </w:r>
          </w:p>
        </w:tc>
        <w:tc>
          <w:tcPr>
            <w:tcW w:w="80" w:type="dxa"/>
            <w:vAlign w:val="bottom"/>
            <w:shd w:val="clear" w:color="auto" w:fill="CCECFF"/>
          </w:tcPr>
          <w:p>
            <w:pPr>
              <w:spacing w:after="0"/>
              <w:rPr>
                <w:sz w:val="16"/>
                <w:szCs w:val="16"/>
                <w:color w:val="auto"/>
              </w:rPr>
            </w:pPr>
          </w:p>
        </w:tc>
      </w:tr>
      <w:tr>
        <w:trPr>
          <w:trHeight w:val="174"/>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4,617</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7,369</w:t>
            </w:r>
          </w:p>
        </w:tc>
        <w:tc>
          <w:tcPr>
            <w:tcW w:w="80" w:type="dxa"/>
            <w:vAlign w:val="bottom"/>
          </w:tcPr>
          <w:p>
            <w:pPr>
              <w:spacing w:after="0"/>
              <w:rPr>
                <w:sz w:val="15"/>
                <w:szCs w:val="15"/>
                <w:color w:val="auto"/>
              </w:rPr>
            </w:pPr>
          </w:p>
        </w:tc>
      </w:tr>
      <w:tr>
        <w:trPr>
          <w:trHeight w:val="66"/>
        </w:trPr>
        <w:tc>
          <w:tcPr>
            <w:tcW w:w="5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80"/>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8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8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(90 )</w:t>
            </w:r>
          </w:p>
        </w:tc>
        <w:tc>
          <w:tcPr>
            <w:tcW w:w="2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(5,886 )</w:t>
            </w:r>
          </w:p>
        </w:tc>
        <w:tc>
          <w:tcPr>
            <w:tcW w:w="2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(6,510 )</w:t>
            </w:r>
          </w:p>
        </w:tc>
        <w:tc>
          <w:tcPr>
            <w:tcW w:w="2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(5,956 )</w:t>
            </w: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3,934</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8,905</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(1,865 )</w:t>
            </w:r>
          </w:p>
        </w:tc>
      </w:tr>
      <w:tr>
        <w:trPr>
          <w:trHeight w:val="177"/>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(1,952 )</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(7,821 )</w:t>
            </w:r>
          </w:p>
        </w:tc>
      </w:tr>
      <w:tr>
        <w:trPr>
          <w:trHeight w:val="203"/>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5,374</w:t>
            </w:r>
          </w:p>
        </w:tc>
        <w:tc>
          <w:tcPr>
            <w:tcW w:w="38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26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10,799</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CFF"/>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(452 </w:t>
            </w:r>
            <w:r>
              <w:rPr>
                <w:rFonts w:ascii="Times New Roman" w:cs="Times New Roman" w:eastAsia="Times New Roman" w:hAnsi="Times New Roman"/>
                <w:sz w:val="21"/>
                <w:szCs w:val="21"/>
                <w:color w:val="auto"/>
                <w:vertAlign w:val="subscript"/>
              </w:rPr>
              <w:t>)</w:t>
            </w:r>
          </w:p>
        </w:tc>
      </w:tr>
      <w:tr>
        <w:trPr>
          <w:trHeight w:val="20"/>
        </w:trPr>
        <w:tc>
          <w:tcPr>
            <w:tcW w:w="560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181" w:lineRule="exact"/>
        <w:rPr>
          <w:sz w:val="20"/>
          <w:szCs w:val="20"/>
          <w:color w:val="auto"/>
        </w:rPr>
      </w:pPr>
    </w:p>
    <w:p>
      <w:pPr>
        <w:ind w:left="160" w:hanging="154"/>
        <w:spacing w:after="0"/>
        <w:tabs>
          <w:tab w:leader="none" w:pos="16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 management or incentive fees are payable by PSSL. If any fees were to be charged, they would be separately disclosed in the consolidated statement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5. FAIR VALUE OF FINANCIAL INSTRUMENTS</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87" w:lineRule="exact"/>
        <w:rPr>
          <w:sz w:val="20"/>
          <w:szCs w:val="20"/>
          <w:color w:val="auto"/>
        </w:rPr>
      </w:pPr>
    </w:p>
    <w:p>
      <w:pPr>
        <w:ind w:left="280"/>
        <w:spacing w:after="0"/>
        <w:tabs>
          <w:tab w:leader="none" w:pos="142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3"/>
          <w:szCs w:val="13"/>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440" w:right="320" w:hanging="1163"/>
        <w:spacing w:after="0" w:line="286" w:lineRule="auto"/>
        <w:tabs>
          <w:tab w:leader="none" w:pos="142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4" w:lineRule="exact"/>
        <w:rPr>
          <w:sz w:val="20"/>
          <w:szCs w:val="20"/>
          <w:color w:val="auto"/>
        </w:rPr>
      </w:pPr>
    </w:p>
    <w:p>
      <w:pPr>
        <w:ind w:left="280"/>
        <w:spacing w:after="0"/>
        <w:tabs>
          <w:tab w:leader="none" w:pos="142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3"/>
          <w:szCs w:val="13"/>
          <w:color w:val="auto"/>
        </w:rPr>
        <w:t>Inputs that are unobservable for an asset or liability because they are based on our own assumptions about how market participants would price the asset or liability.</w:t>
      </w:r>
    </w:p>
    <w:p>
      <w:pPr>
        <w:sectPr>
          <w:pgSz w:w="11900" w:h="16840" w:orient="portrait"/>
          <w:cols w:equalWidth="0" w:num="1">
            <w:col w:w="10560"/>
          </w:cols>
          <w:pgMar w:left="660" w:top="1132" w:right="68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05"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2036 Asset-Backed Debt, 2023 Notes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30"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30"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112" w:lineRule="exact"/>
        <w:rPr>
          <w:sz w:val="20"/>
          <w:szCs w:val="20"/>
          <w:color w:val="auto"/>
        </w:rPr>
      </w:pPr>
    </w:p>
    <w:p>
      <w:pPr>
        <w:ind w:right="32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2023 Notes, our 2026 Notes, our 2031 Asset-Backed Debt, our 2036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3"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30"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The remainder of our investment portfolio and our long- 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discounted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Level 3 valuation techniques, unobservable inputs and ranges were categorized as follows for ASC 820 purposes ($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Fair value at March 31,</w:t>
            </w:r>
          </w:p>
        </w:tc>
        <w:tc>
          <w:tcPr>
            <w:tcW w:w="1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Range of Input</w:t>
            </w: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100" w:type="dxa"/>
            <w:vAlign w:val="bottom"/>
          </w:tcPr>
          <w:p>
            <w:pPr>
              <w:spacing w:after="0"/>
              <w:rPr>
                <w:sz w:val="16"/>
                <w:szCs w:val="16"/>
                <w:color w:val="auto"/>
              </w:rPr>
            </w:pPr>
          </w:p>
        </w:tc>
        <w:tc>
          <w:tcPr>
            <w:tcW w:w="150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980" w:type="dxa"/>
            <w:vAlign w:val="bottom"/>
          </w:tcPr>
          <w:p>
            <w:pPr>
              <w:jc w:val="center"/>
              <w:ind w:left="17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c>
          <w:tcPr>
            <w:tcW w:w="0" w:type="dxa"/>
            <w:vAlign w:val="bottom"/>
          </w:tcPr>
          <w:p>
            <w:pPr>
              <w:spacing w:after="0"/>
              <w:rPr>
                <w:sz w:val="1"/>
                <w:szCs w:val="1"/>
                <w:color w:val="auto"/>
              </w:rPr>
            </w:pPr>
          </w:p>
        </w:tc>
      </w:tr>
      <w:tr>
        <w:trPr>
          <w:trHeight w:val="18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51,970</w:t>
            </w:r>
          </w:p>
        </w:tc>
        <w:tc>
          <w:tcPr>
            <w:tcW w:w="1980" w:type="dxa"/>
            <w:vAlign w:val="bottom"/>
            <w:shd w:val="clear" w:color="auto" w:fill="CCECFF"/>
          </w:tcPr>
          <w:p>
            <w:pPr>
              <w:jc w:val="center"/>
              <w:ind w:left="174"/>
              <w:spacing w:after="0"/>
              <w:rPr>
                <w:sz w:val="20"/>
                <w:szCs w:val="20"/>
                <w:color w:val="auto"/>
              </w:rPr>
            </w:pPr>
            <w:r>
              <w:rPr>
                <w:rFonts w:ascii="Times New Roman" w:cs="Times New Roman" w:eastAsia="Times New Roman" w:hAnsi="Times New Roman"/>
                <w:sz w:val="13"/>
                <w:szCs w:val="13"/>
                <w:color w:val="auto"/>
              </w:rPr>
              <w:t>Market Comparable</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 or quotes</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1,227,231</w:t>
            </w:r>
          </w:p>
        </w:tc>
        <w:tc>
          <w:tcPr>
            <w:tcW w:w="198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rPr>
              <w:t>Market Comparable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8.4% - 24.0% (11.2%)</w:t>
            </w:r>
          </w:p>
        </w:tc>
        <w:tc>
          <w:tcPr>
            <w:tcW w:w="0" w:type="dxa"/>
            <w:vAlign w:val="bottom"/>
          </w:tcPr>
          <w:p>
            <w:pPr>
              <w:spacing w:after="0"/>
              <w:rPr>
                <w:sz w:val="1"/>
                <w:szCs w:val="1"/>
                <w:color w:val="auto"/>
              </w:rPr>
            </w:pPr>
          </w:p>
        </w:tc>
      </w:tr>
      <w:tr>
        <w:trPr>
          <w:trHeight w:val="184"/>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5,706</w:t>
            </w:r>
          </w:p>
        </w:tc>
        <w:tc>
          <w:tcPr>
            <w:tcW w:w="1980" w:type="dxa"/>
            <w:vAlign w:val="bottom"/>
            <w:shd w:val="clear" w:color="auto" w:fill="CCECFF"/>
          </w:tcPr>
          <w:p>
            <w:pPr>
              <w:jc w:val="center"/>
              <w:ind w:left="174"/>
              <w:spacing w:after="0"/>
              <w:rPr>
                <w:sz w:val="20"/>
                <w:szCs w:val="20"/>
                <w:color w:val="auto"/>
              </w:rPr>
            </w:pPr>
            <w:r>
              <w:rPr>
                <w:rFonts w:ascii="Times New Roman" w:cs="Times New Roman" w:eastAsia="Times New Roman" w:hAnsi="Times New Roman"/>
                <w:sz w:val="13"/>
                <w:szCs w:val="13"/>
                <w:color w:val="auto"/>
              </w:rPr>
              <w:t>Enterprise Market Value</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9.3x</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98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rPr>
              <w:t>Market Comparable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84"/>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100" w:type="dxa"/>
            <w:vAlign w:val="bottom"/>
            <w:shd w:val="clear" w:color="auto" w:fill="CCECFF"/>
          </w:tcPr>
          <w:p>
            <w:pPr>
              <w:spacing w:after="0"/>
              <w:rPr>
                <w:sz w:val="16"/>
                <w:szCs w:val="16"/>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980" w:type="dxa"/>
            <w:vAlign w:val="bottom"/>
            <w:shd w:val="clear" w:color="auto" w:fill="CCECFF"/>
          </w:tcPr>
          <w:p>
            <w:pPr>
              <w:jc w:val="center"/>
              <w:ind w:left="174"/>
              <w:spacing w:after="0"/>
              <w:rPr>
                <w:sz w:val="20"/>
                <w:szCs w:val="20"/>
                <w:color w:val="auto"/>
              </w:rPr>
            </w:pPr>
            <w:r>
              <w:rPr>
                <w:rFonts w:ascii="Times New Roman" w:cs="Times New Roman" w:eastAsia="Times New Roman" w:hAnsi="Times New Roman"/>
                <w:sz w:val="13"/>
                <w:szCs w:val="13"/>
                <w:color w:val="auto"/>
              </w:rPr>
              <w:t>Market Comparable</w:t>
            </w: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7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129,991</w:t>
            </w:r>
          </w:p>
        </w:tc>
        <w:tc>
          <w:tcPr>
            <w:tcW w:w="198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rPr>
              <w:t>Enterprise Market Value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3.5x - 18.3x (12.2x)</w:t>
            </w:r>
          </w:p>
        </w:tc>
        <w:tc>
          <w:tcPr>
            <w:tcW w:w="0" w:type="dxa"/>
            <w:vAlign w:val="bottom"/>
          </w:tcPr>
          <w:p>
            <w:pPr>
              <w:spacing w:after="0"/>
              <w:rPr>
                <w:sz w:val="1"/>
                <w:szCs w:val="1"/>
                <w:color w:val="auto"/>
              </w:rPr>
            </w:pPr>
          </w:p>
        </w:tc>
      </w:tr>
      <w:tr>
        <w:trPr>
          <w:trHeight w:val="220"/>
        </w:trPr>
        <w:tc>
          <w:tcPr>
            <w:tcW w:w="3280" w:type="dxa"/>
            <w:vAlign w:val="bottom"/>
            <w:tcBorders>
              <w:bottom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1,415,066</w:t>
            </w:r>
          </w:p>
        </w:tc>
        <w:tc>
          <w:tcPr>
            <w:tcW w:w="1980" w:type="dxa"/>
            <w:vAlign w:val="bottom"/>
            <w:tcBorders>
              <w:bottom w:val="single" w:sz="8" w:color="CCECFF"/>
            </w:tcBorders>
            <w:shd w:val="clear" w:color="auto" w:fill="CCECFF"/>
          </w:tcPr>
          <w:p>
            <w:pPr>
              <w:spacing w:after="0"/>
              <w:rPr>
                <w:sz w:val="19"/>
                <w:szCs w:val="19"/>
                <w:color w:val="auto"/>
              </w:rPr>
            </w:pPr>
          </w:p>
        </w:tc>
        <w:tc>
          <w:tcPr>
            <w:tcW w:w="2000" w:type="dxa"/>
            <w:vAlign w:val="bottom"/>
            <w:tcBorders>
              <w:bottom w:val="single" w:sz="8" w:color="CCECFF"/>
            </w:tcBorders>
            <w:shd w:val="clear" w:color="auto" w:fill="CCECFF"/>
          </w:tcPr>
          <w:p>
            <w:pPr>
              <w:spacing w:after="0"/>
              <w:rPr>
                <w:sz w:val="19"/>
                <w:szCs w:val="19"/>
                <w:color w:val="auto"/>
              </w:rPr>
            </w:pPr>
          </w:p>
        </w:tc>
        <w:tc>
          <w:tcPr>
            <w:tcW w:w="17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Credit Facility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168,878</w:t>
            </w:r>
          </w:p>
        </w:tc>
        <w:tc>
          <w:tcPr>
            <w:tcW w:w="1980" w:type="dxa"/>
            <w:vAlign w:val="bottom"/>
          </w:tcPr>
          <w:p>
            <w:pPr>
              <w:jc w:val="center"/>
              <w:ind w:left="174"/>
              <w:spacing w:after="0"/>
              <w:rPr>
                <w:sz w:val="20"/>
                <w:szCs w:val="20"/>
                <w:color w:val="auto"/>
              </w:rPr>
            </w:pPr>
            <w:r>
              <w:rPr>
                <w:rFonts w:ascii="Times New Roman" w:cs="Times New Roman" w:eastAsia="Times New Roman" w:hAnsi="Times New Roman"/>
                <w:sz w:val="13"/>
                <w:szCs w:val="13"/>
                <w:color w:val="auto"/>
              </w:rPr>
              <w:t>Market Comparable</w:t>
            </w: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2.1%</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w:t>
            </w: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The weighted averages disclosed in the table above were weighted by their relative fair value.</w:t>
      </w: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DLOM is defined as discount for lack of marketability.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Fair value at September 30,</w:t>
            </w:r>
          </w:p>
        </w:tc>
        <w:tc>
          <w:tcPr>
            <w:tcW w:w="2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Range of Input</w:t>
            </w: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 Category</w:t>
            </w:r>
          </w:p>
        </w:tc>
        <w:tc>
          <w:tcPr>
            <w:tcW w:w="360" w:type="dxa"/>
            <w:vAlign w:val="bottom"/>
          </w:tcPr>
          <w:p>
            <w:pPr>
              <w:spacing w:after="0"/>
              <w:rPr>
                <w:sz w:val="16"/>
                <w:szCs w:val="16"/>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1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80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8"/>
              </w:rPr>
              <w:t xml:space="preserve">(Weighted Average) </w:t>
            </w:r>
            <w:r>
              <w:rPr>
                <w:rFonts w:ascii="Times New Roman" w:cs="Times New Roman" w:eastAsia="Times New Roman" w:hAnsi="Times New Roman"/>
                <w:sz w:val="16"/>
                <w:szCs w:val="16"/>
                <w:b w:val="1"/>
                <w:bCs w:val="1"/>
                <w:color w:val="auto"/>
                <w:w w:val="98"/>
                <w:vertAlign w:val="superscript"/>
              </w:rPr>
              <w:t>(1)</w:t>
            </w:r>
          </w:p>
        </w:tc>
      </w:tr>
      <w:tr>
        <w:trPr>
          <w:trHeight w:val="156"/>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6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100" w:type="dxa"/>
            <w:vAlign w:val="bottom"/>
            <w:shd w:val="clear" w:color="auto" w:fill="CCECFF"/>
          </w:tcPr>
          <w:p>
            <w:pPr>
              <w:spacing w:after="0"/>
              <w:rPr>
                <w:sz w:val="13"/>
                <w:szCs w:val="13"/>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Broker/Dealer bids</w:t>
            </w:r>
          </w:p>
        </w:tc>
        <w:tc>
          <w:tcPr>
            <w:tcW w:w="1800" w:type="dxa"/>
            <w:vAlign w:val="bottom"/>
            <w:shd w:val="clear" w:color="auto" w:fill="CCECFF"/>
          </w:tcPr>
          <w:p>
            <w:pPr>
              <w:spacing w:after="0"/>
              <w:rPr>
                <w:sz w:val="13"/>
                <w:szCs w:val="13"/>
                <w:color w:val="auto"/>
              </w:rPr>
            </w:pPr>
          </w:p>
        </w:tc>
      </w:tr>
      <w:tr>
        <w:trPr>
          <w:trHeight w:val="180"/>
        </w:trPr>
        <w:tc>
          <w:tcPr>
            <w:tcW w:w="328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25,521</w:t>
            </w:r>
          </w:p>
        </w:tc>
        <w:tc>
          <w:tcPr>
            <w:tcW w:w="210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Market Comparable</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9"/>
              </w:rPr>
              <w:t>or quotes</w:t>
            </w:r>
          </w:p>
        </w:tc>
        <w:tc>
          <w:tcPr>
            <w:tcW w:w="180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w w:val="98"/>
              </w:rPr>
              <w:t>N/A</w:t>
            </w: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875,133</w:t>
            </w:r>
          </w:p>
        </w:tc>
        <w:tc>
          <w:tcPr>
            <w:tcW w:w="21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Market Comparable</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8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10.0% - 25.0% (12.6%)</w:t>
            </w:r>
          </w:p>
        </w:tc>
      </w:tr>
      <w:tr>
        <w:trPr>
          <w:trHeight w:val="184"/>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360" w:type="dxa"/>
            <w:vAlign w:val="bottom"/>
            <w:shd w:val="clear" w:color="auto" w:fill="CCECFF"/>
          </w:tcPr>
          <w:p>
            <w:pPr>
              <w:spacing w:after="0"/>
              <w:rPr>
                <w:sz w:val="16"/>
                <w:szCs w:val="16"/>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5,512</w:t>
            </w:r>
          </w:p>
        </w:tc>
        <w:tc>
          <w:tcPr>
            <w:tcW w:w="210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Enterprise Market Value</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80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2.8x - 7.5x (7.4x)</w:t>
            </w: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1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Market Comparable</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8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14.8%</w:t>
            </w:r>
          </w:p>
        </w:tc>
      </w:tr>
      <w:tr>
        <w:trPr>
          <w:trHeight w:val="184"/>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360" w:type="dxa"/>
            <w:vAlign w:val="bottom"/>
            <w:shd w:val="clear" w:color="auto" w:fill="CCECFF"/>
          </w:tcPr>
          <w:p>
            <w:pPr>
              <w:spacing w:after="0"/>
              <w:rPr>
                <w:sz w:val="16"/>
                <w:szCs w:val="16"/>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10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Enterprise Market Value</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80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6.0x</w:t>
            </w:r>
          </w:p>
        </w:tc>
      </w:tr>
      <w:tr>
        <w:trPr>
          <w:trHeight w:val="176"/>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100,489</w:t>
            </w:r>
          </w:p>
        </w:tc>
        <w:tc>
          <w:tcPr>
            <w:tcW w:w="21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Enterprise Market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EBITDA multiple</w:t>
            </w:r>
          </w:p>
        </w:tc>
        <w:tc>
          <w:tcPr>
            <w:tcW w:w="180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3.4x - 17.7x (12.1x)</w:t>
            </w:r>
          </w:p>
        </w:tc>
      </w:tr>
      <w:tr>
        <w:trPr>
          <w:trHeight w:val="184"/>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60" w:type="dxa"/>
            <w:vAlign w:val="bottom"/>
            <w:shd w:val="clear" w:color="auto" w:fill="CCECFF"/>
          </w:tcPr>
          <w:p>
            <w:pPr>
              <w:spacing w:after="0"/>
              <w:rPr>
                <w:sz w:val="16"/>
                <w:szCs w:val="16"/>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100" w:type="dxa"/>
            <w:vAlign w:val="bottom"/>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Enterprise Market Value</w:t>
            </w: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w w:val="94"/>
              </w:rPr>
              <w:t>DLOM</w:t>
            </w:r>
            <w:r>
              <w:rPr>
                <w:rFonts w:ascii="Times New Roman" w:cs="Times New Roman" w:eastAsia="Times New Roman" w:hAnsi="Times New Roman"/>
                <w:sz w:val="16"/>
                <w:szCs w:val="16"/>
                <w:color w:val="auto"/>
                <w:w w:val="94"/>
                <w:vertAlign w:val="superscript"/>
              </w:rPr>
              <w:t>(2)</w:t>
            </w:r>
          </w:p>
        </w:tc>
        <w:tc>
          <w:tcPr>
            <w:tcW w:w="1800" w:type="dxa"/>
            <w:vAlign w:val="bottom"/>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rPr>
              <w:t>27.9%</w:t>
            </w:r>
          </w:p>
        </w:tc>
      </w:tr>
      <w:tr>
        <w:trPr>
          <w:trHeight w:val="176"/>
        </w:trPr>
        <w:tc>
          <w:tcPr>
            <w:tcW w:w="3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Level 3 investments</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2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0"/>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Long-Term Credit Facility and 2023 Notes</w:t>
            </w:r>
          </w:p>
        </w:tc>
        <w:tc>
          <w:tcPr>
            <w:tcW w:w="360" w:type="dxa"/>
            <w:vAlign w:val="bottom"/>
            <w:tcBorders>
              <w:bottom w:val="single" w:sz="8" w:color="auto"/>
            </w:tcBorders>
            <w:shd w:val="clear" w:color="auto" w:fill="CCECFF"/>
          </w:tcPr>
          <w:p>
            <w:pPr>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85,619</w:t>
            </w:r>
          </w:p>
        </w:tc>
        <w:tc>
          <w:tcPr>
            <w:tcW w:w="2100" w:type="dxa"/>
            <w:vAlign w:val="bottom"/>
            <w:tcBorders>
              <w:bottom w:val="single" w:sz="8" w:color="CCECFF"/>
            </w:tcBorders>
            <w:shd w:val="clear" w:color="auto" w:fill="CCECFF"/>
          </w:tcPr>
          <w:p>
            <w:pPr>
              <w:jc w:val="center"/>
              <w:ind w:left="54"/>
              <w:spacing w:after="0"/>
              <w:rPr>
                <w:sz w:val="20"/>
                <w:szCs w:val="20"/>
                <w:color w:val="auto"/>
              </w:rPr>
            </w:pPr>
            <w:r>
              <w:rPr>
                <w:rFonts w:ascii="Times New Roman" w:cs="Times New Roman" w:eastAsia="Times New Roman" w:hAnsi="Times New Roman"/>
                <w:sz w:val="13"/>
                <w:szCs w:val="13"/>
                <w:color w:val="auto"/>
              </w:rPr>
              <w:t>Market Comparable</w:t>
            </w:r>
          </w:p>
        </w:tc>
        <w:tc>
          <w:tcPr>
            <w:tcW w:w="18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3"/>
                <w:szCs w:val="13"/>
                <w:color w:val="auto"/>
              </w:rPr>
              <w:t>Market Yield</w:t>
            </w:r>
          </w:p>
        </w:tc>
        <w:tc>
          <w:tcPr>
            <w:tcW w:w="1800" w:type="dxa"/>
            <w:vAlign w:val="bottom"/>
            <w:tcBorders>
              <w:bottom w:val="single" w:sz="8" w:color="CCECFF"/>
            </w:tcBorders>
            <w:shd w:val="clear" w:color="auto" w:fill="CCECFF"/>
          </w:tcPr>
          <w:p>
            <w:pPr>
              <w:jc w:val="center"/>
              <w:ind w:left="74"/>
              <w:spacing w:after="0"/>
              <w:rPr>
                <w:sz w:val="20"/>
                <w:szCs w:val="20"/>
                <w:color w:val="auto"/>
              </w:rPr>
            </w:pPr>
            <w:r>
              <w:rPr>
                <w:rFonts w:ascii="Times New Roman" w:cs="Times New Roman" w:eastAsia="Times New Roman" w:hAnsi="Times New Roman"/>
                <w:sz w:val="13"/>
                <w:szCs w:val="13"/>
                <w:color w:val="auto"/>
                <w:w w:val="95"/>
              </w:rPr>
              <w:t>2.3%</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The weighted averages disclosed in the table above were weighted by their relative fair value.</w:t>
      </w: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DLOM is defined as discount for lack of marketability.</w:t>
      </w:r>
    </w:p>
    <w:p>
      <w:pPr>
        <w:spacing w:after="0" w:line="72" w:lineRule="exact"/>
        <w:rPr>
          <w:sz w:val="20"/>
          <w:szCs w:val="20"/>
          <w:color w:val="auto"/>
        </w:rPr>
      </w:pPr>
    </w:p>
    <w:p>
      <w:pPr>
        <w:ind w:right="320" w:firstLine="420"/>
        <w:spacing w:after="0" w:line="286" w:lineRule="auto"/>
        <w:rPr>
          <w:sz w:val="20"/>
          <w:szCs w:val="20"/>
          <w:color w:val="auto"/>
        </w:rPr>
      </w:pPr>
      <w:r>
        <w:rPr>
          <w:rFonts w:ascii="Times New Roman" w:cs="Times New Roman" w:eastAsia="Times New Roman" w:hAnsi="Times New Roman"/>
          <w:sz w:val="13"/>
          <w:szCs w:val="13"/>
          <w:color w:val="auto"/>
        </w:rPr>
        <w:t>Our investments, cash and cash equivalents, Credit Facility, 2023 Notes, 2026 Notes, 2031 Asset-Backed Debt, and 2036 Asset-Backed Debt were categorized as follows in the fair value hierarchy for ASC 820 purposes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5"/>
          </w:tcPr>
          <w:p>
            <w:pPr>
              <w:ind w:left="920"/>
              <w:spacing w:after="0"/>
              <w:rPr>
                <w:sz w:val="20"/>
                <w:szCs w:val="20"/>
                <w:color w:val="auto"/>
              </w:rPr>
            </w:pPr>
            <w:r>
              <w:rPr>
                <w:rFonts w:ascii="Times New Roman" w:cs="Times New Roman" w:eastAsia="Times New Roman" w:hAnsi="Times New Roman"/>
                <w:sz w:val="13"/>
                <w:szCs w:val="13"/>
                <w:b w:val="1"/>
                <w:bCs w:val="1"/>
                <w:color w:val="auto"/>
              </w:rPr>
              <w:t>Fair Value at March 31, 2024</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1"/>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r>
      <w:tr>
        <w:trPr>
          <w:trHeight w:val="193"/>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0" w:type="dxa"/>
            <w:vAlign w:val="bottom"/>
          </w:tcPr>
          <w:p>
            <w:pPr>
              <w:spacing w:after="0"/>
              <w:rPr>
                <w:sz w:val="16"/>
                <w:szCs w:val="16"/>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tcPr>
          <w:p>
            <w:pPr>
              <w:spacing w:after="0"/>
              <w:rPr>
                <w:sz w:val="16"/>
                <w:szCs w:val="16"/>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 xml:space="preserve">Asset Value </w:t>
            </w:r>
            <w:r>
              <w:rPr>
                <w:rFonts w:ascii="Times New Roman" w:cs="Times New Roman" w:eastAsia="Times New Roman" w:hAnsi="Times New Roman"/>
                <w:sz w:val="16"/>
                <w:szCs w:val="16"/>
                <w:b w:val="1"/>
                <w:bCs w:val="1"/>
                <w:color w:val="auto"/>
                <w:w w:val="98"/>
                <w:vertAlign w:val="superscript"/>
              </w:rPr>
              <w:t>(1)</w:t>
            </w:r>
          </w:p>
        </w:tc>
      </w:tr>
      <w:tr>
        <w:trPr>
          <w:trHeight w:val="180"/>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1,284,908</w:t>
            </w:r>
          </w:p>
        </w:tc>
        <w:tc>
          <w:tcPr>
            <w:tcW w:w="48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1,284,908</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Subordinate debt</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192,807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129,990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62,817</w:t>
            </w:r>
          </w:p>
        </w:tc>
        <w:tc>
          <w:tcPr>
            <w:tcW w:w="80" w:type="dxa"/>
            <w:vAlign w:val="bottom"/>
          </w:tcPr>
          <w:p>
            <w:pPr>
              <w:spacing w:after="0"/>
              <w:rPr>
                <w:sz w:val="15"/>
                <w:szCs w:val="15"/>
                <w:color w:val="auto"/>
              </w:rPr>
            </w:pPr>
          </w:p>
        </w:tc>
      </w:tr>
      <w:tr>
        <w:trPr>
          <w:trHeight w:val="184"/>
        </w:trPr>
        <w:tc>
          <w:tcPr>
            <w:tcW w:w="36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1,477,883</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1,415,066</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62,817</w:t>
            </w:r>
          </w:p>
        </w:tc>
        <w:tc>
          <w:tcPr>
            <w:tcW w:w="80" w:type="dxa"/>
            <w:vAlign w:val="bottom"/>
            <w:shd w:val="clear" w:color="auto" w:fill="CCECFF"/>
          </w:tcPr>
          <w:p>
            <w:pPr>
              <w:spacing w:after="0"/>
              <w:rPr>
                <w:sz w:val="16"/>
                <w:szCs w:val="16"/>
                <w:color w:val="auto"/>
              </w:rPr>
            </w:pPr>
          </w:p>
        </w:tc>
      </w:tr>
      <w:tr>
        <w:trPr>
          <w:trHeight w:val="17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125,252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125,252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20"/>
        </w:trPr>
        <w:tc>
          <w:tcPr>
            <w:tcW w:w="362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1,603,135</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125,252</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1,415,066</w:t>
            </w:r>
          </w:p>
        </w:tc>
        <w:tc>
          <w:tcPr>
            <w:tcW w:w="2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62,817</w:t>
            </w:r>
          </w:p>
        </w:tc>
        <w:tc>
          <w:tcPr>
            <w:tcW w:w="80" w:type="dxa"/>
            <w:vAlign w:val="bottom"/>
            <w:tcBorders>
              <w:bottom w:val="single" w:sz="8" w:color="CCECFF"/>
            </w:tcBorders>
            <w:shd w:val="clear" w:color="auto" w:fill="CCECFF"/>
          </w:tcPr>
          <w:p>
            <w:pPr>
              <w:spacing w:after="0"/>
              <w:rPr>
                <w:sz w:val="19"/>
                <w:szCs w:val="19"/>
                <w:color w:val="auto"/>
              </w:rPr>
            </w:pPr>
          </w:p>
        </w:tc>
      </w:tr>
      <w:tr>
        <w:trPr>
          <w:trHeight w:val="15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168,878</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6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2026 Notes payable</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183,443</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183,443</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362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2031 Asset-Backed Debt</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225,333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225,333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362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2036 Asset-Backed Debt</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283,816</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283,816</w:t>
            </w:r>
          </w:p>
        </w:tc>
        <w:tc>
          <w:tcPr>
            <w:tcW w:w="2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6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861,470</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183,443</w:t>
            </w:r>
          </w:p>
        </w:tc>
        <w:tc>
          <w:tcPr>
            <w:tcW w:w="220" w:type="dxa"/>
            <w:vAlign w:val="bottom"/>
          </w:tcPr>
          <w:p>
            <w:pPr>
              <w:spacing w:after="0"/>
              <w:rPr>
                <w:sz w:val="15"/>
                <w:szCs w:val="15"/>
                <w:color w:val="auto"/>
              </w:rPr>
            </w:pP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678,027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spacing w:after="0" w:line="17"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We elected not to apply the fair value option allowed by ASC 825-10 to the 2026 Notes, 2031 Asset-Backed Debt, and 2036 Asset-Backed Debt and thus the balance reported in the Consolidated Statement of Assets and Liabilities represents the carrying value, which approximates the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6"/>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Fair Value at September 30, 2023</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Measured at Net</w:t>
            </w:r>
          </w:p>
        </w:tc>
        <w:tc>
          <w:tcPr>
            <w:tcW w:w="0" w:type="dxa"/>
            <w:vAlign w:val="bottom"/>
          </w:tcPr>
          <w:p>
            <w:pPr>
              <w:spacing w:after="0"/>
              <w:rPr>
                <w:sz w:val="1"/>
                <w:szCs w:val="1"/>
                <w:color w:val="auto"/>
              </w:rPr>
            </w:pPr>
          </w:p>
        </w:tc>
      </w:tr>
      <w:tr>
        <w:trPr>
          <w:trHeight w:val="193"/>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0" w:type="dxa"/>
            <w:vAlign w:val="bottom"/>
          </w:tcPr>
          <w:p>
            <w:pPr>
              <w:spacing w:after="0"/>
              <w:rPr>
                <w:sz w:val="16"/>
                <w:szCs w:val="16"/>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 xml:space="preserve">Asset Value </w:t>
            </w:r>
            <w:r>
              <w:rPr>
                <w:rFonts w:ascii="Times New Roman" w:cs="Times New Roman" w:eastAsia="Times New Roman" w:hAnsi="Times New Roman"/>
                <w:sz w:val="16"/>
                <w:szCs w:val="16"/>
                <w:b w:val="1"/>
                <w:bCs w:val="1"/>
                <w:color w:val="auto"/>
                <w:w w:val="98"/>
                <w:vertAlign w:val="superscript"/>
              </w:rPr>
              <w:t>(1)</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Second lien</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160,859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100,633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1,067,174</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60,226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3640" w:type="dxa"/>
            <w:vAlign w:val="bottom"/>
            <w:tcBorders>
              <w:bottom w:val="single" w:sz="8" w:color="CCECFF"/>
            </w:tcBorders>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Total investments and cash and cash equivalents</w:t>
            </w:r>
          </w:p>
        </w:tc>
        <w:tc>
          <w:tcPr>
            <w:tcW w:w="180" w:type="dxa"/>
            <w:vAlign w:val="bottom"/>
            <w:tcBorders>
              <w:bottom w:val="single" w:sz="8" w:color="auto"/>
            </w:tcBorders>
            <w:shd w:val="clear" w:color="auto" w:fill="CCEC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1,167,729</w:t>
            </w:r>
          </w:p>
        </w:tc>
        <w:tc>
          <w:tcPr>
            <w:tcW w:w="24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100,555</w:t>
            </w:r>
          </w:p>
        </w:tc>
        <w:tc>
          <w:tcPr>
            <w:tcW w:w="24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220" w:type="dxa"/>
            <w:vAlign w:val="bottom"/>
            <w:tcBorders>
              <w:bottom w:val="single" w:sz="8" w:color="CCECFF"/>
            </w:tcBorders>
            <w:shd w:val="clear" w:color="auto" w:fill="CCECFF"/>
          </w:tcPr>
          <w:p>
            <w:pPr>
              <w:spacing w:after="0"/>
              <w:rPr>
                <w:sz w:val="19"/>
                <w:szCs w:val="19"/>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60,226</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36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2023 Notes payable</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76,219</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76,219</w:t>
            </w:r>
          </w:p>
        </w:tc>
        <w:tc>
          <w:tcPr>
            <w:tcW w:w="2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2026 Notes payable</w:t>
            </w:r>
            <w:r>
              <w:rPr>
                <w:rFonts w:ascii="Times New Roman" w:cs="Times New Roman" w:eastAsia="Times New Roman" w:hAnsi="Times New Roman"/>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183,054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183,054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364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2031 Asset-Backed Debt</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226,759</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226,759</w:t>
            </w:r>
          </w:p>
        </w:tc>
        <w:tc>
          <w:tcPr>
            <w:tcW w:w="2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6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debt</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495,432</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183,054</w:t>
            </w:r>
          </w:p>
        </w:tc>
        <w:tc>
          <w:tcPr>
            <w:tcW w:w="4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312,378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1"/>
          <w:szCs w:val="11"/>
          <w:color w:val="auto"/>
        </w:rPr>
        <w:t>In accordance with ASC Subtopic 820-10, Fair Value Measurements and Disclosures, or ASC 820-10, our equity investment in PSSL and PTSF is measured using the net asset value per share (or its equivalent) as a practical expedient for fair value, and thus has not been classified in the fair value hierarchy.</w:t>
      </w:r>
    </w:p>
    <w:p>
      <w:pPr>
        <w:spacing w:after="0" w:line="17" w:lineRule="exact"/>
        <w:rPr>
          <w:sz w:val="20"/>
          <w:szCs w:val="20"/>
          <w:color w:val="auto"/>
        </w:rPr>
      </w:pPr>
    </w:p>
    <w:p>
      <w:pPr>
        <w:ind w:right="220"/>
        <w:spacing w:after="0" w:line="214" w:lineRule="auto"/>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1"/>
          <w:szCs w:val="11"/>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393065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tables below show a reconciliation of the beginning and ending balances for fair valued investments measured using significant unobservable inputs (Level 3)</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6"/>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Six Months Ended March 31, 2024</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debt and equity</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20" w:type="dxa"/>
            <w:vAlign w:val="bottom"/>
          </w:tcPr>
          <w:p>
            <w:pPr>
              <w:spacing w:after="0"/>
              <w:rPr>
                <w:sz w:val="15"/>
                <w:szCs w:val="15"/>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15"/>
                <w:szCs w:val="15"/>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84"/>
        </w:trPr>
        <w:tc>
          <w:tcPr>
            <w:tcW w:w="6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906,166</w:t>
            </w:r>
          </w:p>
        </w:tc>
        <w:tc>
          <w:tcPr>
            <w:tcW w:w="240" w:type="dxa"/>
            <w:vAlign w:val="bottom"/>
            <w:shd w:val="clear" w:color="auto" w:fill="CCECFF"/>
          </w:tcPr>
          <w:p>
            <w:pPr>
              <w:spacing w:after="0"/>
              <w:rPr>
                <w:sz w:val="16"/>
                <w:szCs w:val="16"/>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100,782</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1,006,948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(4,920 )</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6,393</w:t>
            </w:r>
          </w:p>
        </w:tc>
        <w:tc>
          <w:tcPr>
            <w:tcW w:w="2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4,924</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11,317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617,010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30,293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647,303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6"/>
                <w:szCs w:val="16"/>
                <w:color w:val="auto"/>
              </w:rPr>
            </w:pPr>
          </w:p>
        </w:tc>
        <w:tc>
          <w:tcPr>
            <w:tcW w:w="1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(206,608 )</w:t>
            </w:r>
          </w:p>
        </w:tc>
        <w:tc>
          <w:tcPr>
            <w:tcW w:w="140" w:type="dxa"/>
            <w:vAlign w:val="bottom"/>
            <w:shd w:val="clear" w:color="auto" w:fill="CCECFF"/>
          </w:tcPr>
          <w:p>
            <w:pPr>
              <w:spacing w:after="0"/>
              <w:rPr>
                <w:sz w:val="16"/>
                <w:szCs w:val="16"/>
                <w:color w:val="auto"/>
              </w:rPr>
            </w:pPr>
          </w:p>
        </w:tc>
        <w:tc>
          <w:tcPr>
            <w:tcW w:w="1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(44,815 )</w:t>
            </w:r>
          </w:p>
        </w:tc>
        <w:tc>
          <w:tcPr>
            <w:tcW w:w="28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(251,423 )</w:t>
            </w:r>
          </w:p>
        </w:tc>
        <w:tc>
          <w:tcPr>
            <w:tcW w:w="0" w:type="dxa"/>
            <w:vAlign w:val="bottom"/>
          </w:tcPr>
          <w:p>
            <w:pPr>
              <w:spacing w:after="0"/>
              <w:rPr>
                <w:sz w:val="1"/>
                <w:szCs w:val="1"/>
                <w:color w:val="auto"/>
              </w:rPr>
            </w:pPr>
          </w:p>
        </w:tc>
      </w:tr>
      <w:tr>
        <w:trPr>
          <w:trHeight w:val="176"/>
        </w:trPr>
        <w:tc>
          <w:tcPr>
            <w:tcW w:w="6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2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6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vMerge w:val="restart"/>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1,318,041</w:t>
            </w:r>
          </w:p>
        </w:tc>
        <w:tc>
          <w:tcPr>
            <w:tcW w:w="240" w:type="dxa"/>
            <w:vAlign w:val="bottom"/>
            <w:shd w:val="clear" w:color="auto" w:fill="CCECFF"/>
          </w:tcPr>
          <w:p>
            <w:pPr>
              <w:spacing w:after="0"/>
              <w:rPr>
                <w:sz w:val="15"/>
                <w:szCs w:val="15"/>
                <w:color w:val="auto"/>
              </w:rPr>
            </w:pPr>
          </w:p>
        </w:tc>
        <w:tc>
          <w:tcPr>
            <w:tcW w:w="1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97,025</w:t>
            </w:r>
          </w:p>
        </w:tc>
        <w:tc>
          <w:tcPr>
            <w:tcW w:w="220" w:type="dxa"/>
            <w:vAlign w:val="bottom"/>
            <w:shd w:val="clear" w:color="auto" w:fill="CCECFF"/>
          </w:tcPr>
          <w:p>
            <w:pPr>
              <w:spacing w:after="0"/>
              <w:rPr>
                <w:sz w:val="15"/>
                <w:szCs w:val="15"/>
                <w:color w:val="auto"/>
              </w:rPr>
            </w:pPr>
          </w:p>
        </w:tc>
        <w:tc>
          <w:tcPr>
            <w:tcW w:w="280" w:type="dxa"/>
            <w:vAlign w:val="bottom"/>
            <w:vMerge w:val="restart"/>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1,415,066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20" w:type="dxa"/>
            <w:vAlign w:val="bottom"/>
            <w:tcBorders>
              <w:bottom w:val="single" w:sz="8" w:color="CCECFF"/>
            </w:tcBorders>
            <w:shd w:val="clear" w:color="auto" w:fill="CCECFF"/>
          </w:tcPr>
          <w:p>
            <w:pPr>
              <w:spacing w:after="0"/>
              <w:rPr>
                <w:sz w:val="16"/>
                <w:szCs w:val="16"/>
                <w:color w:val="auto"/>
              </w:rPr>
            </w:pPr>
          </w:p>
        </w:tc>
        <w:tc>
          <w:tcPr>
            <w:tcW w:w="220" w:type="dxa"/>
            <w:vAlign w:val="bottom"/>
            <w:tcBorders>
              <w:bottom w:val="single" w:sz="8" w:color="auto"/>
            </w:tcBorders>
            <w:vMerge w:val="continue"/>
            <w:shd w:val="clear" w:color="auto" w:fill="CCECFF"/>
          </w:tcPr>
          <w:p>
            <w:pPr>
              <w:spacing w:after="0"/>
              <w:rPr>
                <w:sz w:val="16"/>
                <w:szCs w:val="16"/>
                <w:color w:val="auto"/>
              </w:rPr>
            </w:pPr>
          </w:p>
        </w:tc>
        <w:tc>
          <w:tcPr>
            <w:tcW w:w="1060" w:type="dxa"/>
            <w:vAlign w:val="bottom"/>
            <w:tcBorders>
              <w:bottom w:val="single" w:sz="8" w:color="auto"/>
            </w:tcBorders>
            <w:shd w:val="clear" w:color="auto" w:fill="CCECFF"/>
          </w:tcPr>
          <w:p>
            <w:pPr>
              <w:spacing w:after="0"/>
              <w:rPr>
                <w:sz w:val="16"/>
                <w:szCs w:val="16"/>
                <w:color w:val="auto"/>
              </w:rPr>
            </w:pPr>
          </w:p>
        </w:tc>
        <w:tc>
          <w:tcPr>
            <w:tcW w:w="24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vMerge w:val="continue"/>
            <w:shd w:val="clear" w:color="auto" w:fill="CCECFF"/>
          </w:tcPr>
          <w:p>
            <w:pPr>
              <w:spacing w:after="0"/>
              <w:rPr>
                <w:sz w:val="16"/>
                <w:szCs w:val="16"/>
                <w:color w:val="auto"/>
              </w:rPr>
            </w:pPr>
          </w:p>
        </w:tc>
        <w:tc>
          <w:tcPr>
            <w:tcW w:w="1120" w:type="dxa"/>
            <w:vAlign w:val="bottom"/>
            <w:tcBorders>
              <w:bottom w:val="single" w:sz="8" w:color="auto"/>
            </w:tcBorders>
            <w:vMerge w:val="continue"/>
            <w:shd w:val="clear" w:color="auto" w:fill="CCECFF"/>
          </w:tcPr>
          <w:p>
            <w:pPr>
              <w:spacing w:after="0"/>
              <w:rPr>
                <w:sz w:val="16"/>
                <w:szCs w:val="16"/>
                <w:color w:val="auto"/>
              </w:rPr>
            </w:pPr>
          </w:p>
        </w:tc>
        <w:tc>
          <w:tcPr>
            <w:tcW w:w="22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auto"/>
            </w:tcBorders>
            <w:vMerge w:val="continue"/>
            <w:shd w:val="clear" w:color="auto" w:fill="CCECFF"/>
          </w:tcPr>
          <w:p>
            <w:pPr>
              <w:spacing w:after="0"/>
              <w:rPr>
                <w:sz w:val="16"/>
                <w:szCs w:val="16"/>
                <w:color w:val="auto"/>
              </w:rPr>
            </w:pPr>
          </w:p>
        </w:tc>
        <w:tc>
          <w:tcPr>
            <w:tcW w:w="980" w:type="dxa"/>
            <w:vAlign w:val="bottom"/>
            <w:tcBorders>
              <w:bottom w:val="single" w:sz="8" w:color="auto"/>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622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Net change in unrealized appreciation (depreciation) reported within the net change in unrealized</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appreciaiton (depreciation)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xml:space="preserve">(340 </w:t>
            </w:r>
            <w:r>
              <w:rPr>
                <w:rFonts w:ascii="Times New Roman" w:cs="Times New Roman" w:eastAsia="Times New Roman" w:hAnsi="Times New Roman"/>
                <w:sz w:val="26"/>
                <w:szCs w:val="26"/>
                <w:color w:val="auto"/>
                <w:vertAlign w:val="subscript"/>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7,492</w:t>
            </w:r>
          </w:p>
        </w:tc>
        <w:tc>
          <w:tcPr>
            <w:tcW w:w="220" w:type="dxa"/>
            <w:vAlign w:val="bottom"/>
          </w:tcPr>
          <w:p>
            <w:pPr>
              <w:spacing w:after="0"/>
              <w:rPr>
                <w:sz w:val="13"/>
                <w:szCs w:val="13"/>
                <w:color w:val="auto"/>
              </w:rPr>
            </w:pP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22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6"/>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Six Months Ended March 31, 2023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subordinated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debt and equity</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20" w:type="dxa"/>
            <w:vAlign w:val="bottom"/>
          </w:tcPr>
          <w:p>
            <w:pPr>
              <w:spacing w:after="0"/>
              <w:rPr>
                <w:sz w:val="15"/>
                <w:szCs w:val="15"/>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First Lien</w:t>
            </w:r>
          </w:p>
        </w:tc>
        <w:tc>
          <w:tcPr>
            <w:tcW w:w="1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80" w:type="dxa"/>
            <w:vAlign w:val="bottom"/>
          </w:tcPr>
          <w:p>
            <w:pPr>
              <w:spacing w:after="0"/>
              <w:rPr>
                <w:sz w:val="15"/>
                <w:szCs w:val="15"/>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84"/>
        </w:trPr>
        <w:tc>
          <w:tcPr>
            <w:tcW w:w="6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1,009,642</w:t>
            </w:r>
          </w:p>
        </w:tc>
        <w:tc>
          <w:tcPr>
            <w:tcW w:w="240" w:type="dxa"/>
            <w:vAlign w:val="bottom"/>
            <w:shd w:val="clear" w:color="auto" w:fill="CCECFF"/>
          </w:tcPr>
          <w:p>
            <w:pPr>
              <w:spacing w:after="0"/>
              <w:rPr>
                <w:sz w:val="16"/>
                <w:szCs w:val="16"/>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95,285</w:t>
            </w:r>
          </w:p>
        </w:tc>
        <w:tc>
          <w:tcPr>
            <w:tcW w:w="220" w:type="dxa"/>
            <w:vAlign w:val="bottom"/>
            <w:shd w:val="clear" w:color="auto" w:fill="CCECFF"/>
          </w:tcPr>
          <w:p>
            <w:pPr>
              <w:spacing w:after="0"/>
              <w:rPr>
                <w:sz w:val="16"/>
                <w:szCs w:val="16"/>
                <w:color w:val="auto"/>
              </w:rPr>
            </w:pPr>
          </w:p>
        </w:tc>
        <w:tc>
          <w:tcPr>
            <w:tcW w:w="2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1,104,927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(6,935 )</w:t>
            </w:r>
          </w:p>
        </w:tc>
        <w:tc>
          <w:tcPr>
            <w:tcW w:w="1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(520 )</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(7,455 )</w:t>
            </w:r>
          </w:p>
        </w:tc>
        <w:tc>
          <w:tcPr>
            <w:tcW w:w="0" w:type="dxa"/>
            <w:vAlign w:val="bottom"/>
          </w:tcPr>
          <w:p>
            <w:pPr>
              <w:spacing w:after="0"/>
              <w:rPr>
                <w:sz w:val="1"/>
                <w:szCs w:val="1"/>
                <w:color w:val="auto"/>
              </w:rPr>
            </w:pPr>
          </w:p>
        </w:tc>
      </w:tr>
      <w:tr>
        <w:trPr>
          <w:trHeight w:val="184"/>
        </w:trPr>
        <w:tc>
          <w:tcPr>
            <w:tcW w:w="62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20" w:type="dxa"/>
            <w:vAlign w:val="bottom"/>
            <w:shd w:val="clear" w:color="auto" w:fill="CCECFF"/>
          </w:tcPr>
          <w:p>
            <w:pPr>
              <w:spacing w:after="0"/>
              <w:rPr>
                <w:sz w:val="16"/>
                <w:szCs w:val="16"/>
                <w:color w:val="auto"/>
              </w:rPr>
            </w:pPr>
          </w:p>
        </w:tc>
        <w:tc>
          <w:tcPr>
            <w:tcW w:w="1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(3,837 )</w:t>
            </w:r>
          </w:p>
        </w:tc>
        <w:tc>
          <w:tcPr>
            <w:tcW w:w="140" w:type="dxa"/>
            <w:vAlign w:val="bottom"/>
            <w:shd w:val="clear" w:color="auto" w:fill="CCECFF"/>
          </w:tcPr>
          <w:p>
            <w:pPr>
              <w:spacing w:after="0"/>
              <w:rPr>
                <w:sz w:val="16"/>
                <w:szCs w:val="16"/>
                <w:color w:val="auto"/>
              </w:rPr>
            </w:pPr>
          </w:p>
        </w:tc>
        <w:tc>
          <w:tcPr>
            <w:tcW w:w="1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(9,916 )</w:t>
            </w:r>
          </w:p>
        </w:tc>
        <w:tc>
          <w:tcPr>
            <w:tcW w:w="28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(13,753 )</w:t>
            </w:r>
          </w:p>
        </w:tc>
        <w:tc>
          <w:tcPr>
            <w:tcW w:w="0" w:type="dxa"/>
            <w:vAlign w:val="bottom"/>
          </w:tcPr>
          <w:p>
            <w:pPr>
              <w:spacing w:after="0"/>
              <w:rPr>
                <w:sz w:val="1"/>
                <w:szCs w:val="1"/>
                <w:color w:val="auto"/>
              </w:rPr>
            </w:pPr>
          </w:p>
        </w:tc>
      </w:tr>
      <w:tr>
        <w:trPr>
          <w:trHeight w:val="176"/>
        </w:trPr>
        <w:tc>
          <w:tcPr>
            <w:tcW w:w="6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Purchases, PIK interest, net discount accretion and non-cash exchanges</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131,949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145,295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Sales, repayments and non-cash exchanges</w:t>
            </w:r>
          </w:p>
        </w:tc>
        <w:tc>
          <w:tcPr>
            <w:tcW w:w="220" w:type="dxa"/>
            <w:vAlign w:val="bottom"/>
            <w:shd w:val="clear" w:color="auto" w:fill="CCECFF"/>
          </w:tcPr>
          <w:p>
            <w:pPr>
              <w:spacing w:after="0"/>
              <w:rPr>
                <w:sz w:val="16"/>
                <w:szCs w:val="16"/>
                <w:color w:val="auto"/>
              </w:rPr>
            </w:pPr>
          </w:p>
        </w:tc>
        <w:tc>
          <w:tcPr>
            <w:tcW w:w="13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3"/>
                <w:szCs w:val="13"/>
                <w:color w:val="auto"/>
              </w:rPr>
              <w:t>(124,123 )</w:t>
            </w:r>
          </w:p>
        </w:tc>
        <w:tc>
          <w:tcPr>
            <w:tcW w:w="140" w:type="dxa"/>
            <w:vAlign w:val="bottom"/>
            <w:shd w:val="clear" w:color="auto" w:fill="CCECFF"/>
          </w:tcPr>
          <w:p>
            <w:pPr>
              <w:spacing w:after="0"/>
              <w:rPr>
                <w:sz w:val="16"/>
                <w:szCs w:val="16"/>
                <w:color w:val="auto"/>
              </w:rPr>
            </w:pPr>
          </w:p>
        </w:tc>
        <w:tc>
          <w:tcPr>
            <w:tcW w:w="134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(1,523 )</w:t>
            </w:r>
          </w:p>
        </w:tc>
        <w:tc>
          <w:tcPr>
            <w:tcW w:w="28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(125,646 )</w:t>
            </w:r>
          </w:p>
        </w:tc>
        <w:tc>
          <w:tcPr>
            <w:tcW w:w="0" w:type="dxa"/>
            <w:vAlign w:val="bottom"/>
          </w:tcPr>
          <w:p>
            <w:pPr>
              <w:spacing w:after="0"/>
              <w:rPr>
                <w:sz w:val="1"/>
                <w:szCs w:val="1"/>
                <w:color w:val="auto"/>
              </w:rPr>
            </w:pPr>
          </w:p>
        </w:tc>
      </w:tr>
      <w:tr>
        <w:trPr>
          <w:trHeight w:val="176"/>
        </w:trPr>
        <w:tc>
          <w:tcPr>
            <w:tcW w:w="62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220" w:type="dxa"/>
            <w:vAlign w:val="bottom"/>
          </w:tcPr>
          <w:p>
            <w:pPr>
              <w:spacing w:after="0"/>
              <w:rPr>
                <w:sz w:val="15"/>
                <w:szCs w:val="15"/>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0"/>
        </w:trPr>
        <w:tc>
          <w:tcPr>
            <w:tcW w:w="6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1,006,696</w:t>
            </w:r>
          </w:p>
        </w:tc>
        <w:tc>
          <w:tcPr>
            <w:tcW w:w="24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96,672</w:t>
            </w:r>
          </w:p>
        </w:tc>
        <w:tc>
          <w:tcPr>
            <w:tcW w:w="22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1,103,368</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622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 xml:space="preserve">(6,796,228 </w:t>
            </w:r>
            <w:r>
              <w:rPr>
                <w:rFonts w:ascii="Times New Roman" w:cs="Times New Roman" w:eastAsia="Times New Roman" w:hAnsi="Times New Roman"/>
                <w:sz w:val="26"/>
                <w:szCs w:val="26"/>
                <w:color w:val="auto"/>
                <w:vertAlign w:val="subscript"/>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 xml:space="preserve">(9,855,855 </w:t>
            </w:r>
            <w:r>
              <w:rPr>
                <w:rFonts w:ascii="Times New Roman" w:cs="Times New Roman" w:eastAsia="Times New Roman" w:hAnsi="Times New Roman"/>
                <w:sz w:val="26"/>
                <w:szCs w:val="26"/>
                <w:color w:val="auto"/>
                <w:vertAlign w:val="subscript"/>
              </w:rPr>
              <w:t>)</w:t>
            </w:r>
          </w:p>
        </w:tc>
        <w:tc>
          <w:tcPr>
            <w:tcW w:w="2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xml:space="preserve">(16,652,083 </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44"/>
        </w:trPr>
        <w:tc>
          <w:tcPr>
            <w:tcW w:w="622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60" w:firstLine="420"/>
        <w:spacing w:after="0" w:line="286" w:lineRule="auto"/>
        <w:rPr>
          <w:sz w:val="20"/>
          <w:szCs w:val="20"/>
          <w:color w:val="auto"/>
        </w:rPr>
      </w:pPr>
      <w:r>
        <w:rPr>
          <w:rFonts w:ascii="Times New Roman" w:cs="Times New Roman" w:eastAsia="Times New Roman" w:hAnsi="Times New Roman"/>
          <w:sz w:val="13"/>
          <w:szCs w:val="13"/>
          <w:color w:val="auto"/>
        </w:rPr>
        <w:t>The table below shows a reconciliation of the beginning and ending balances for liabilities recognized at fair value and measured using significant unobservable inputs (Level 3)($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Credit Facility and 2023 Notes</w:t>
            </w:r>
          </w:p>
        </w:tc>
        <w:tc>
          <w:tcPr>
            <w:tcW w:w="340" w:type="dxa"/>
            <w:vAlign w:val="bottom"/>
          </w:tcPr>
          <w:p>
            <w:pPr>
              <w:spacing w:after="0"/>
              <w:rPr>
                <w:sz w:val="16"/>
                <w:szCs w:val="16"/>
                <w:color w:val="auto"/>
              </w:rPr>
            </w:pPr>
          </w:p>
        </w:tc>
        <w:tc>
          <w:tcPr>
            <w:tcW w:w="114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r>
      <w:tr>
        <w:trPr>
          <w:trHeight w:val="184"/>
        </w:trPr>
        <w:tc>
          <w:tcPr>
            <w:tcW w:w="7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Beginning balance (cost – $85,619 and $169,654, respectively)</w:t>
            </w: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85,619</w:t>
            </w:r>
          </w:p>
        </w:tc>
        <w:tc>
          <w:tcPr>
            <w:tcW w:w="240" w:type="dxa"/>
            <w:vAlign w:val="bottom"/>
            <w:shd w:val="clear" w:color="auto" w:fill="CCECFF"/>
          </w:tcPr>
          <w:p>
            <w:pPr>
              <w:spacing w:after="0"/>
              <w:rPr>
                <w:sz w:val="16"/>
                <w:szCs w:val="16"/>
                <w:color w:val="auto"/>
              </w:rPr>
            </w:pPr>
          </w:p>
        </w:tc>
        <w:tc>
          <w:tcPr>
            <w:tcW w:w="340" w:type="dxa"/>
            <w:vAlign w:val="bottom"/>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167,563</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(depreciation) appreciation included in earnings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(1,865 )</w:t>
            </w:r>
          </w:p>
        </w:tc>
      </w:tr>
      <w:tr>
        <w:trPr>
          <w:trHeight w:val="184"/>
        </w:trPr>
        <w:tc>
          <w:tcPr>
            <w:tcW w:w="73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Borrowings</w:t>
            </w: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331,455</w:t>
            </w:r>
          </w:p>
        </w:tc>
        <w:tc>
          <w:tcPr>
            <w:tcW w:w="24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80" w:type="dxa"/>
            <w:vAlign w:val="bottom"/>
            <w:shd w:val="clear" w:color="auto" w:fill="CCECFF"/>
          </w:tcPr>
          <w:p>
            <w:pPr>
              <w:spacing w:after="0"/>
              <w:rPr>
                <w:sz w:val="16"/>
                <w:szCs w:val="16"/>
                <w:color w:val="auto"/>
              </w:rPr>
            </w:pPr>
          </w:p>
        </w:tc>
      </w:tr>
      <w:tr>
        <w:trPr>
          <w:trHeight w:val="176"/>
        </w:trPr>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Repayments</w:t>
            </w:r>
          </w:p>
        </w:tc>
        <w:tc>
          <w:tcPr>
            <w:tcW w:w="3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(248,219 )</w:t>
            </w:r>
          </w:p>
        </w:tc>
        <w:tc>
          <w:tcPr>
            <w:tcW w:w="34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(48,000 )</w:t>
            </w:r>
          </w:p>
        </w:tc>
      </w:tr>
      <w:tr>
        <w:trPr>
          <w:trHeight w:val="184"/>
        </w:trPr>
        <w:tc>
          <w:tcPr>
            <w:tcW w:w="732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3"/>
                <w:szCs w:val="13"/>
                <w:color w:val="auto"/>
              </w:rPr>
              <w:t>Net realized (gain) loss</w:t>
            </w:r>
          </w:p>
        </w:tc>
        <w:tc>
          <w:tcPr>
            <w:tcW w:w="340" w:type="dxa"/>
            <w:vAlign w:val="bottom"/>
            <w:shd w:val="clear" w:color="auto" w:fill="CCECFF"/>
          </w:tcPr>
          <w:p>
            <w:pPr>
              <w:spacing w:after="0"/>
              <w:rPr>
                <w:sz w:val="16"/>
                <w:szCs w:val="16"/>
                <w:color w:val="auto"/>
              </w:rPr>
            </w:pPr>
          </w:p>
        </w:tc>
        <w:tc>
          <w:tcPr>
            <w:tcW w:w="13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3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34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220"/>
        </w:trPr>
        <w:tc>
          <w:tcPr>
            <w:tcW w:w="7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Ending balance (cost – $168,855 and $151,654, respectively)</w:t>
            </w: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168,878</w:t>
            </w:r>
          </w:p>
        </w:tc>
        <w:tc>
          <w:tcPr>
            <w:tcW w:w="240" w:type="dxa"/>
            <w:vAlign w:val="bottom"/>
            <w:tcBorders>
              <w:bottom w:val="single" w:sz="8" w:color="CCECFF"/>
            </w:tcBorders>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147,698</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line="144" w:lineRule="exact"/>
        <w:rPr>
          <w:sz w:val="20"/>
          <w:szCs w:val="20"/>
          <w:color w:val="auto"/>
        </w:rPr>
      </w:pPr>
    </w:p>
    <w:p>
      <w:pPr>
        <w:ind w:right="140" w:firstLine="420"/>
        <w:spacing w:after="0" w:line="277" w:lineRule="auto"/>
        <w:rPr>
          <w:sz w:val="20"/>
          <w:szCs w:val="20"/>
          <w:color w:val="auto"/>
        </w:rPr>
      </w:pPr>
      <w:r>
        <w:rPr>
          <w:rFonts w:ascii="Times New Roman" w:cs="Times New Roman" w:eastAsia="Times New Roman" w:hAnsi="Times New Roman"/>
          <w:sz w:val="13"/>
          <w:szCs w:val="13"/>
          <w:color w:val="auto"/>
        </w:rPr>
        <w:t>As of March 31, 2024, we had outstanding non-U.S. dollar borrowings on our Credit Facility. Net change in fair value from currency translation on outstanding borrowings is listed below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40" w:type="dxa"/>
            <w:vAlign w:val="bottom"/>
          </w:tcPr>
          <w:p>
            <w:pPr>
              <w:spacing w:after="0"/>
              <w:rPr>
                <w:sz w:val="13"/>
                <w:szCs w:val="13"/>
                <w:color w:val="auto"/>
              </w:rPr>
            </w:pPr>
          </w:p>
        </w:tc>
        <w:tc>
          <w:tcPr>
            <w:tcW w:w="2160" w:type="dxa"/>
            <w:vAlign w:val="bottom"/>
          </w:tcPr>
          <w:p>
            <w:pPr>
              <w:jc w:val="center"/>
              <w:ind w:left="15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Change in Fair</w:t>
            </w:r>
          </w:p>
        </w:tc>
      </w:tr>
      <w:tr>
        <w:trPr>
          <w:trHeight w:val="178"/>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160" w:type="dxa"/>
            <w:vAlign w:val="bottom"/>
          </w:tcPr>
          <w:p>
            <w:pPr>
              <w:jc w:val="center"/>
              <w:ind w:left="1534"/>
              <w:spacing w:after="0"/>
              <w:rPr>
                <w:sz w:val="20"/>
                <w:szCs w:val="20"/>
                <w:color w:val="auto"/>
              </w:rPr>
            </w:pPr>
            <w:r>
              <w:rPr>
                <w:rFonts w:ascii="Times New Roman" w:cs="Times New Roman" w:eastAsia="Times New Roman" w:hAnsi="Times New Roman"/>
                <w:sz w:val="13"/>
                <w:szCs w:val="13"/>
                <w:b w:val="1"/>
                <w:bCs w:val="1"/>
                <w:color w:val="auto"/>
              </w:rPr>
              <w:t>Borrowed</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Borrowing Cost</w:t>
            </w:r>
          </w:p>
        </w:tc>
        <w:tc>
          <w:tcPr>
            <w:tcW w:w="15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Current Value</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Reset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84"/>
        </w:trPr>
        <w:tc>
          <w:tcPr>
            <w:tcW w:w="2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Canadian Dollar</w:t>
            </w:r>
          </w:p>
        </w:tc>
        <w:tc>
          <w:tcPr>
            <w:tcW w:w="2160" w:type="dxa"/>
            <w:vAlign w:val="bottom"/>
            <w:shd w:val="clear" w:color="auto" w:fill="CCECFF"/>
          </w:tcPr>
          <w:p>
            <w:pPr>
              <w:jc w:val="right"/>
              <w:ind w:right="73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5"/>
              </w:rPr>
              <w:t>2,000</w:t>
            </w:r>
          </w:p>
        </w:tc>
        <w:tc>
          <w:tcPr>
            <w:tcW w:w="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1,455</w:t>
            </w:r>
          </w:p>
        </w:tc>
        <w:tc>
          <w:tcPr>
            <w:tcW w:w="1540" w:type="dxa"/>
            <w:vAlign w:val="bottom"/>
            <w:shd w:val="clear" w:color="auto" w:fill="CCECFF"/>
          </w:tcPr>
          <w:p>
            <w:pPr>
              <w:jc w:val="right"/>
              <w:ind w:right="234"/>
              <w:spacing w:after="0"/>
              <w:rPr>
                <w:sz w:val="20"/>
                <w:szCs w:val="20"/>
                <w:color w:val="auto"/>
              </w:rPr>
            </w:pPr>
            <w:r>
              <w:rPr>
                <w:rFonts w:ascii="Times New Roman" w:cs="Times New Roman" w:eastAsia="Times New Roman" w:hAnsi="Times New Roman"/>
                <w:sz w:val="13"/>
                <w:szCs w:val="13"/>
                <w:color w:val="auto"/>
              </w:rPr>
              <w:t>1,478</w:t>
            </w:r>
          </w:p>
        </w:tc>
        <w:tc>
          <w:tcPr>
            <w:tcW w:w="1180" w:type="dxa"/>
            <w:vAlign w:val="bottom"/>
            <w:shd w:val="clear" w:color="auto" w:fill="CCECFF"/>
          </w:tcPr>
          <w:p>
            <w:pPr>
              <w:jc w:val="right"/>
              <w:ind w:right="294"/>
              <w:spacing w:after="0"/>
              <w:rPr>
                <w:sz w:val="20"/>
                <w:szCs w:val="20"/>
                <w:color w:val="auto"/>
              </w:rPr>
            </w:pPr>
            <w:r>
              <w:rPr>
                <w:rFonts w:ascii="Times New Roman" w:cs="Times New Roman" w:eastAsia="Times New Roman" w:hAnsi="Times New Roman"/>
                <w:sz w:val="13"/>
                <w:szCs w:val="13"/>
                <w:color w:val="auto"/>
              </w:rPr>
              <w:t>4/1/2024</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September 30, 2023 we did not have any outstanding non-U.S. dollar borrowings on the Credit Facility.</w:t>
      </w:r>
    </w:p>
    <w:p>
      <w:pPr>
        <w:spacing w:after="0" w:line="163"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and six months ended March 31, 2024 and 2023.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2031 Asset-Backed Debt, and the 2036 Asset-Backed Debt.</w:t>
      </w:r>
    </w:p>
    <w:p>
      <w:pPr>
        <w:spacing w:after="0" w:line="137" w:lineRule="exact"/>
        <w:rPr>
          <w:sz w:val="20"/>
          <w:szCs w:val="20"/>
          <w:color w:val="auto"/>
        </w:rPr>
      </w:pPr>
    </w:p>
    <w:p>
      <w:pPr>
        <w:ind w:right="340" w:firstLine="420"/>
        <w:spacing w:after="0" w:line="263" w:lineRule="auto"/>
        <w:rPr>
          <w:sz w:val="20"/>
          <w:szCs w:val="20"/>
          <w:color w:val="auto"/>
        </w:rPr>
      </w:pPr>
      <w:r>
        <w:rPr>
          <w:rFonts w:ascii="Times New Roman" w:cs="Times New Roman" w:eastAsia="Times New Roman" w:hAnsi="Times New Roman"/>
          <w:sz w:val="13"/>
          <w:szCs w:val="13"/>
          <w:color w:val="auto"/>
        </w:rPr>
        <w:t>For the three and six months ended March 31, 2024, the Credit Facility and the 2023 Notes had a net change in unrealized appreciation (depreciation) of less than $(0.1) million and $0.1 million, respectively. For the three and six months ended March 31, 2023, the Credit Facility and the 2023 Notes had a net change in unrealized (depreciation)</w:t>
      </w:r>
    </w:p>
    <w:p>
      <w:pPr>
        <w:sectPr>
          <w:pgSz w:w="11900" w:h="16840" w:orient="portrait"/>
          <w:cols w:equalWidth="0" w:num="1">
            <w:col w:w="10560"/>
          </w:cols>
          <w:pgMar w:left="660" w:top="1132" w:right="680"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393700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auto"/>
        </w:rPr>
        <w:t>appreciation of $(1.2) million and $ 0.9 million, respectively. As of March 31, 2024 and September 30, 2023, the net unrealized appreciation (depreciation) on the Credit Facility and the 2023 Notes totaled zero and zero, respectively. We use a nationally recognized independent valuation service to measure the fair value of the Credit Facility in a manner consistent with the valuation process that our board of directors uses to value our investments. Our 2023 Notes traded on the TASE and were fully paid off during the quarter.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6. TRANSACTIONS WITH AFFILIATED COMPANIES</w:t>
      </w:r>
    </w:p>
    <w:p>
      <w:pPr>
        <w:spacing w:after="0" w:line="165"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six months ended March 31, 2024 were as follows ($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Sale of/</w:t>
            </w: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Appreciation</w:t>
            </w:r>
          </w:p>
        </w:tc>
        <w:tc>
          <w:tcPr>
            <w:tcW w:w="10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Net Realized</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08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5"/>
                <w:szCs w:val="15"/>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from Affiliates</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Gains (Losses)</w:t>
            </w:r>
          </w:p>
        </w:tc>
        <w:tc>
          <w:tcPr>
            <w:tcW w:w="0" w:type="dxa"/>
            <w:vAlign w:val="bottom"/>
          </w:tcPr>
          <w:p>
            <w:pPr>
              <w:spacing w:after="0"/>
              <w:rPr>
                <w:sz w:val="1"/>
                <w:szCs w:val="1"/>
                <w:color w:val="auto"/>
              </w:rPr>
            </w:pPr>
          </w:p>
        </w:tc>
      </w:tr>
      <w:tr>
        <w:trPr>
          <w:trHeight w:val="184"/>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1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0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9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Marketplace Events, LLC</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$34,027</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$38,003</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$2,478</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4"/>
        </w:trPr>
        <w:tc>
          <w:tcPr>
            <w:tcW w:w="2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PennantPark Senior Secured</w:t>
            </w:r>
          </w:p>
        </w:tc>
        <w:tc>
          <w:tcPr>
            <w:tcW w:w="1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3"/>
                <w:szCs w:val="13"/>
                <w:color w:val="auto"/>
              </w:rPr>
              <w:t>Loan Fund I LLC *</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260,969</w:t>
            </w:r>
          </w:p>
        </w:tc>
        <w:tc>
          <w:tcPr>
            <w:tcW w:w="10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CFF"/>
          </w:tcPr>
          <w:p>
            <w:pPr>
              <w:spacing w:after="0"/>
              <w:rPr>
                <w:sz w:val="16"/>
                <w:szCs w:val="16"/>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1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263,199</w:t>
            </w:r>
          </w:p>
        </w:tc>
        <w:tc>
          <w:tcPr>
            <w:tcW w:w="1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14,276</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7,219</w:t>
            </w:r>
          </w:p>
        </w:tc>
        <w:tc>
          <w:tcPr>
            <w:tcW w:w="10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$294,996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$5,408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$301,202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$16,754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$7,219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jc w:val="both"/>
        <w:ind w:right="140" w:firstLine="6"/>
        <w:spacing w:after="0" w:line="263" w:lineRule="auto"/>
        <w:tabs>
          <w:tab w:leader="none" w:pos="72" w:val="left"/>
        </w:tabs>
        <w:numPr>
          <w:ilvl w:val="0"/>
          <w:numId w:val="6"/>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1"/>
          <w:szCs w:val="11"/>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 CHANGE IN NET ASSETS FROM OPERATIONS PER COMMON SHARE</w:t>
      </w:r>
    </w:p>
    <w:p>
      <w:pPr>
        <w:spacing w:after="0" w:line="165" w:lineRule="exact"/>
        <w:rPr>
          <w:sz w:val="20"/>
          <w:szCs w:val="20"/>
          <w:color w:val="auto"/>
        </w:rPr>
      </w:pPr>
    </w:p>
    <w:p>
      <w:pPr>
        <w:ind w:left="560" w:right="3040" w:hanging="131"/>
        <w:spacing w:after="0" w:line="286" w:lineRule="auto"/>
        <w:rPr>
          <w:sz w:val="20"/>
          <w:szCs w:val="20"/>
          <w:color w:val="auto"/>
        </w:rPr>
      </w:pPr>
      <w:r>
        <w:rPr>
          <w:rFonts w:ascii="Times New Roman" w:cs="Times New Roman" w:eastAsia="Times New Roman" w:hAnsi="Times New Roman"/>
          <w:sz w:val="13"/>
          <w:szCs w:val="13"/>
          <w:color w:val="auto"/>
        </w:rPr>
        <w:t>The following information sets forth the computation of basic and diluted per share net increase in net assets resulting from operations ($ in thousands, except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0" w:type="dxa"/>
            <w:vAlign w:val="bottom"/>
            <w:gridSpan w:val="3"/>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00" w:type="dxa"/>
            <w:vAlign w:val="bottom"/>
          </w:tcPr>
          <w:p>
            <w:pPr>
              <w:spacing w:after="0"/>
              <w:rPr>
                <w:sz w:val="15"/>
                <w:szCs w:val="15"/>
                <w:color w:val="auto"/>
              </w:rPr>
            </w:pPr>
          </w:p>
        </w:tc>
        <w:tc>
          <w:tcPr>
            <w:tcW w:w="2540" w:type="dxa"/>
            <w:vAlign w:val="bottom"/>
            <w:gridSpan w:val="3"/>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r>
      <w:tr>
        <w:trPr>
          <w:trHeight w:val="184"/>
        </w:trPr>
        <w:tc>
          <w:tcPr>
            <w:tcW w:w="4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6"/>
                <w:szCs w:val="16"/>
                <w:color w:val="auto"/>
              </w:rPr>
            </w:pPr>
          </w:p>
        </w:tc>
        <w:tc>
          <w:tcPr>
            <w:tcW w:w="110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Pr>
          <w:p>
            <w:pPr>
              <w:spacing w:after="0"/>
              <w:rPr>
                <w:sz w:val="16"/>
                <w:szCs w:val="16"/>
                <w:color w:val="auto"/>
              </w:rPr>
            </w:pPr>
          </w:p>
        </w:tc>
        <w:tc>
          <w:tcPr>
            <w:tcW w:w="110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6"/>
                <w:szCs w:val="16"/>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4"/>
        </w:trPr>
        <w:tc>
          <w:tcPr>
            <w:tcW w:w="4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Numerator for net increase in net assets resulting from operations</w:t>
            </w:r>
          </w:p>
        </w:tc>
        <w:tc>
          <w:tcPr>
            <w:tcW w:w="5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31,111</w:t>
            </w:r>
          </w:p>
        </w:tc>
        <w:tc>
          <w:tcPr>
            <w:tcW w:w="4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7,243</w:t>
            </w:r>
          </w:p>
        </w:tc>
        <w:tc>
          <w:tcPr>
            <w:tcW w:w="4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53,579</w:t>
            </w:r>
          </w:p>
        </w:tc>
        <w:tc>
          <w:tcPr>
            <w:tcW w:w="4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5,623</w:t>
            </w:r>
          </w:p>
        </w:tc>
      </w:tr>
      <w:tr>
        <w:trPr>
          <w:trHeight w:val="176"/>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Denominator for basic and diluted weighted average shares</w:t>
            </w:r>
          </w:p>
        </w:tc>
        <w:tc>
          <w:tcPr>
            <w:tcW w:w="580" w:type="dxa"/>
            <w:vAlign w:val="bottom"/>
          </w:tcPr>
          <w:p>
            <w:pPr>
              <w:spacing w:after="0"/>
              <w:rPr>
                <w:sz w:val="15"/>
                <w:szCs w:val="15"/>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61,151,898</w:t>
            </w:r>
          </w:p>
        </w:tc>
        <w:tc>
          <w:tcPr>
            <w:tcW w:w="400" w:type="dxa"/>
            <w:vAlign w:val="bottom"/>
          </w:tcPr>
          <w:p>
            <w:pPr>
              <w:spacing w:after="0"/>
              <w:rPr>
                <w:sz w:val="15"/>
                <w:szCs w:val="15"/>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48,529,037</w:t>
            </w:r>
          </w:p>
        </w:tc>
        <w:tc>
          <w:tcPr>
            <w:tcW w:w="400" w:type="dxa"/>
            <w:vAlign w:val="bottom"/>
          </w:tcPr>
          <w:p>
            <w:pPr>
              <w:spacing w:after="0"/>
              <w:rPr>
                <w:sz w:val="15"/>
                <w:szCs w:val="15"/>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59,936,696</w:t>
            </w:r>
          </w:p>
        </w:tc>
        <w:tc>
          <w:tcPr>
            <w:tcW w:w="40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46,931,577</w:t>
            </w:r>
          </w:p>
        </w:tc>
      </w:tr>
      <w:tr>
        <w:trPr>
          <w:trHeight w:val="184"/>
        </w:trPr>
        <w:tc>
          <w:tcPr>
            <w:tcW w:w="4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Basic and diluted net increase in net assets per share resulting from operations</w:t>
            </w:r>
          </w:p>
        </w:tc>
        <w:tc>
          <w:tcPr>
            <w:tcW w:w="58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0.51</w:t>
            </w:r>
          </w:p>
        </w:tc>
        <w:tc>
          <w:tcPr>
            <w:tcW w:w="4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0.15</w:t>
            </w:r>
          </w:p>
        </w:tc>
        <w:tc>
          <w:tcPr>
            <w:tcW w:w="4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0.89</w:t>
            </w:r>
          </w:p>
        </w:tc>
        <w:tc>
          <w:tcPr>
            <w:tcW w:w="4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0.12</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8. CASH AND CASH EQUIVALENTS</w:t>
      </w:r>
    </w:p>
    <w:p>
      <w:pPr>
        <w:spacing w:after="0" w:line="165" w:lineRule="exact"/>
        <w:rPr>
          <w:sz w:val="20"/>
          <w:szCs w:val="20"/>
          <w:color w:val="auto"/>
        </w:rPr>
      </w:pPr>
    </w:p>
    <w:p>
      <w:pPr>
        <w:ind w:firstLine="420"/>
        <w:spacing w:after="0" w:line="255" w:lineRule="auto"/>
        <w:rPr>
          <w:sz w:val="20"/>
          <w:szCs w:val="20"/>
          <w:color w:val="auto"/>
        </w:rPr>
      </w:pPr>
      <w:r>
        <w:rPr>
          <w:rFonts w:ascii="Times New Roman" w:cs="Times New Roman" w:eastAsia="Times New Roman" w:hAnsi="Times New Roman"/>
          <w:sz w:val="13"/>
          <w:szCs w:val="13"/>
          <w:color w:val="auto"/>
        </w:rPr>
        <w:t>Cash equivalents represent cash in money market funds pending investment in longer-term portfolio holdings and for other general purposes.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2024 and September 30, 2023, cash and cash equivalents consisted of money market funds in the amounts of $125.3 million and $100.6 million at fair value, respectively.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9. FINANCIAL HIGHLIGHTS</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36"/>
        </w:trPr>
        <w:tc>
          <w:tcPr>
            <w:tcW w:w="64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financial highlights ($ in thousands, except per share data):</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6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1140" w:type="dxa"/>
            <w:vAlign w:val="bottom"/>
            <w:shd w:val="clear" w:color="auto" w:fill="CCECFF"/>
          </w:tcPr>
          <w:p>
            <w:pPr>
              <w:spacing w:after="0"/>
              <w:rPr>
                <w:sz w:val="16"/>
                <w:szCs w:val="16"/>
                <w:color w:val="auto"/>
              </w:rPr>
            </w:pPr>
          </w:p>
        </w:tc>
        <w:tc>
          <w:tcPr>
            <w:tcW w:w="74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114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beginning of period</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Net investment income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spacing w:after="0"/>
              <w:rPr>
                <w:sz w:val="16"/>
                <w:szCs w:val="16"/>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0.65</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Net change in realized and unrealized gain (loss) </w:t>
            </w:r>
            <w:r>
              <w:rPr>
                <w:rFonts w:ascii="Times New Roman" w:cs="Times New Roman" w:eastAsia="Times New Roman" w:hAnsi="Times New Roman"/>
                <w:sz w:val="16"/>
                <w:szCs w:val="16"/>
                <w:color w:val="auto"/>
                <w:vertAlign w:val="superscript"/>
              </w:rPr>
              <w:t>(1)</w:t>
            </w:r>
          </w:p>
        </w:tc>
        <w:tc>
          <w:tcPr>
            <w:tcW w:w="1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0.25</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(0.53 )</w:t>
            </w:r>
          </w:p>
        </w:tc>
        <w:tc>
          <w:tcPr>
            <w:tcW w:w="40" w:type="dxa"/>
            <w:vAlign w:val="bottom"/>
          </w:tcPr>
          <w:p>
            <w:pPr>
              <w:spacing w:after="0"/>
              <w:rPr>
                <w:sz w:val="15"/>
                <w:szCs w:val="15"/>
                <w:color w:val="auto"/>
              </w:rPr>
            </w:pP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Net increase (decrease) in net assets resulting from operations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0.89</w:t>
            </w:r>
          </w:p>
        </w:tc>
        <w:tc>
          <w:tcPr>
            <w:tcW w:w="34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Distributions to stockholders </w:t>
            </w:r>
            <w:r>
              <w:rPr>
                <w:rFonts w:ascii="Times New Roman" w:cs="Times New Roman" w:eastAsia="Times New Roman" w:hAnsi="Times New Roman"/>
                <w:sz w:val="16"/>
                <w:szCs w:val="16"/>
                <w:color w:val="auto"/>
                <w:vertAlign w:val="superscript"/>
              </w:rPr>
              <w:t>(1), (2)</w:t>
            </w:r>
          </w:p>
        </w:tc>
        <w:tc>
          <w:tcPr>
            <w:tcW w:w="114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(0.62 )</w:t>
            </w:r>
          </w:p>
        </w:tc>
        <w:tc>
          <w:tcPr>
            <w:tcW w:w="7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(0.57 )</w:t>
            </w:r>
          </w:p>
        </w:tc>
        <w:tc>
          <w:tcPr>
            <w:tcW w:w="40" w:type="dxa"/>
            <w:vAlign w:val="bottom"/>
          </w:tcPr>
          <w:p>
            <w:pPr>
              <w:spacing w:after="0"/>
              <w:rPr>
                <w:sz w:val="15"/>
                <w:szCs w:val="15"/>
                <w:color w:val="auto"/>
              </w:rPr>
            </w:pPr>
          </w:p>
        </w:tc>
      </w:tr>
      <w:tr>
        <w:trPr>
          <w:trHeight w:val="180"/>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Accretive effect of common stock issuance</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(0.02 )</w:t>
            </w:r>
          </w:p>
        </w:tc>
        <w:tc>
          <w:tcPr>
            <w:tcW w:w="4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end of period</w:t>
            </w: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340" w:type="dxa"/>
            <w:vAlign w:val="bottom"/>
          </w:tcPr>
          <w:p>
            <w:pPr>
              <w:spacing w:after="0"/>
              <w:rPr>
                <w:sz w:val="15"/>
                <w:szCs w:val="15"/>
                <w:color w:val="auto"/>
              </w:rPr>
            </w:pPr>
          </w:p>
        </w:tc>
        <w:tc>
          <w:tcPr>
            <w:tcW w:w="7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Per share market value, end of period</w:t>
            </w:r>
          </w:p>
        </w:tc>
        <w:tc>
          <w:tcPr>
            <w:tcW w:w="1140" w:type="dxa"/>
            <w:vAlign w:val="bottom"/>
            <w:tcBorders>
              <w:bottom w:val="single" w:sz="8" w:color="auto"/>
            </w:tcBorders>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340" w:type="dxa"/>
            <w:vAlign w:val="bottom"/>
            <w:tcBorders>
              <w:bottom w:val="single" w:sz="8" w:color="CCECFF"/>
            </w:tcBorders>
            <w:shd w:val="clear" w:color="auto" w:fill="CCECFF"/>
          </w:tcPr>
          <w:p>
            <w:pPr>
              <w:spacing w:after="0"/>
              <w:rPr>
                <w:sz w:val="17"/>
                <w:szCs w:val="17"/>
                <w:color w:val="auto"/>
              </w:rPr>
            </w:pPr>
          </w:p>
        </w:tc>
        <w:tc>
          <w:tcPr>
            <w:tcW w:w="720" w:type="dxa"/>
            <w:vAlign w:val="bottom"/>
            <w:tcBorders>
              <w:bottom w:val="single" w:sz="8" w:color="auto"/>
            </w:tcBorders>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80" w:type="dxa"/>
            <w:vAlign w:val="bottom"/>
            <w:tcBorders>
              <w:bottom w:val="single" w:sz="8" w:color="CCECFF"/>
            </w:tcBorders>
            <w:shd w:val="clear" w:color="auto" w:fill="CCECFF"/>
          </w:tcPr>
          <w:p>
            <w:pPr>
              <w:spacing w:after="0"/>
              <w:rPr>
                <w:sz w:val="17"/>
                <w:szCs w:val="17"/>
                <w:color w:val="auto"/>
              </w:rPr>
            </w:pPr>
          </w:p>
        </w:tc>
        <w:tc>
          <w:tcPr>
            <w:tcW w:w="40" w:type="dxa"/>
            <w:vAlign w:val="bottom"/>
          </w:tcPr>
          <w:p>
            <w:pPr>
              <w:spacing w:after="0"/>
              <w:rPr>
                <w:sz w:val="17"/>
                <w:szCs w:val="17"/>
                <w:color w:val="auto"/>
              </w:rPr>
            </w:pPr>
          </w:p>
        </w:tc>
      </w:tr>
      <w:tr>
        <w:trPr>
          <w:trHeight w:val="160"/>
        </w:trPr>
        <w:tc>
          <w:tcPr>
            <w:tcW w:w="6400" w:type="dxa"/>
            <w:vAlign w:val="bottom"/>
          </w:tcPr>
          <w:p>
            <w:pPr>
              <w:ind w:left="20"/>
              <w:spacing w:after="0" w:line="160" w:lineRule="exact"/>
              <w:rPr>
                <w:sz w:val="20"/>
                <w:szCs w:val="20"/>
                <w:color w:val="auto"/>
              </w:rPr>
            </w:pPr>
            <w:r>
              <w:rPr>
                <w:rFonts w:ascii="Times New Roman" w:cs="Times New Roman" w:eastAsia="Times New Roman" w:hAnsi="Times New Roman"/>
                <w:sz w:val="13"/>
                <w:szCs w:val="13"/>
                <w:color w:val="auto"/>
              </w:rPr>
              <w:t xml:space="preserve">Total return </w:t>
            </w:r>
            <w:r>
              <w:rPr>
                <w:rFonts w:ascii="Times New Roman" w:cs="Times New Roman" w:eastAsia="Times New Roman" w:hAnsi="Times New Roman"/>
                <w:sz w:val="16"/>
                <w:szCs w:val="16"/>
                <w:color w:val="auto"/>
                <w:vertAlign w:val="superscript"/>
              </w:rPr>
              <w:t>*(3)</w:t>
            </w:r>
          </w:p>
        </w:tc>
        <w:tc>
          <w:tcPr>
            <w:tcW w:w="1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12.76 %</w:t>
            </w:r>
          </w:p>
        </w:tc>
        <w:tc>
          <w:tcPr>
            <w:tcW w:w="7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Shares outstanding at end of period</w:t>
            </w:r>
          </w:p>
        </w:tc>
        <w:tc>
          <w:tcPr>
            <w:tcW w:w="114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63,228,138</w:t>
            </w:r>
          </w:p>
        </w:tc>
        <w:tc>
          <w:tcPr>
            <w:tcW w:w="34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49,731,815</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b w:val="1"/>
                <w:bCs w:val="1"/>
                <w:color w:val="auto"/>
              </w:rPr>
              <w:t>Ratios</w:t>
            </w:r>
            <w:r>
              <w:rPr>
                <w:rFonts w:ascii="Times New Roman" w:cs="Times New Roman" w:eastAsia="Times New Roman" w:hAnsi="Times New Roman"/>
                <w:sz w:val="16"/>
                <w:szCs w:val="16"/>
                <w:b w:val="1"/>
                <w:bCs w:val="1"/>
                <w:color w:val="auto"/>
                <w:vertAlign w:val="superscript"/>
              </w:rPr>
              <w:t>**</w:t>
            </w:r>
            <w:r>
              <w:rPr>
                <w:rFonts w:ascii="Times New Roman" w:cs="Times New Roman" w:eastAsia="Times New Roman" w:hAnsi="Times New Roman"/>
                <w:sz w:val="13"/>
                <w:szCs w:val="13"/>
                <w:b w:val="1"/>
                <w:bCs w:val="1"/>
                <w:color w:val="auto"/>
              </w:rPr>
              <w:t xml:space="preserve"> / Supplemental Data:</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operating expenses to average net assets** </w:t>
            </w:r>
            <w:r>
              <w:rPr>
                <w:rFonts w:ascii="Times New Roman" w:cs="Times New Roman" w:eastAsia="Times New Roman" w:hAnsi="Times New Roman"/>
                <w:sz w:val="16"/>
                <w:szCs w:val="16"/>
                <w:color w:val="auto"/>
                <w:vertAlign w:val="superscript"/>
              </w:rPr>
              <w:t>(4)</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5.97 %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5.87 %</w:t>
            </w:r>
          </w:p>
        </w:tc>
        <w:tc>
          <w:tcPr>
            <w:tcW w:w="40" w:type="dxa"/>
            <w:vAlign w:val="bottom"/>
          </w:tcPr>
          <w:p>
            <w:pPr>
              <w:spacing w:after="0"/>
              <w:rPr>
                <w:sz w:val="15"/>
                <w:szCs w:val="15"/>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debt related expenses to average net assets** </w:t>
            </w:r>
            <w:r>
              <w:rPr>
                <w:rFonts w:ascii="Times New Roman" w:cs="Times New Roman" w:eastAsia="Times New Roman" w:hAnsi="Times New Roman"/>
                <w:sz w:val="16"/>
                <w:szCs w:val="16"/>
                <w:color w:val="auto"/>
                <w:vertAlign w:val="superscript"/>
              </w:rPr>
              <w:t>(5)</w:t>
            </w:r>
          </w:p>
        </w:tc>
        <w:tc>
          <w:tcPr>
            <w:tcW w:w="11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7.00 %</w:t>
            </w:r>
          </w:p>
        </w:tc>
        <w:tc>
          <w:tcPr>
            <w:tcW w:w="7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7.28 %</w:t>
            </w: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total expenses to average net assets** </w:t>
            </w:r>
            <w:r>
              <w:rPr>
                <w:rFonts w:ascii="Times New Roman" w:cs="Times New Roman" w:eastAsia="Times New Roman" w:hAnsi="Times New Roman"/>
                <w:sz w:val="16"/>
                <w:szCs w:val="16"/>
                <w:color w:val="auto"/>
                <w:vertAlign w:val="superscript"/>
              </w:rPr>
              <w:t>(5)</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12.97 %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13.15 %</w:t>
            </w:r>
          </w:p>
        </w:tc>
        <w:tc>
          <w:tcPr>
            <w:tcW w:w="40" w:type="dxa"/>
            <w:vAlign w:val="bottom"/>
          </w:tcPr>
          <w:p>
            <w:pPr>
              <w:spacing w:after="0"/>
              <w:rPr>
                <w:sz w:val="15"/>
                <w:szCs w:val="15"/>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Ratio of net investment income to average net assets** </w:t>
            </w:r>
            <w:r>
              <w:rPr>
                <w:rFonts w:ascii="Times New Roman" w:cs="Times New Roman" w:eastAsia="Times New Roman" w:hAnsi="Times New Roman"/>
                <w:sz w:val="16"/>
                <w:szCs w:val="16"/>
                <w:color w:val="auto"/>
                <w:vertAlign w:val="superscript"/>
              </w:rPr>
              <w:t>(5)</w:t>
            </w:r>
          </w:p>
        </w:tc>
        <w:tc>
          <w:tcPr>
            <w:tcW w:w="114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11.42 %</w:t>
            </w:r>
          </w:p>
        </w:tc>
        <w:tc>
          <w:tcPr>
            <w:tcW w:w="7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11.32 %</w:t>
            </w:r>
          </w:p>
        </w:tc>
      </w:tr>
      <w:tr>
        <w:trPr>
          <w:trHeight w:val="180"/>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1140" w:type="dxa"/>
            <w:vAlign w:val="bottom"/>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720,711</w:t>
            </w:r>
          </w:p>
        </w:tc>
        <w:tc>
          <w:tcPr>
            <w:tcW w:w="340" w:type="dxa"/>
            <w:vAlign w:val="bottom"/>
            <w:shd w:val="clear" w:color="auto" w:fill="CCECFF"/>
          </w:tcPr>
          <w:p>
            <w:pPr>
              <w:spacing w:after="0"/>
              <w:rPr>
                <w:sz w:val="15"/>
                <w:szCs w:val="15"/>
                <w:color w:val="auto"/>
              </w:rPr>
            </w:pPr>
          </w:p>
        </w:tc>
        <w:tc>
          <w:tcPr>
            <w:tcW w:w="720" w:type="dxa"/>
            <w:vAlign w:val="bottom"/>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554,669</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debt outstanding</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667,111</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672,046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6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 xml:space="preserve">Weighted average debt per share </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CFF"/>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340" w:type="dxa"/>
            <w:vAlign w:val="bottom"/>
            <w:shd w:val="clear" w:color="auto" w:fill="CCECFF"/>
          </w:tcPr>
          <w:p>
            <w:pPr>
              <w:spacing w:after="0"/>
              <w:rPr>
                <w:sz w:val="16"/>
                <w:szCs w:val="16"/>
                <w:color w:val="auto"/>
              </w:rPr>
            </w:pPr>
          </w:p>
        </w:tc>
        <w:tc>
          <w:tcPr>
            <w:tcW w:w="720" w:type="dxa"/>
            <w:vAlign w:val="bottom"/>
            <w:shd w:val="clear" w:color="auto" w:fill="CCECFF"/>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14.32</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64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 xml:space="preserve">Asset coverage per unit </w:t>
            </w:r>
            <w:r>
              <w:rPr>
                <w:rFonts w:ascii="Times New Roman" w:cs="Times New Roman" w:eastAsia="Times New Roman" w:hAnsi="Times New Roman"/>
                <w:sz w:val="16"/>
                <w:szCs w:val="16"/>
                <w:color w:val="auto"/>
                <w:vertAlign w:val="superscript"/>
              </w:rPr>
              <w:t>(6)</w:t>
            </w:r>
          </w:p>
        </w:tc>
        <w:tc>
          <w:tcPr>
            <w:tcW w:w="114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340" w:type="dxa"/>
            <w:vAlign w:val="bottom"/>
          </w:tcPr>
          <w:p>
            <w:pPr>
              <w:spacing w:after="0"/>
              <w:rPr>
                <w:sz w:val="15"/>
                <w:szCs w:val="15"/>
                <w:color w:val="auto"/>
              </w:rPr>
            </w:pPr>
          </w:p>
        </w:tc>
        <w:tc>
          <w:tcPr>
            <w:tcW w:w="7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400" w:type="dxa"/>
            <w:vAlign w:val="bottom"/>
            <w:shd w:val="clear" w:color="auto" w:fill="CCECFF"/>
          </w:tcPr>
          <w:p>
            <w:pPr>
              <w:ind w:left="20"/>
              <w:spacing w:after="0" w:line="180"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w:t>
            </w:r>
          </w:p>
        </w:tc>
        <w:tc>
          <w:tcPr>
            <w:tcW w:w="114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17.58 %</w:t>
            </w:r>
          </w:p>
        </w:tc>
        <w:tc>
          <w:tcPr>
            <w:tcW w:w="72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7.93 %</w:t>
            </w:r>
          </w:p>
        </w:tc>
        <w:tc>
          <w:tcPr>
            <w:tcW w:w="40" w:type="dxa"/>
            <w:vAlign w:val="bottom"/>
          </w:tcPr>
          <w:p>
            <w:pPr>
              <w:spacing w:after="0"/>
              <w:rPr>
                <w:sz w:val="15"/>
                <w:szCs w:val="15"/>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Note: The expense and investment income ratios above do not reflect the Company's proportionate share of income and expenses of PSSL and PTSF</w:t>
      </w:r>
    </w:p>
    <w:p>
      <w:pPr>
        <w:spacing w:after="0" w:line="125" w:lineRule="exact"/>
        <w:rPr>
          <w:sz w:val="20"/>
          <w:szCs w:val="20"/>
          <w:color w:val="auto"/>
        </w:rPr>
      </w:pPr>
    </w:p>
    <w:p>
      <w:pPr>
        <w:ind w:left="80" w:hanging="74"/>
        <w:spacing w:after="0"/>
        <w:tabs>
          <w:tab w:leader="none" w:pos="80" w:val="left"/>
        </w:tabs>
        <w:numPr>
          <w:ilvl w:val="0"/>
          <w:numId w:val="7"/>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Not annualized for periods less than one year.</w:t>
      </w:r>
    </w:p>
    <w:p>
      <w:pPr>
        <w:spacing w:after="0" w:line="9" w:lineRule="exact"/>
        <w:rPr>
          <w:sz w:val="20"/>
          <w:szCs w:val="20"/>
          <w:color w:val="auto"/>
        </w:rPr>
      </w:pPr>
    </w:p>
    <w:p>
      <w:pPr>
        <w:ind w:left="120" w:hanging="114"/>
        <w:spacing w:after="0"/>
        <w:tabs>
          <w:tab w:leader="none" w:pos="120" w:val="left"/>
        </w:tabs>
        <w:numPr>
          <w:ilvl w:val="0"/>
          <w:numId w:val="8"/>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Re-occuring investment income and expenses included in these ratios are annualized for periods less than one year</w:t>
      </w:r>
    </w:p>
    <w:p>
      <w:pPr>
        <w:spacing w:after="0" w:line="5"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Based on the weighted average shares outstanding for the respective periods.</w:t>
      </w:r>
    </w:p>
    <w:p>
      <w:pPr>
        <w:spacing w:after="0" w:line="4" w:lineRule="exact"/>
        <w:rPr>
          <w:rFonts w:ascii="Times New Roman" w:cs="Times New Roman" w:eastAsia="Times New Roman" w:hAnsi="Times New Roman"/>
          <w:sz w:val="10"/>
          <w:szCs w:val="10"/>
          <w:b w:val="1"/>
          <w:bCs w:val="1"/>
          <w:color w:val="auto"/>
        </w:rPr>
      </w:pPr>
    </w:p>
    <w:p>
      <w:pPr>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The tax status of distributions is calculated in accordance with income tax regulations, which may differ from amounts determined under GAAP, and reported on Form 1099-DIV each calendar year.</w:t>
      </w:r>
    </w:p>
    <w:p>
      <w:pPr>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Based on the change in market price per share during the periods and assumes distributions, if any, are reinvested.</w:t>
      </w:r>
    </w:p>
    <w:p>
      <w:pPr>
        <w:spacing w:after="0" w:line="184"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Excludes debt-related costs.</w:t>
      </w:r>
    </w:p>
    <w:p>
      <w:pPr>
        <w:spacing w:after="0" w:line="192" w:lineRule="auto"/>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3"/>
          <w:szCs w:val="13"/>
          <w:color w:val="auto"/>
          <w:vertAlign w:val="superscript"/>
        </w:rPr>
        <w:t>(5)</w:t>
      </w:r>
      <w:r>
        <w:rPr>
          <w:rFonts w:ascii="Times New Roman" w:cs="Times New Roman" w:eastAsia="Times New Roman" w:hAnsi="Times New Roman"/>
          <w:sz w:val="7"/>
          <w:szCs w:val="7"/>
          <w:color w:val="auto"/>
        </w:rPr>
        <w:t>Includes interest and expenses on debt (annualized) as well as Credit Facility amendment and debt issuance costs, if any, (not annualized).</w:t>
      </w:r>
    </w:p>
    <w:p>
      <w:pPr>
        <w:ind w:right="400"/>
        <w:spacing w:after="0" w:line="202" w:lineRule="auto"/>
        <w:rPr>
          <w:sz w:val="20"/>
          <w:szCs w:val="20"/>
          <w:color w:val="auto"/>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0"/>
          <w:szCs w:val="10"/>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 DEBT</w:t>
      </w:r>
    </w:p>
    <w:p>
      <w:pPr>
        <w:spacing w:after="0" w:line="165"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The annualized weighted average cost of debt for the six months ended March 31, 2024 and 2023, inclusive of the fee on the undrawn commitment on the Credit Facility, amendment costs and debt issuance costs, was 7.1% and 5.8%, respectively.</w:t>
      </w:r>
    </w:p>
    <w:p>
      <w:pPr>
        <w:spacing w:after="0" w:line="112"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2024 and September 30, 2023, our asset coverage ratio, as computed in accordance with the 1940 Act, was 183% and 230%,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Credit Facility</w:t>
      </w:r>
    </w:p>
    <w:p>
      <w:pPr>
        <w:spacing w:after="0" w:line="167" w:lineRule="exact"/>
        <w:rPr>
          <w:sz w:val="20"/>
          <w:szCs w:val="20"/>
          <w:color w:val="auto"/>
        </w:rPr>
      </w:pPr>
    </w:p>
    <w:p>
      <w:pPr>
        <w:ind w:right="120" w:firstLine="420"/>
        <w:spacing w:after="0" w:line="257" w:lineRule="auto"/>
        <w:rPr>
          <w:sz w:val="20"/>
          <w:szCs w:val="20"/>
          <w:color w:val="auto"/>
        </w:rPr>
      </w:pPr>
      <w:r>
        <w:rPr>
          <w:rFonts w:ascii="Times New Roman" w:cs="Times New Roman" w:eastAsia="Times New Roman" w:hAnsi="Times New Roman"/>
          <w:sz w:val="13"/>
          <w:szCs w:val="13"/>
          <w:color w:val="auto"/>
        </w:rPr>
        <w:t>Funding I’s multi-currency Credit Facility with affiliates of Truist Bank, or the Lenders, was $386.0 million as of March 31, 2024, subject to satisfaction of certain conditions and the regulatory restrictions that the 1940 Act imposes on us as a BDC, has an interest rate spread above SOFR (or an alternative risk-free floating interest rate index) of 236 basis points, a maturity date of August 2026 and a revolving period that ends in August 2024. As of March 31, 2024 and September 30, 2023, Funding I had $168.9 million and $9.4 million of outstanding borrowings under the Credit Facility, respectively. The Credit Facility had a weighted average interest rate of 7.7% and 7.7%, exclusive of the fee on undrawn commitments as of March 31, 2024 and September 30, 2023, respectively. As of March 31, 2024 and September 30, 2023, we had $217.1 million and $376.6 million of unused borrowing capacity under the Credit Facility, respectively, subject to leverage and borrowing base restrictions.</w:t>
      </w:r>
    </w:p>
    <w:p>
      <w:pPr>
        <w:spacing w:after="0" w:line="13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During the revolving period, the Credit Facility bears interest at SOFR (or an alternative risk- free floating interest rate index) plus 236 basis points and, after the revolving period, the rate will reset to Base Rate (or an alternative risk-free floating interest rate index) plus 250 basis points for the remaining two years, maturing in August 2026.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2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2024, we were in compliance with the covenants relating to the Credit Facility.</w:t>
      </w:r>
    </w:p>
    <w:p>
      <w:pPr>
        <w:spacing w:after="0" w:line="127" w:lineRule="exact"/>
        <w:rPr>
          <w:sz w:val="20"/>
          <w:szCs w:val="20"/>
          <w:color w:val="auto"/>
        </w:rPr>
      </w:pPr>
    </w:p>
    <w:p>
      <w:pPr>
        <w:ind w:right="220" w:firstLine="420"/>
        <w:spacing w:after="0" w:line="263" w:lineRule="auto"/>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sectPr>
          <w:pgSz w:w="11900" w:h="16840" w:orient="portrait"/>
          <w:cols w:equalWidth="0" w:num="1">
            <w:col w:w="10600"/>
          </w:cols>
          <w:pgMar w:left="660" w:top="1132" w:right="640" w:bottom="1440" w:gutter="0" w:footer="0" w:header="0"/>
        </w:sect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393700</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type w:val="continuous"/>
        </w:sectPr>
      </w:pPr>
    </w:p>
    <w:bookmarkStart w:id="38" w:name="page39"/>
    <w:bookmarkEnd w:id="38"/>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69"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2023 Notes</w:t>
      </w:r>
    </w:p>
    <w:p>
      <w:pPr>
        <w:spacing w:after="0" w:line="16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In November 2017, we issued $138.6 million aggregate principal amount of our 2023 Notes that matured on December 15, 2023. The 2023 Notes were issued pursuant to a deed of trust between the Company and Mishmeret Trust Company, Ltd., as trustee, in November 2017. In connection with this offering, we have dual listed our common stock on the TASE. On February 7, 2024, the Company filed a notice with the Israel Securities Authority and the Tel Aviv Stock Exchange Ltd (the “TASE”) voluntarily requesting to delist the Company’s common stock from trading on the TASE. The last day of trading on the TASE was May 6, 2024 and the delisting of the Company’s common stock from the TASE took effect on May 8, 2024.</w:t>
      </w:r>
    </w:p>
    <w:p>
      <w:pPr>
        <w:spacing w:after="0" w:line="127" w:lineRule="exact"/>
        <w:rPr>
          <w:sz w:val="20"/>
          <w:szCs w:val="20"/>
          <w:color w:val="auto"/>
        </w:rPr>
      </w:pPr>
    </w:p>
    <w:p>
      <w:pPr>
        <w:ind w:right="120" w:firstLine="420"/>
        <w:spacing w:after="0" w:line="262" w:lineRule="auto"/>
        <w:rPr>
          <w:sz w:val="20"/>
          <w:szCs w:val="20"/>
          <w:color w:val="auto"/>
        </w:rPr>
      </w:pPr>
      <w:r>
        <w:rPr>
          <w:rFonts w:ascii="Times New Roman" w:cs="Times New Roman" w:eastAsia="Times New Roman" w:hAnsi="Times New Roman"/>
          <w:sz w:val="13"/>
          <w:szCs w:val="13"/>
          <w:color w:val="auto"/>
        </w:rPr>
        <w:t>The 2023 Notes paid interest at a rate of 4.3% per year. As a result of the downgrade of the 2023 Notes from “ilA+” to “ilA-” in March 2020, the interest rate of the 2023 Notes was increased to 4.3% from 3.8%. Interest on the 2023 Notes was payable semi-annually in arrears on June 15 and December 15 of each year, commencing June 15, 2018. The principal on the 2023 Notes was payable in four annual installments 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2026 Notes</w:t>
      </w:r>
    </w:p>
    <w:p>
      <w:pPr>
        <w:spacing w:after="0" w:line="167"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of our existing and future indebtedness and other obligations of any of our subsidiaries, financing vehicles, or similar facilities. We do not intend to list the 2026 Notes on any securities exchange or automated dealer quotation system.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2031 Asset-Backed Debt</w:t>
      </w:r>
    </w:p>
    <w:p>
      <w:pPr>
        <w:spacing w:after="0" w:line="167" w:lineRule="exact"/>
        <w:rPr>
          <w:sz w:val="20"/>
          <w:szCs w:val="20"/>
          <w:color w:val="auto"/>
        </w:rPr>
      </w:pPr>
    </w:p>
    <w:p>
      <w:pPr>
        <w:ind w:right="160" w:firstLine="453"/>
        <w:spacing w:after="0" w:line="253" w:lineRule="auto"/>
        <w:rPr>
          <w:sz w:val="20"/>
          <w:szCs w:val="20"/>
          <w:color w:val="auto"/>
        </w:rPr>
      </w:pPr>
      <w:r>
        <w:rPr>
          <w:rFonts w:ascii="Times New Roman" w:cs="Times New Roman" w:eastAsia="Times New Roman" w:hAnsi="Times New Roman"/>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$ 78.5 million Class A-1 Senior Secured Floating Rate Loans maturing 2031, which bear interest at the three-month SOFR plus 1.8%, (ii) $15.0 million Class A-2 Senior Secured Fixed Rate Notes due 2031, which bear interest at 3.7%, (iii) $14.0 million Class B-1 Senior Secured Floating Rate Notes due 2031, which bear interest at the three-month SOFR plus 2.9%,</w:t>
      </w:r>
    </w:p>
    <w:p>
      <w:pPr>
        <w:spacing w:after="0" w:line="1" w:lineRule="exact"/>
        <w:rPr>
          <w:sz w:val="20"/>
          <w:szCs w:val="20"/>
          <w:color w:val="auto"/>
        </w:rPr>
      </w:pPr>
    </w:p>
    <w:p>
      <w:pPr>
        <w:ind w:right="180" w:firstLine="6"/>
        <w:spacing w:after="0" w:line="157" w:lineRule="exact"/>
        <w:tabs>
          <w:tab w:leader="none" w:pos="223"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$16.0 million Class B-2 Senior Secured Fixed Rate Notes due 2031, which bear interest at 4.3%, (v) $19.0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SOFR plus 4.0%, (vi) $8.0 million Class C-2 Secured Deferrable Fixed Rate Notes due 2031, which bear interest at 5.4%, and (vii) $18.0 million Class D Secured Deferrable Floating Rate Loans due 2031, which bear interest at the three-month SOFR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Notes due 2031, which bear interest at the three-month SOFR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41" w:lineRule="exact"/>
        <w:rPr>
          <w:sz w:val="20"/>
          <w:szCs w:val="20"/>
          <w:color w:val="auto"/>
        </w:rPr>
      </w:pPr>
    </w:p>
    <w:p>
      <w:pPr>
        <w:ind w:right="200" w:firstLine="420"/>
        <w:spacing w:after="0" w:line="262"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27"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March 31, 2024 and September 30, 2023, the Company had $226.3 million and $228.0 million of 2031 Asset-Backed Debt outstanding with a weighted average interest rate of 7.1% and 7.1%, respectively. As of March 31, 2024 and September 30, 2023, the unamortized fees on the 2031 Asset-Backed Debt were $0.9 million and $1.2 million, respectively.</w:t>
      </w:r>
    </w:p>
    <w:p>
      <w:pPr>
        <w:spacing w:after="0" w:line="127" w:lineRule="exact"/>
        <w:rPr>
          <w:sz w:val="20"/>
          <w:szCs w:val="20"/>
          <w:color w:val="auto"/>
        </w:rPr>
      </w:pPr>
    </w:p>
    <w:p>
      <w:pPr>
        <w:ind w:right="12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2036 Asset-Backed Debt</w:t>
      </w:r>
    </w:p>
    <w:p>
      <w:pPr>
        <w:spacing w:after="0" w:line="167" w:lineRule="exact"/>
        <w:rPr>
          <w:sz w:val="20"/>
          <w:szCs w:val="20"/>
          <w:color w:val="auto"/>
        </w:rPr>
      </w:pPr>
    </w:p>
    <w:p>
      <w:pPr>
        <w:ind w:right="120" w:firstLine="453"/>
        <w:spacing w:after="0" w:line="254" w:lineRule="auto"/>
        <w:rPr>
          <w:sz w:val="20"/>
          <w:szCs w:val="20"/>
          <w:color w:val="auto"/>
        </w:rPr>
      </w:pPr>
      <w:r>
        <w:rPr>
          <w:rFonts w:ascii="Times New Roman" w:cs="Times New Roman" w:eastAsia="Times New Roman" w:hAnsi="Times New Roman"/>
          <w:sz w:val="13"/>
          <w:szCs w:val="13"/>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three-month secured overnight financing rate published by the Federal Reserve Bank of New York (“SOFR”) plus 2.30%, (ii) $14 million of AAA(sf) Class A-2 Notes, which bear interest at three-month SOFR plus 2.70%, (iii) $24.5 million of AA(sf) Class B Notes, which bear interest at three-month SOFR plus 2.90%, (iv) $28 million of A(sf) Class C Notes, which bear interest at three- month SOFR plus 3.90%, (v) $21 million of BBB-(sf) Class D Notes, which bear interest at three-month SOFR plus 5.90%, (together, the “Secured Notes”), and (vi) $63.6 million of subordinated notes (“Subordinated Notes”) and (B) 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annualized interest on the 2036 Asset-Backed Debt will be paid, to the extent of funds available. The Debt is scheduled to mature on April 18, 2036.</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404495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2" w:right="640" w:bottom="1440" w:gutter="0" w:footer="0" w:header="0"/>
        </w:sectPr>
      </w:pPr>
    </w:p>
    <w:bookmarkStart w:id="39" w:name="page40"/>
    <w:bookmarkEnd w:id="39"/>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MARCH 31, 2024</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9"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The 2036 Asset-Backed Debt is included in the Consolidated Statement of Assets and Liabilities as debt of the Company and the Subordinated Notes of the 2036-Securitization Issuer were eliminated in consolidation. As of March 31, 2024, the Company had $287.0 million of 2036 Asset-Backed Debt outstanding with a weighted average interest rate of 8.1%. As of March 31, 2024, the unamortized fees on the 2036 Asset-Backed Debt were $3.2 million.</w:t>
      </w:r>
    </w:p>
    <w:p>
      <w:pPr>
        <w:spacing w:after="0" w:line="123"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 COMMITMENTS AND CONTINGENCIES</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March 31, 2024 and September 30, 2023, we had $300.2 million and $155.5 million, respectively, in commitments to fund investments. Additionally, as described in Note 4, the Company had unfunded commitments of $39.4 million and $39.4 million to PSSL as of March 31, 2024 and September 30, 2023, respectively, that may be contributed primarily for the purpose of funding new investments approved by the PSSL board of directors or investment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12. SUBSEQUENT EVENTS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On April 9, 2024, Funding I’s multi-currency Credit Facility size was increased by $50.0 million resulting in total commitments of $436.0 million.</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132" w:right="720" w:bottom="1440" w:gutter="0" w:footer="0" w:header="0"/>
        </w:sectPr>
      </w:pPr>
    </w:p>
    <w:bookmarkStart w:id="40" w:name="page41"/>
    <w:bookmarkEnd w:id="40"/>
    <w:p>
      <w:pPr>
        <w:ind w:left="36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Board of Directors of PennantPark Floating Rate Capital Ltd. and its Subsidiaries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Results of Review of Interim Financial Statements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We have reviewed the accompanying consolidated statement of assets and liabilities of PennantPark Floating Rate Capital Ltd. and its Subsidiaries (the Company), including the consolidated schedule of investments, as of March 31, 2024, the related consolidated statements of operations and changes in net assets for the three and six months ended March 31, 2024 and 2023 and cash flows for the six months ended March 31, 2024 and 2023, and the related notes to</w:t>
      </w:r>
    </w:p>
    <w:p>
      <w:pPr>
        <w:ind w:right="280" w:firstLine="33"/>
        <w:spacing w:after="0" w:line="263" w:lineRule="auto"/>
        <w:rPr>
          <w:sz w:val="20"/>
          <w:szCs w:val="20"/>
          <w:color w:val="auto"/>
        </w:rPr>
      </w:pPr>
      <w:r>
        <w:rPr>
          <w:rFonts w:ascii="Times New Roman" w:cs="Times New Roman" w:eastAsia="Times New Roman" w:hAnsi="Times New Roman"/>
          <w:sz w:val="13"/>
          <w:szCs w:val="13"/>
          <w:color w:val="auto"/>
        </w:rPr>
        <w:t>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2023, and the related consolidated statements of operations, changes in net assets, and cash flows for the year then ended (not presented herein); and in our report dated December 7, 2023, we expressed an unqualified opinion on those consolidated financial statements. In our opinion, the information set forth in the accompanying consolidated statement of assets and liabilities, including the consolidated schedule of investments, as of September 30, 2023, is fairly stated, in all material respects, in relation to the consolidated statement of assets and liabilities, including the consolidated schedule of investments, from which it has been derived.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Emphasis of Matter</w:t>
      </w:r>
    </w:p>
    <w:p>
      <w:pPr>
        <w:spacing w:after="0" w:line="2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3"/>
          <w:szCs w:val="13"/>
          <w:color w:val="auto"/>
        </w:rPr>
        <w:t>As discussed in Note 2 of the consolidated financial statements, the consolidated statements of cash flows for the six months ended March 31, 2023 has been restated to reclassify certain amounts presented within.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Review Results</w:t>
      </w:r>
    </w:p>
    <w:p>
      <w:pPr>
        <w:spacing w:after="0" w:line="16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3"/>
          <w:szCs w:val="13"/>
          <w:color w:val="auto"/>
        </w:rPr>
        <w:t>These interim financial statements are the responsibility of the Company’s management. We conducted our reviews in accordance with the standards of the Public Company Accounting Oversight Board (United States)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8, 2024</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88" w:right="700" w:bottom="1440" w:gutter="0" w:footer="0" w:header="0"/>
        </w:sectPr>
      </w:pPr>
    </w:p>
    <w:bookmarkStart w:id="41" w:name="page42"/>
    <w:bookmarkEnd w:id="41"/>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b w:val="1"/>
          <w:bCs w:val="1"/>
          <w:color w:val="auto"/>
        </w:rPr>
        <w:t>Awareness Letter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Board of Directors and Stockholders of PennantPark Floating Rate Capital Ltd. and its Subsidiaries</w:t>
      </w:r>
    </w:p>
    <w:p>
      <w:pPr>
        <w:spacing w:after="0" w:line="16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3"/>
          <w:szCs w:val="13"/>
          <w:color w:val="auto"/>
        </w:rPr>
        <w:t>We have reviewed, in accordance with the standards of the Public Company Accounting Oversight Board (United States), the unaudited interim financial information of PennantPark Floating Rate Capital Ltd. and its Subsidiaries for the periods ended March 31, 2024 and 2023, as indicated in our report dated May 8, 2024; because we did not perform an audit, we expressed no opinion on that information.</w:t>
      </w:r>
    </w:p>
    <w:p>
      <w:pPr>
        <w:spacing w:after="0" w:line="12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3"/>
          <w:szCs w:val="13"/>
          <w:color w:val="auto"/>
        </w:rPr>
        <w:t>We are aware that our report referred to above, which is included in your Quarterly Report on Form 10-Q for the quarter ended March 31, 2024, is incorporated by reference in Registration Statement No.333-268813 on Form N-2.</w:t>
      </w:r>
    </w:p>
    <w:p>
      <w:pPr>
        <w:spacing w:after="0" w:line="1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3"/>
          <w:szCs w:val="13"/>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RSM US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May 8, 2024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future operating results;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business prospects and the prospects of our prospective portfolio companies;</w:t>
      </w:r>
    </w:p>
    <w:p>
      <w:pPr>
        <w:spacing w:after="0" w:line="163" w:lineRule="exact"/>
        <w:rPr>
          <w:sz w:val="20"/>
          <w:szCs w:val="20"/>
          <w:color w:val="auto"/>
        </w:rPr>
      </w:pPr>
    </w:p>
    <w:p>
      <w:pPr>
        <w:ind w:left="420" w:right="260"/>
        <w:spacing w:after="0" w:line="286" w:lineRule="auto"/>
        <w:rPr>
          <w:sz w:val="20"/>
          <w:szCs w:val="20"/>
          <w:color w:val="auto"/>
        </w:rPr>
      </w:pPr>
      <w:r>
        <w:rPr>
          <w:rFonts w:ascii="Times New Roman" w:cs="Times New Roman" w:eastAsia="Times New Roman" w:hAnsi="Times New Roman"/>
          <w:sz w:val="13"/>
          <w:szCs w:val="13"/>
          <w:color w:val="auto"/>
        </w:rPr>
        <w:t>•changes in political, economic or industry conditions, the interest rate environment or conditions affecting the financial and capital markets that could result in changes to the value of our assets;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a protracted decline in the liquidity of credit markets on our business;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investments that we expect to make;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contractual arrangements and relationships with third parties;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ability of our prospective portfolio companies to achieve their objectives;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expected financings and investments and ability to fund capital commitments to PSSL;</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adequacy of our cash resources and working capital;</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timing of cash flows, if any, from the operations of our prospective portfolio companies;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price and volume fluctuations in the stock market;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•increasing levels of inflation, and its impact on us and our portfolio companies;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future legislation and regulation on our business and our portfolio companies;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impact of the ongoing invasion of Ukraine by Russia other world economic and political issues; and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inability to develop and maintain effective internal control over financial reporting.</w:t>
      </w:r>
    </w:p>
    <w:p>
      <w:pPr>
        <w:spacing w:after="0" w:line="163"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We use words such as “anticipates,” “believes,” “expects,” “intends,” “seeks,” “plans,” “estimates” and similar expressions to identify forward- 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23" w:lineRule="exact"/>
        <w:rPr>
          <w:sz w:val="20"/>
          <w:szCs w:val="20"/>
          <w:color w:val="auto"/>
        </w:rPr>
      </w:pPr>
    </w:p>
    <w:p>
      <w:pPr>
        <w:jc w:val="both"/>
        <w:ind w:right="300" w:firstLine="420"/>
        <w:spacing w:after="0" w:line="262" w:lineRule="auto"/>
        <w:rPr>
          <w:sz w:val="20"/>
          <w:szCs w:val="20"/>
          <w:color w:val="auto"/>
        </w:rPr>
      </w:pPr>
      <w:r>
        <w:rPr>
          <w:rFonts w:ascii="Times New Roman" w:cs="Times New Roman" w:eastAsia="Times New Roman" w:hAnsi="Times New Roman"/>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27" w:lineRule="exact"/>
        <w:rPr>
          <w:sz w:val="20"/>
          <w:szCs w:val="20"/>
          <w:color w:val="auto"/>
        </w:rPr>
      </w:pPr>
    </w:p>
    <w:p>
      <w:pPr>
        <w:ind w:right="40" w:firstLine="420"/>
        <w:spacing w:after="0" w:line="265" w:lineRule="auto"/>
        <w:rPr>
          <w:sz w:val="20"/>
          <w:szCs w:val="20"/>
          <w:color w:val="auto"/>
        </w:rPr>
      </w:pPr>
      <w:r>
        <w:rPr>
          <w:rFonts w:ascii="Times New Roman" w:cs="Times New Roman" w:eastAsia="Times New Roman" w:hAnsi="Times New Roman"/>
          <w:sz w:val="13"/>
          <w:szCs w:val="13"/>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 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 K.</w:t>
      </w:r>
    </w:p>
    <w:p>
      <w:pPr>
        <w:spacing w:after="0" w:line="285"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1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67"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12" w:lineRule="exact"/>
        <w:rPr>
          <w:sz w:val="20"/>
          <w:szCs w:val="20"/>
          <w:color w:val="auto"/>
        </w:rPr>
      </w:pPr>
    </w:p>
    <w:p>
      <w:pPr>
        <w:ind w:right="100" w:firstLine="420"/>
        <w:spacing w:after="0" w:line="263" w:lineRule="auto"/>
        <w:rPr>
          <w:sz w:val="20"/>
          <w:szCs w:val="20"/>
          <w:color w:val="auto"/>
        </w:rPr>
      </w:pPr>
      <w:r>
        <w:rPr>
          <w:rFonts w:ascii="Times New Roman" w:cs="Times New Roman" w:eastAsia="Times New Roman" w:hAnsi="Times New Roman"/>
          <w:sz w:val="13"/>
          <w:szCs w:val="13"/>
          <w:color w:val="auto"/>
        </w:rPr>
        <w:t>We believe that floating rate loans to U.S. middle-market companies offer attractive risk- reward to investors due to a limited amount of capital available for such companies. We use the term “middle-market” to refer to companies with annual revenues between $50 million and $1 billion. Our investments are typically rated below</w:t>
      </w: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8" w:right="680" w:bottom="1440" w:gutter="0" w:footer="0" w:header="0"/>
        </w:sectPr>
      </w:pPr>
    </w:p>
    <w:bookmarkStart w:id="43" w:name="page44"/>
    <w:bookmarkEnd w:id="43"/>
    <w:p>
      <w:pPr>
        <w:ind w:right="20"/>
        <w:spacing w:after="0" w:line="259" w:lineRule="auto"/>
        <w:rPr>
          <w:sz w:val="20"/>
          <w:szCs w:val="20"/>
          <w:color w:val="auto"/>
        </w:rPr>
      </w:pPr>
      <w:r>
        <w:rPr>
          <w:rFonts w:ascii="Times New Roman" w:cs="Times New Roman" w:eastAsia="Times New Roman" w:hAnsi="Times New Roman"/>
          <w:sz w:val="13"/>
          <w:szCs w:val="13"/>
          <w:color w:val="auto"/>
        </w:rPr>
        <w:t>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30"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27" w:lineRule="exact"/>
        <w:rPr>
          <w:sz w:val="20"/>
          <w:szCs w:val="20"/>
          <w:color w:val="auto"/>
        </w:rPr>
      </w:pPr>
    </w:p>
    <w:p>
      <w:pPr>
        <w:ind w:right="20" w:firstLine="420"/>
        <w:spacing w:after="0" w:line="268" w:lineRule="auto"/>
        <w:rPr>
          <w:sz w:val="20"/>
          <w:szCs w:val="20"/>
          <w:color w:val="auto"/>
        </w:rPr>
      </w:pPr>
      <w:r>
        <w:rPr>
          <w:rFonts w:ascii="Times New Roman" w:cs="Times New Roman" w:eastAsia="Times New Roman" w:hAnsi="Times New Roman"/>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Structure of PennantPark Floating Rate Capital Ltd.</w:t>
      </w:r>
    </w:p>
    <w:p>
      <w:pPr>
        <w:spacing w:after="0" w:line="167" w:lineRule="exact"/>
        <w:rPr>
          <w:sz w:val="20"/>
          <w:szCs w:val="20"/>
          <w:color w:val="auto"/>
        </w:rPr>
      </w:pPr>
    </w:p>
    <w:p>
      <w:pPr>
        <w:ind w:right="240" w:firstLine="420"/>
        <w:spacing w:after="0" w:line="286" w:lineRule="auto"/>
        <w:rPr>
          <w:sz w:val="20"/>
          <w:szCs w:val="20"/>
          <w:color w:val="auto"/>
        </w:rPr>
      </w:pPr>
      <w:r>
        <w:rPr>
          <w:rFonts w:ascii="Times New Roman" w:cs="Times New Roman" w:eastAsia="Times New Roman" w:hAnsi="Times New Roman"/>
          <w:sz w:val="13"/>
          <w:szCs w:val="13"/>
          <w:color w:val="auto"/>
        </w:rPr>
        <w:t>PennantPark Floating Rate Capital Ltd., a Maryland corporation organized in October 2010, is a closed -end, externally managed, non-diversified investment company that has elected to be treated as a BDC under the 1940 Act. In addition, for federal income tax purposes we elected to be treated, and intend to qualify annually, as a RIC under the Code.</w:t>
      </w:r>
    </w:p>
    <w:p>
      <w:pPr>
        <w:spacing w:after="0" w:line="112"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Financial Officer, Chief Compliance Officer, Corporate Counsel and their respective staffs. Our board of directors, a majority of whom are independent of us, provides overall supervision of our activities, and the Investment Adviser supervises our day-to-day activities.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67" w:lineRule="exact"/>
        <w:rPr>
          <w:sz w:val="20"/>
          <w:szCs w:val="20"/>
          <w:color w:val="auto"/>
        </w:rPr>
      </w:pPr>
    </w:p>
    <w:p>
      <w:pPr>
        <w:ind w:right="20" w:firstLine="420"/>
        <w:spacing w:after="0" w:line="254" w:lineRule="auto"/>
        <w:rPr>
          <w:sz w:val="20"/>
          <w:szCs w:val="20"/>
          <w:color w:val="auto"/>
        </w:rPr>
      </w:pPr>
      <w:r>
        <w:rPr>
          <w:rFonts w:ascii="Times New Roman" w:cs="Times New Roman" w:eastAsia="Times New Roman" w:hAnsi="Times New Roman"/>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and amendment fees and agency fees, and are recorded as other investment income when earned. Litigation settlements are accounted for in accordance with the gain contingency provisions of ASC Subtopic 450-30, Gain Contingencies, or ASC 450-30.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jc w:val="both"/>
        <w:ind w:right="160" w:firstLine="420"/>
        <w:spacing w:after="0" w:line="262" w:lineRule="auto"/>
        <w:rPr>
          <w:sz w:val="20"/>
          <w:szCs w:val="20"/>
          <w:color w:val="auto"/>
        </w:rPr>
      </w:pPr>
      <w:r>
        <w:rPr>
          <w:rFonts w:ascii="Times New Roman" w:cs="Times New Roman" w:eastAsia="Times New Roman" w:hAnsi="Times New Roman"/>
          <w:sz w:val="13"/>
          <w:szCs w:val="13"/>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cost of calculating our NAV, including the cost of any third-party valuation services;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cost of effecting sales and repurchases of shares of our common stock and other securities;</w:t>
      </w:r>
    </w:p>
    <w:p>
      <w:pPr>
        <w:spacing w:after="0" w:line="163"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112" w:lineRule="exact"/>
        <w:rPr>
          <w:sz w:val="20"/>
          <w:szCs w:val="20"/>
          <w:color w:val="auto"/>
        </w:rPr>
      </w:pPr>
    </w:p>
    <w:p>
      <w:pPr>
        <w:ind w:left="420" w:right="540"/>
        <w:spacing w:after="0" w:line="286" w:lineRule="auto"/>
        <w:rPr>
          <w:sz w:val="20"/>
          <w:szCs w:val="20"/>
          <w:color w:val="auto"/>
        </w:rPr>
      </w:pPr>
      <w:r>
        <w:rPr>
          <w:rFonts w:ascii="Times New Roman" w:cs="Times New Roman" w:eastAsia="Times New Roman" w:hAnsi="Times New Roman"/>
          <w:sz w:val="13"/>
          <w:szCs w:val="13"/>
          <w:color w:val="auto"/>
        </w:rPr>
        <w:t>•expenses incurred by the Investment Adviser in performing due diligence and reviews of investments, including expenses incurred by the Investment Adviser payable to third parties (including agents and consultants) in monitoring our financial and legal affairs for and in monitoring our investments;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•transfer agent and custodial fees;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•fees and expenses associated with marketing efforts;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•federal and state registration fees and any exchange listing fees;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•federal, state, local and foreign taxes;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•independent directors’ fees and expenses;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•brokerage commissions;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•fidelity bond, directors and officers, errors and omissions liability insurance and other insurance premiums;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•direct costs such as printing, mailing, long distance telephone and staff;</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0" w:right="660" w:bottom="1440" w:gutter="0" w:footer="0" w:header="0"/>
        </w:sectPr>
      </w:pPr>
    </w:p>
    <w:bookmarkStart w:id="44" w:name="page45"/>
    <w:bookmarkEnd w:id="44"/>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•fees and expenses associated with independent audits and outside legal costs;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•costs associated with our reporting and compliance obligations under the 1940 Act and applicable federal and state securities laws; and</w:t>
      </w:r>
    </w:p>
    <w:p>
      <w:pPr>
        <w:spacing w:after="0" w:line="163" w:lineRule="exact"/>
        <w:rPr>
          <w:sz w:val="20"/>
          <w:szCs w:val="20"/>
          <w:color w:val="auto"/>
        </w:rPr>
      </w:pPr>
    </w:p>
    <w:p>
      <w:pPr>
        <w:ind w:left="420" w:right="40"/>
        <w:spacing w:after="0" w:line="268" w:lineRule="auto"/>
        <w:rPr>
          <w:sz w:val="20"/>
          <w:szCs w:val="20"/>
          <w:color w:val="auto"/>
        </w:rPr>
      </w:pPr>
      <w:r>
        <w:rPr>
          <w:rFonts w:ascii="Times New Roman" w:cs="Times New Roman" w:eastAsia="Times New Roman" w:hAnsi="Times New Roman"/>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23" w:lineRule="exact"/>
        <w:rPr>
          <w:sz w:val="20"/>
          <w:szCs w:val="20"/>
          <w:color w:val="auto"/>
        </w:rPr>
      </w:pPr>
    </w:p>
    <w:p>
      <w:pPr>
        <w:ind w:right="140" w:firstLine="420"/>
        <w:spacing w:after="0" w:line="286" w:lineRule="auto"/>
        <w:rPr>
          <w:sz w:val="20"/>
          <w:szCs w:val="20"/>
          <w:color w:val="auto"/>
        </w:rPr>
      </w:pPr>
      <w:r>
        <w:rPr>
          <w:rFonts w:ascii="Times New Roman" w:cs="Times New Roman" w:eastAsia="Times New Roman" w:hAnsi="Times New Roman"/>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Restatement of Previously Issued Financial Statements</w:t>
      </w:r>
    </w:p>
    <w:p>
      <w:pPr>
        <w:spacing w:after="0" w:line="107" w:lineRule="exact"/>
        <w:rPr>
          <w:sz w:val="20"/>
          <w:szCs w:val="20"/>
          <w:color w:val="auto"/>
        </w:rPr>
      </w:pPr>
    </w:p>
    <w:p>
      <w:pPr>
        <w:ind w:right="20" w:firstLine="420"/>
        <w:spacing w:after="0" w:line="257" w:lineRule="auto"/>
        <w:rPr>
          <w:sz w:val="20"/>
          <w:szCs w:val="20"/>
          <w:color w:val="auto"/>
        </w:rPr>
      </w:pPr>
      <w:r>
        <w:rPr>
          <w:rFonts w:ascii="Times New Roman" w:cs="Times New Roman" w:eastAsia="Times New Roman" w:hAnsi="Times New Roman"/>
          <w:sz w:val="13"/>
          <w:szCs w:val="13"/>
          <w:color w:val="auto"/>
        </w:rPr>
        <w:t>As noted in the Annual Report on Form 10-K for the year ended September 30, 2023, during the preparation of the financial statements as of and for the year ended September 30, 2023, Management identified an error in the classification and presentation of cash pertaining to the Company’s affiliates – PSSL and PTSF in the September 30, 2022 financial statements. The Company recorded cash activity and due to affiliates pertaining to their investments as a reduction of the cash account instead of presenting the related cash and cash equivalents as an asset and a due to affiliates as a liability. This misclassification also existed at March 31, 2023, and the impact of the error correction is reflected on the consolidated statement of cash flows for the six months ended March 31, 2023 as an increase to cash and cash equivalents, beginning of period totaling $3.6 million, an increase to cash and cash equivalents, end of period totaling $0.5 million, and decrease in due to affiliates of $3.1 million.</w:t>
      </w:r>
    </w:p>
    <w:p>
      <w:pPr>
        <w:spacing w:after="0" w:line="7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There was no impact from the error correction to total net assets and net asset value per share as reported on the consolidated statement of assets and liabilities as of March 31, 2023. The corrections related to the prior year comparative cash flow statement amounts were reported in the quarter ended March 31, 2024.</w:t>
      </w:r>
    </w:p>
    <w:p>
      <w:pPr>
        <w:spacing w:after="0" w:line="52"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As a result of the error in the classification and presentation of cash described above, we conducted an analysis to determine whether incentive-based compensation was erroneously awarded, thereby necessitating recovery under the Clawback Policy we adopted effective December 1, 2023. Because we do not pay or otherwise award incentive -based compensation to the Company’s executives, we concluded that the error did not result in erroneously-awarded incentive-based compensation, and therefore no compensation recovery is required.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PORTFOLIO AND INVESTMENT ACTIVITY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Floating Rate Capital Ltd.</w:t>
      </w:r>
    </w:p>
    <w:p>
      <w:pPr>
        <w:spacing w:after="0" w:line="129"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As of March 31, 2024, our portfolio totaled $1,477.9 million, and consisted of $1,284.9 million of first lien secured debt (including $210.1 million in PSSL), $0.2 million of second lien secured debt and subordinated debt and $192.8 million of preferred and common equity (including $53.1 million in PSSL). Our debt portfolio consisted of approximately 100% variable-rate investments. As of March 31, 2024, we had one portfolio company on non-accrual, representing 0.4% and 0.3% of our overall portfolio on a cost and fair value basis, respectively. As of March 31, 2024, the portfolio had net unrealized depreciation of $11.8 million. Our overall portfolio consisted of 146 companies with an average investment size of $10.1 million and had a weighted average yield on debt investments of 12.3%, and was invested 87% in first lien secured debt (including 14% in PSSL), less than 1% in second lien secured debt and subordinate debt and 13% in preferred and common equity (including 6% in PSSL). As of March 31, 2024, approximately 100% of the investments held by PSSL were first lien secured debt.</w:t>
      </w:r>
    </w:p>
    <w:p>
      <w:pPr>
        <w:spacing w:after="0" w:line="96" w:lineRule="exact"/>
        <w:rPr>
          <w:sz w:val="20"/>
          <w:szCs w:val="20"/>
          <w:color w:val="auto"/>
        </w:rPr>
      </w:pPr>
    </w:p>
    <w:p>
      <w:pPr>
        <w:ind w:right="100" w:firstLine="420"/>
        <w:spacing w:after="0" w:line="257" w:lineRule="auto"/>
        <w:rPr>
          <w:sz w:val="20"/>
          <w:szCs w:val="20"/>
          <w:color w:val="auto"/>
        </w:rPr>
      </w:pPr>
      <w:r>
        <w:rPr>
          <w:rFonts w:ascii="Times New Roman" w:cs="Times New Roman" w:eastAsia="Times New Roman" w:hAnsi="Times New Roman"/>
          <w:sz w:val="13"/>
          <w:szCs w:val="13"/>
          <w:color w:val="auto"/>
        </w:rPr>
        <w:t>As of September 30, 2023, our portfolio totaled $1,067.2 million and consisted of $906.2 million of first lien secured debt (including $210.1 million in PSSL), $0.1 million of second lien secured debt and $160.9 million of preferred and common equity (including $50.9 million in PSSL). Our debt portfolio consisted of approximately 100% variable -rate investments. As of September 30, 2023, we had three portfolio companies on non-accrual, representing 0.9% and 0.2% of our overall portfolio on a cost and fair value basis, respectively. As of September 30, 2023, the portfolio had net unrealized depreciation of $ 25.7 million. Our overall portfolio consisted of 131 companies with an average investment size of $8.1 million, had a weighted average yield on debt investments of 12.6%, and was invested 85% in first lien secured debt (including 20% in PSSL), less than 1% in second lien secured debt and 15% in preferred and common equity (including 5% in PSSL). As of September 30, 2023, 99% of the investments held by PSSL were first lien secured debt.</w:t>
      </w:r>
    </w:p>
    <w:p>
      <w:pPr>
        <w:spacing w:after="0" w:line="132"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March 31, 2024, we invested $338.3 million in 11 new and 48 existing portfolio companies at a weighted average yield on debt investments of 11.6%. For the three months ended March 31, 2024, sales and repayments of investments totaled $144.9 million, including $77.2 million of sales to PSSL. For the six months ended March 31, 2024, we invested $640.9 million in 24 new and 64 existing portfolio companies at a weighted average yield on debt investments of 11.8%. For the six months ended March 31, 2024, sales and repayments of investments totaled $248.7 million, including $139.9 million of sales to PSSL.</w:t>
      </w:r>
    </w:p>
    <w:p>
      <w:pPr>
        <w:spacing w:after="0" w:line="127" w:lineRule="exact"/>
        <w:rPr>
          <w:sz w:val="20"/>
          <w:szCs w:val="20"/>
          <w:color w:val="auto"/>
        </w:rPr>
      </w:pPr>
    </w:p>
    <w:p>
      <w:pPr>
        <w:jc w:val="both"/>
        <w:ind w:right="280" w:firstLine="420"/>
        <w:spacing w:after="0" w:line="268" w:lineRule="auto"/>
        <w:rPr>
          <w:sz w:val="20"/>
          <w:szCs w:val="20"/>
          <w:color w:val="auto"/>
        </w:rPr>
      </w:pPr>
      <w:r>
        <w:rPr>
          <w:rFonts w:ascii="Times New Roman" w:cs="Times New Roman" w:eastAsia="Times New Roman" w:hAnsi="Times New Roman"/>
          <w:sz w:val="13"/>
          <w:szCs w:val="13"/>
          <w:color w:val="auto"/>
        </w:rPr>
        <w:t>For the three months ended March 31, 2023, we invested $85.4 million in five new and 38 existing portfolio companies at a weighted average yield on debt investments of 12.2%. For the three months ended March 31, 2023, sales and repayments of investments totaled $62.6 million. For the six months ended March 31, 2023, we invested $151.0 million in nine new and 67 existing portfolio companies at a weighted average yield on debt investments of 11.8%. For the six months ended March 31, 2023, sales and repayments of investments totaled $125.6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65" w:lineRule="exact"/>
        <w:rPr>
          <w:sz w:val="20"/>
          <w:szCs w:val="20"/>
          <w:color w:val="auto"/>
        </w:rPr>
      </w:pPr>
    </w:p>
    <w:p>
      <w:pPr>
        <w:ind w:right="60" w:firstLine="420"/>
        <w:spacing w:after="0" w:line="268" w:lineRule="auto"/>
        <w:rPr>
          <w:sz w:val="20"/>
          <w:szCs w:val="20"/>
          <w:color w:val="auto"/>
        </w:rPr>
      </w:pPr>
      <w:r>
        <w:rPr>
          <w:rFonts w:ascii="Times New Roman" w:cs="Times New Roman" w:eastAsia="Times New Roman" w:hAnsi="Times New Roman"/>
          <w:sz w:val="13"/>
          <w:szCs w:val="13"/>
          <w:color w:val="auto"/>
        </w:rPr>
        <w:t>As of March 31, 2024, PSSL’s portfolio totaled $869.7 million and consisted of 106 companies with an average investment size of $8.2 million and at a weighted average yield on debt investments of 12.0%. As of September 30, 2023, PSSL’s portfolio totaled $785.9 million, consisted of 105 companies with an average investment size of $7.5 million and at a weighted average yield on debt investments of 12.1%.</w:t>
      </w:r>
    </w:p>
    <w:p>
      <w:pPr>
        <w:spacing w:after="0" w:line="123"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March 31, 2024, PSSL invested $80.1 million (including $77.2 million purchased from the Company) in six new and four existing portfolio companies at a weighted average yield on debt investments of 11.6%. Sales and repayments of investments for the three months ended March 31, 2024 totaled $ 49.5 million. For the six months ended March 31, 2024, PSSL invested $155.9 million (including $139.9 million purchased from the Company) in 10 new and 11 existing portfolio companies at a weighted average yield on debt investments of 11.9%. Sales and repayments of investments for the six months ended March 31, 2024 totaled $77.2 million.</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 w:name="page46"/>
    <w:bookmarkEnd w:id="45"/>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For the three months ended March 31, 2023, PSSL invested $31.0 million (including $27.1 million purchased from the Company) in four new and two existing portfolio companies at a weighted average yield on debt investments of 11.5%. For the three months ended March 31, 2023, sales and repayments of investments totaled $9.2 million. For the six months ended March 31, 2023, PSSL invested $60.6 million (including $45.9 million purchased from the Company) in 11 new and nine existing portfolio companies at a weighted average yield on debt investments of 11.3%. For the six months ended March 31, 2023, sales and repayments of investments totaled $38.0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At-the-Market Offering</w:t>
      </w:r>
    </w:p>
    <w:p>
      <w:pPr>
        <w:spacing w:after="0" w:line="165"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3"/>
          <w:szCs w:val="13"/>
          <w:color w:val="auto"/>
        </w:rPr>
        <w:t>On March 27, 2023 we entered into equity distribution agreements with Citizens JMP Securities, LLC, Raymond James &amp; Associates, Inc. and Truist Securities, Inc. (together, the "Equity Distribution Agreements"), as sales agents (each a "Sales Agent" and together, the "Sales Agents") in connection with the sale of shares of our common stock, which we amended on August 11, 2023 with an aggregate offering of up to $250 million under an at-the-market offering ("ATM Program"). On August 11, 2023, we amended and restated the Equity Distribution Agreements with each of the Sales Agents (together the "Amended and Restated Equity Distribution Agreements") to increase the aggregate offering price to up to $250 million. The Amended and Restated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290"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During the three and six months ended March 31, 2024, we issued 4,493,436 shares of common stock through the ATM Program at an average price of $ 11.35 per share, raising $51.0 million of net proceeds after commissions to the sales agents and inclusive of proceeds from the Investment Adviser to ensure that all shares were sold at or above NAV. In connection with the share issuance, we expensed $0.6 million of deferred offering costs incurred related to establishing the ATM Program to additional paid in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165"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2023 Annual Report on Form 10-K. There have been no significant changes in our critical accounting estimates during the three months from those disclosed in our 2023 Annual Report on 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Valuations</w:t>
      </w:r>
    </w:p>
    <w:p>
      <w:pPr>
        <w:spacing w:after="0" w:line="167" w:lineRule="exact"/>
        <w:rPr>
          <w:sz w:val="20"/>
          <w:szCs w:val="20"/>
          <w:color w:val="auto"/>
        </w:rPr>
      </w:pPr>
    </w:p>
    <w:p>
      <w:pPr>
        <w:ind w:right="20" w:firstLine="420"/>
        <w:spacing w:after="0" w:line="256" w:lineRule="auto"/>
        <w:rPr>
          <w:sz w:val="20"/>
          <w:szCs w:val="20"/>
          <w:color w:val="auto"/>
        </w:rPr>
      </w:pPr>
      <w:r>
        <w:rPr>
          <w:rFonts w:ascii="Times New Roman" w:cs="Times New Roman" w:eastAsia="Times New Roman" w:hAnsi="Times New Roman"/>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32" w:lineRule="exact"/>
        <w:rPr>
          <w:sz w:val="20"/>
          <w:szCs w:val="20"/>
          <w:color w:val="auto"/>
        </w:rPr>
      </w:pPr>
    </w:p>
    <w:p>
      <w:pPr>
        <w:ind w:right="220" w:firstLine="420"/>
        <w:spacing w:after="0" w:line="286" w:lineRule="auto"/>
        <w:rPr>
          <w:sz w:val="20"/>
          <w:szCs w:val="20"/>
          <w:color w:val="auto"/>
        </w:rPr>
      </w:pPr>
      <w:r>
        <w:rPr>
          <w:rFonts w:ascii="Times New Roman" w:cs="Times New Roman" w:eastAsia="Times New Roman" w:hAnsi="Times New Roman"/>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2"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(2)Preliminary valuation conclusions are then documented and discussed with the management of our Investment Adviser;</w:t>
      </w:r>
    </w:p>
    <w:p>
      <w:pPr>
        <w:spacing w:after="0" w:line="163"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23"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3"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2" w:lineRule="exact"/>
        <w:rPr>
          <w:sz w:val="20"/>
          <w:szCs w:val="20"/>
          <w:color w:val="auto"/>
        </w:rPr>
      </w:pPr>
    </w:p>
    <w:p>
      <w:pPr>
        <w:ind w:right="300" w:firstLine="420"/>
        <w:spacing w:after="0" w:line="262" w:lineRule="auto"/>
        <w:rPr>
          <w:sz w:val="20"/>
          <w:szCs w:val="20"/>
          <w:color w:val="auto"/>
        </w:rPr>
      </w:pPr>
      <w:r>
        <w:rPr>
          <w:rFonts w:ascii="Times New Roman" w:cs="Times New Roman" w:eastAsia="Times New Roman" w:hAnsi="Times New Roman"/>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0" w:right="680" w:bottom="1440" w:gutter="0" w:footer="0" w:header="0"/>
        </w:sectPr>
      </w:pPr>
    </w:p>
    <w:bookmarkStart w:id="46" w:name="page47"/>
    <w:bookmarkEnd w:id="46"/>
    <w:p>
      <w:pPr>
        <w:ind w:firstLine="420"/>
        <w:spacing w:after="0" w:line="259" w:lineRule="auto"/>
        <w:rPr>
          <w:sz w:val="20"/>
          <w:szCs w:val="20"/>
          <w:color w:val="auto"/>
        </w:rPr>
      </w:pPr>
      <w:r>
        <w:rPr>
          <w:rFonts w:ascii="Times New Roman" w:cs="Times New Roman" w:eastAsia="Times New Roman" w:hAnsi="Times New Roman"/>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ASC 820 classifies the inputs used to measure these fair values into the following hierarchies: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740" w:right="340" w:hanging="347"/>
        <w:spacing w:after="0" w:line="286" w:lineRule="auto"/>
        <w:rPr>
          <w:sz w:val="20"/>
          <w:szCs w:val="20"/>
          <w:color w:val="auto"/>
        </w:rPr>
      </w:pPr>
      <w:r>
        <w:rPr>
          <w:rFonts w:ascii="Times New Roman" w:cs="Times New Roman" w:eastAsia="Times New Roman" w:hAnsi="Times New Roman"/>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A financial instrument’s categorization within the valuation hierarchy is based upon the lowest level of input that is significant to the fair value measurement. Generally, most of our investments, our 2031 Asset-Backed Debt, 2036 Asset-Backed Debt, 2023 Notes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27" w:lineRule="exact"/>
        <w:rPr>
          <w:sz w:val="20"/>
          <w:szCs w:val="20"/>
          <w:color w:val="auto"/>
        </w:rPr>
      </w:pPr>
    </w:p>
    <w:p>
      <w:pPr>
        <w:ind w:right="40" w:firstLine="420"/>
        <w:spacing w:after="0" w:line="257" w:lineRule="auto"/>
        <w:rPr>
          <w:sz w:val="20"/>
          <w:szCs w:val="20"/>
          <w:color w:val="auto"/>
        </w:rPr>
      </w:pPr>
      <w:r>
        <w:rPr>
          <w:rFonts w:ascii="Times New Roman" w:cs="Times New Roman" w:eastAsia="Times New Roman" w:hAnsi="Times New Roman"/>
          <w:sz w:val="13"/>
          <w:szCs w:val="13"/>
          <w:color w:val="auto"/>
        </w:rPr>
        <w:t>On December 3, 2020, the SEC adopted Rule 2a -5 under the 1940 Act, which establishes an updated regulatory framework for determining fair value in good faith for purposes of the 1940 Act. The new rule clarifies how fund boards of directors can satisfy their valuation obligations and requires, among other things, the boards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32" w:lineRule="exact"/>
        <w:rPr>
          <w:sz w:val="20"/>
          <w:szCs w:val="20"/>
          <w:color w:val="auto"/>
        </w:rPr>
      </w:pPr>
    </w:p>
    <w:p>
      <w:pPr>
        <w:ind w:right="320" w:firstLine="420"/>
        <w:spacing w:after="0" w:line="268" w:lineRule="auto"/>
        <w:rPr>
          <w:sz w:val="20"/>
          <w:szCs w:val="20"/>
          <w:color w:val="auto"/>
        </w:rPr>
      </w:pPr>
      <w:r>
        <w:rPr>
          <w:rFonts w:ascii="Times New Roman" w:cs="Times New Roman" w:eastAsia="Times New Roman" w:hAnsi="Times New Roman"/>
          <w:sz w:val="13"/>
          <w:szCs w:val="13"/>
          <w:color w:val="auto"/>
        </w:rPr>
        <w:t>In addition to using the above inputs to value cash equivalents, investments, our 2023 Notes, our 2026 Notes, our 2031 Asset-Backed Debt, our 2036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23"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Generally, the carrying value of our consolidated financial liabilities approximates fair value. We have adopted the principles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and debt issuance costs on the 2023 Notes during the three and six months ended March 31, 2024 and 2023, respectively.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2031 Asset-Backed Debt, and the 2036 Asset-Backed Debt.</w:t>
      </w:r>
    </w:p>
    <w:p>
      <w:pPr>
        <w:spacing w:after="0" w:line="137" w:lineRule="exact"/>
        <w:rPr>
          <w:sz w:val="20"/>
          <w:szCs w:val="20"/>
          <w:color w:val="auto"/>
        </w:rPr>
      </w:pPr>
    </w:p>
    <w:p>
      <w:pPr>
        <w:ind w:right="80" w:firstLine="420"/>
        <w:spacing w:after="0" w:line="259" w:lineRule="auto"/>
        <w:rPr>
          <w:sz w:val="20"/>
          <w:szCs w:val="20"/>
          <w:color w:val="auto"/>
        </w:rPr>
      </w:pPr>
      <w:r>
        <w:rPr>
          <w:rFonts w:ascii="Times New Roman" w:cs="Times New Roman" w:eastAsia="Times New Roman" w:hAnsi="Times New Roman"/>
          <w:sz w:val="13"/>
          <w:szCs w:val="13"/>
          <w:color w:val="auto"/>
        </w:rPr>
        <w:t>For the three and six months ended March 31, 2024, the Credit Facility and the 2023 Notes had a net change in unrealized appreciation (depreciation) of less than $ (0.1) million and $0.1 million, respectively. For the three and six months ended March 31, 2023, the Credit Facility and the 2023 Notes had a net change in unrealized (depreciation) appreciation of $(1.2) million and $0.9 million, respectively. As of March 31, 2024 and September 30, 2023, the net unrealized appreciation (depreciation) on the Credit Facility as applicable, and the 2023 Notes totaled zero and zero, respectively. We use a nationally recognized independent valuation service to measure the fair value of the Credit Facility in a manner consistent with the valuation process that our board of directors uses to value our investments. Our 2023 Notes traded on the TASE and were fully paid off during the quarter.</w:t>
      </w:r>
    </w:p>
    <w:p>
      <w:pPr>
        <w:spacing w:after="0" w:line="130" w:lineRule="exact"/>
        <w:rPr>
          <w:sz w:val="20"/>
          <w:szCs w:val="20"/>
          <w:color w:val="auto"/>
        </w:rPr>
      </w:pPr>
    </w:p>
    <w:p>
      <w:pPr>
        <w:jc w:val="both"/>
        <w:ind w:right="380" w:firstLine="420"/>
        <w:spacing w:after="0" w:line="286" w:lineRule="auto"/>
        <w:rPr>
          <w:sz w:val="20"/>
          <w:szCs w:val="20"/>
          <w:color w:val="auto"/>
        </w:rPr>
      </w:pPr>
      <w:r>
        <w:rPr>
          <w:rFonts w:ascii="Times New Roman" w:cs="Times New Roman" w:eastAsia="Times New Roman" w:hAnsi="Times New Roman"/>
          <w:sz w:val="13"/>
          <w:szCs w:val="13"/>
          <w:color w:val="auto"/>
        </w:rPr>
        <w:t>On February 7, 2024, the Company filed a notice with the Israel Securities Authority and the Tel Aviv Stock Exchange Ltd (the “TASE”) voluntarily requesting to delist the Company’s common stock from trading on the TASE. The last day of trading on the TASE was May 6, 2024 and the delisting of the Company’s common stock from the TASE took effect on May 8,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167" w:lineRule="exact"/>
        <w:rPr>
          <w:sz w:val="20"/>
          <w:szCs w:val="20"/>
          <w:color w:val="auto"/>
        </w:rPr>
      </w:pPr>
    </w:p>
    <w:p>
      <w:pPr>
        <w:ind w:right="60" w:firstLine="420"/>
        <w:spacing w:after="0" w:line="256" w:lineRule="auto"/>
        <w:rPr>
          <w:sz w:val="20"/>
          <w:szCs w:val="20"/>
          <w:color w:val="auto"/>
        </w:rPr>
      </w:pPr>
      <w:r>
        <w:rPr>
          <w:rFonts w:ascii="Times New Roman" w:cs="Times New Roman" w:eastAsia="Times New Roman" w:hAnsi="Times New Roman"/>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may or may not be non-recurring in nature. Such fees include loan prepayment penalties, structuring fees, amendment fees and agency fees, and are recorded as other investment income when earned.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 and Net Change in Unrealized Appreciation or Depreciation</w:t>
      </w:r>
    </w:p>
    <w:p>
      <w:pPr>
        <w:spacing w:after="0" w:line="16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0" w:right="68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Payment -in-kind, or PIK Interest</w:t>
      </w:r>
    </w:p>
    <w:p>
      <w:pPr>
        <w:spacing w:after="0" w:line="167" w:lineRule="exact"/>
        <w:rPr>
          <w:sz w:val="20"/>
          <w:szCs w:val="20"/>
          <w:color w:val="auto"/>
        </w:rPr>
      </w:pPr>
    </w:p>
    <w:p>
      <w:pPr>
        <w:ind w:right="200" w:firstLine="420"/>
        <w:spacing w:after="0" w:line="268" w:lineRule="auto"/>
        <w:rPr>
          <w:sz w:val="20"/>
          <w:szCs w:val="20"/>
          <w:color w:val="auto"/>
        </w:rPr>
      </w:pPr>
      <w:r>
        <w:rPr>
          <w:rFonts w:ascii="Times New Roman" w:cs="Times New Roman" w:eastAsia="Times New Roman" w:hAnsi="Times New Roman"/>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Federal Income Taxes</w:t>
      </w:r>
    </w:p>
    <w:p>
      <w:pPr>
        <w:spacing w:after="0" w:line="167"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27" w:lineRule="exact"/>
        <w:rPr>
          <w:sz w:val="20"/>
          <w:szCs w:val="20"/>
          <w:color w:val="auto"/>
        </w:rPr>
      </w:pPr>
    </w:p>
    <w:p>
      <w:pPr>
        <w:ind w:right="40" w:firstLine="420"/>
        <w:spacing w:after="0" w:line="256" w:lineRule="auto"/>
        <w:rPr>
          <w:sz w:val="20"/>
          <w:szCs w:val="20"/>
          <w:color w:val="auto"/>
        </w:rPr>
      </w:pPr>
      <w:r>
        <w:rPr>
          <w:rFonts w:ascii="Times New Roman" w:cs="Times New Roman" w:eastAsia="Times New Roman" w:hAnsi="Times New Roman"/>
          <w:sz w:val="13"/>
          <w:szCs w:val="13"/>
          <w:color w:val="auto"/>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Times New Roman" w:cs="Times New Roman" w:eastAsia="Times New Roman" w:hAnsi="Times New Roman"/>
          <w:sz w:val="13"/>
          <w:szCs w:val="13"/>
          <w:u w:val="single" w:color="auto"/>
          <w:color w:val="auto"/>
        </w:rPr>
        <w:t>s</w:t>
      </w:r>
      <w:r>
        <w:rPr>
          <w:rFonts w:ascii="Times New Roman" w:cs="Times New Roman" w:eastAsia="Times New Roman" w:hAnsi="Times New Roman"/>
          <w:sz w:val="13"/>
          <w:szCs w:val="13"/>
          <w:color w:val="auto"/>
        </w:rPr>
        <w:t>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2" w:lineRule="exact"/>
        <w:rPr>
          <w:sz w:val="20"/>
          <w:szCs w:val="20"/>
          <w:color w:val="auto"/>
        </w:rPr>
      </w:pPr>
    </w:p>
    <w:p>
      <w:pPr>
        <w:ind w:right="360" w:firstLine="420"/>
        <w:spacing w:after="0" w:line="268" w:lineRule="auto"/>
        <w:rPr>
          <w:sz w:val="20"/>
          <w:szCs w:val="20"/>
          <w:color w:val="auto"/>
        </w:rPr>
      </w:pPr>
      <w:r>
        <w:rPr>
          <w:rFonts w:ascii="Times New Roman" w:cs="Times New Roman" w:eastAsia="Times New Roman" w:hAnsi="Times New Roman"/>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For the three and six months ended March 31, 2024, we recorded a provision for taxes on net investment income of $0.5 million and $0.7 million, respectively, pertaining to federal excise tax.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three and six months ended March 31, 2023, we recorded a provision for taxes on net investment income of $0.2 million and $0.7 million, respectively, pertaining to federal excise tax.</w:t>
      </w:r>
    </w:p>
    <w:p>
      <w:pPr>
        <w:spacing w:after="0" w:line="149"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On February 4, 2022, we formed PFLT Investment Holdings II, LLC, a Delaware limited liability company (“Holdings II”), as a wholly owned subsidiary. On December 31, 2022, we contributed 100% of our interests in PFLT Investment Holdings, LLC (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130" w:lineRule="exact"/>
        <w:rPr>
          <w:sz w:val="20"/>
          <w:szCs w:val="20"/>
          <w:color w:val="auto"/>
        </w:rPr>
      </w:pPr>
    </w:p>
    <w:p>
      <w:pPr>
        <w:ind w:right="60" w:firstLine="420"/>
        <w:spacing w:after="0" w:line="254" w:lineRule="auto"/>
        <w:rPr>
          <w:sz w:val="20"/>
          <w:szCs w:val="20"/>
          <w:color w:val="auto"/>
        </w:rPr>
      </w:pPr>
      <w:r>
        <w:rPr>
          <w:rFonts w:ascii="Times New Roman" w:cs="Times New Roman" w:eastAsia="Times New Roman" w:hAnsi="Times New Roman"/>
          <w:sz w:val="13"/>
          <w:szCs w:val="13"/>
          <w:color w:val="auto"/>
        </w:rPr>
        <w:t>For the three and six months ended March 31, 2024, the Company recognized a provision for taxes of $0.2 million and $0.2 million on unrealized appreciation (depreciation) on investments by the Taxable Subsidiary. For the three and six months ended March 31, 2023, the Company recognized a provision reduction for taxes of $3.7 million and $2.9 million, respectively, on unrealized appreciation (depreciation) on investments by the Taxable Subsidiary. The provision for taxes on unrealized appreciation (depreciation) on investments is the result of netting (i) the expected tax liability on gains from sales of investments and (ii) the expected tax benefit from the use of losses in the current year. As of March 31, 2024 and September 30, 2023, $1.6 million and $1.8 million, respectively, was accrued as a deferred tax liability on the Consolidated Statements of Assets and Liabilities relating to unrealized gain on investments held by the Taxable Subsidiary. As of March 31, 2024 and September 30, 2023, zero and $0.3 million, respectively, was accrued as a provision for taxes on the Consolidated Statements of Operations relating to realized gain on investments held by the Taxable Subsidiary. During the three and six months ended March 31, 2024, the Company paid zero and zero, respectively, in taxes on realized gains on the sale of investments held by the Taxable Subsidiary. During the three and six months ended March 31, 2024 and March 31, 2023, the Company did not make any tax payments related to realized gains on the sale of investments held by the Taxable Subsidiary.</w:t>
      </w:r>
    </w:p>
    <w:p>
      <w:pPr>
        <w:spacing w:after="0" w:line="137"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23" w:lineRule="exact"/>
        <w:rPr>
          <w:sz w:val="20"/>
          <w:szCs w:val="20"/>
          <w:color w:val="auto"/>
        </w:rPr>
      </w:pPr>
    </w:p>
    <w:p>
      <w:pPr>
        <w:ind w:right="260" w:firstLine="420"/>
        <w:spacing w:after="0" w:line="286" w:lineRule="auto"/>
        <w:rPr>
          <w:sz w:val="20"/>
          <w:szCs w:val="20"/>
          <w:color w:val="auto"/>
        </w:rPr>
      </w:pPr>
      <w:r>
        <w:rPr>
          <w:rFonts w:ascii="Times New Roman" w:cs="Times New Roman" w:eastAsia="Times New Roman" w:hAnsi="Times New Roman"/>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6" w:right="68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Set forth below are the results of operations for the three and six months ended March 31,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Income</w:t>
      </w:r>
    </w:p>
    <w:p>
      <w:pPr>
        <w:spacing w:after="0" w:line="167"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six months ended March 31, 2024, investment income was $44.4 million and $82.3 million, respectively, which was attributable to $39.0 million and $72.2 million from first lien secured debt and $5.4 million and $10.1 million from other investments, respectively. For the three and six months ended March 31, 2023, investment income was $34.6 million and $65.9 million, respectively, which was attributable to $ 30.6 million and $58.2 million from first lien secured debt and $4.0 million and $7.7 million from other investments. The increase in investment income compared to the same period in the prior year was primarily due to the increase in the size and cost yield of our debt portfolio.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Expenses</w:t>
      </w:r>
    </w:p>
    <w:p>
      <w:pPr>
        <w:spacing w:after="0" w:line="167" w:lineRule="exact"/>
        <w:rPr>
          <w:sz w:val="20"/>
          <w:szCs w:val="20"/>
          <w:color w:val="auto"/>
        </w:rPr>
      </w:pPr>
    </w:p>
    <w:p>
      <w:pPr>
        <w:ind w:firstLine="420"/>
        <w:spacing w:after="0" w:line="257" w:lineRule="auto"/>
        <w:rPr>
          <w:sz w:val="20"/>
          <w:szCs w:val="20"/>
          <w:color w:val="auto"/>
        </w:rPr>
      </w:pPr>
      <w:r>
        <w:rPr>
          <w:rFonts w:ascii="Times New Roman" w:cs="Times New Roman" w:eastAsia="Times New Roman" w:hAnsi="Times New Roman"/>
          <w:sz w:val="13"/>
          <w:szCs w:val="13"/>
          <w:color w:val="auto"/>
        </w:rPr>
        <w:t>For the three and six months ended March 31, 2024, expenses totaled $25.3 million and $43.8 million, respectively and were comprised of: $14.7 million and $23.6 million of debt related interest and expenses, $3.4 million and $6.4 million of base management fees, $4.8 million and $9.6 million of performance-based incentive fees, $1.8 million and $3.5 million of general and administrative expenses and $0.5 million and $0.7 million of taxes. For the three and six months ended March 31, 2023, expenses totaled $17.8 million and $35.4 million, respectively and were comprised of; $9.8 million and $19.6 million of debt related interest and expenses, $2.9 million and $5.8 million of base management fee, $4.2 million and $7.6 million of performance-based incentive fee, $0.8 million and $1.7 million of general and administrative expenses and $0.2 million and $0.7 million of taxes. The increase in expenses compared to the same period in the prior year was primarily due to the increase in interest expense from increased borrowings and performance-based incentive fees as a result of higher pre-incentive fee net investment income.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Investment Income</w:t>
      </w:r>
    </w:p>
    <w:p>
      <w:pPr>
        <w:spacing w:after="0" w:line="167" w:lineRule="exact"/>
        <w:rPr>
          <w:sz w:val="20"/>
          <w:szCs w:val="20"/>
          <w:color w:val="auto"/>
        </w:rPr>
      </w:pPr>
    </w:p>
    <w:p>
      <w:pPr>
        <w:ind w:right="18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six months ended March 31, 2024, net investment income totaled $19.1 million or $0.31 per share, and $38.5 million or $0.64 per share, respectively. For the three and six months ended March 31, 2023, net investment income totaled $16.7 million or $ 0.35 per share, and $30.5 million or $0.65 per share, respectively. The increase in net investment income was primarily due to an increase in investment income partially offset by an increase in expenses compared to the same period in the prior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Realized Gains or Losses</w:t>
      </w:r>
    </w:p>
    <w:p>
      <w:pPr>
        <w:spacing w:after="0" w:line="167" w:lineRule="exact"/>
        <w:rPr>
          <w:sz w:val="20"/>
          <w:szCs w:val="20"/>
          <w:color w:val="auto"/>
        </w:rPr>
      </w:pPr>
    </w:p>
    <w:p>
      <w:pPr>
        <w:ind w:right="280" w:firstLine="420"/>
        <w:spacing w:after="0" w:line="268" w:lineRule="auto"/>
        <w:rPr>
          <w:sz w:val="20"/>
          <w:szCs w:val="20"/>
          <w:color w:val="auto"/>
        </w:rPr>
      </w:pPr>
      <w:r>
        <w:rPr>
          <w:rFonts w:ascii="Times New Roman" w:cs="Times New Roman" w:eastAsia="Times New Roman" w:hAnsi="Times New Roman"/>
          <w:sz w:val="13"/>
          <w:szCs w:val="13"/>
          <w:color w:val="auto"/>
        </w:rPr>
        <w:t>For the three and six months ended March 31, 2024, net realized gains totaled $4.0 million and $0.9 million, respectively. For the three and six months ended March 31, 2023, net realized (losses) totaled $(7.5) million and $(7.5) million, respectively. The change in net realized gains (losses) compared to the same period in the prior year was primarily due to changes in the market conditions of our investments and the values at which they were realized.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Unrealized Appreciation or Depreciation on Investments and Debt</w:t>
      </w:r>
    </w:p>
    <w:p>
      <w:pPr>
        <w:spacing w:after="0" w:line="323" w:lineRule="exact"/>
        <w:rPr>
          <w:sz w:val="20"/>
          <w:szCs w:val="20"/>
          <w:color w:val="auto"/>
        </w:rPr>
      </w:pPr>
    </w:p>
    <w:p>
      <w:pPr>
        <w:ind w:right="40" w:firstLine="336"/>
        <w:spacing w:after="0" w:line="259" w:lineRule="auto"/>
        <w:rPr>
          <w:sz w:val="20"/>
          <w:szCs w:val="20"/>
          <w:color w:val="auto"/>
        </w:rPr>
      </w:pPr>
      <w:r>
        <w:rPr>
          <w:rFonts w:ascii="Times New Roman" w:cs="Times New Roman" w:eastAsia="Times New Roman" w:hAnsi="Times New Roman"/>
          <w:sz w:val="13"/>
          <w:szCs w:val="13"/>
          <w:color w:val="auto"/>
        </w:rPr>
        <w:t>For the three and six months ended March 31, 2024, we reported net change in unrealized appreciation (depreciation) on investments of $7.7 million and $13.9 million, respectively. For the three and six months ended March 31, 2023, we reported net change in unrealized appreciation (depreciation) on investments of $(4.2) million and $ (20.9) million, respectively. As of March 31, 2024 and September 30, 2023, our net unrealized appreciation (depreciation) on investments totaled $(11.8) million and $(25.7) million, respectively. The net change in unrealized appreciation (depreciation) on our investments compared to the same period in the prior year was primarily due to the operating performance of the portfolio companies within our portfolio and changes in the capital market conditions of our investments.</w:t>
      </w:r>
    </w:p>
    <w:p>
      <w:pPr>
        <w:spacing w:after="0" w:line="130"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For the three and six months ended March 31, 2024, our Credit Facility had a net change in unrealized appreciation (depreciation) of less than $(0.1) million and less than $0.1 million, respectively. For the three and six months ended March 31, 2023, our Credit Facility and the 2023 Notes had a net change in unrealized appreciation (depreciation) of $1.2 million and $(0.9) million, respectively. As of March 31, 2024 and September 30, 2023, the net unrealized appreciation (depreciation) on the Credit Facility and the 2023 Notes totaled less than $0.1 million and zero, respectively. The net change in net unrealized appreciation or (depreciation) compared to the same period in the prior year was primarily due to changes in the capital markets.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Net Change in Net Assets Resulting from Operations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the three and six months ended March 31, 2024, net increase (decrease) in net assets resulting from operations totaled $31.1 million or $0.51 per share and $53.6 million, or $0.89 per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 respectively. For the three and six months ended March 31, 2023, net increase (decrease) in net assets resulting from operations totaled $7.2 million or $0.15 per share and $5.6 million,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$0.12 per share, respectively. The net increase or (decrease) from operations compared to the same period in the prior year was primarily due to operating performance of our portfolio and changes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 market conditions of our investments along with change in size and cost yield of our debt portfolio and costs of financing.</w:t>
      </w:r>
    </w:p>
    <w:p>
      <w:pPr>
        <w:spacing w:after="0" w:line="3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65"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 As of March 31, 2024, in accordance with the 1940 Act, with certain limited exceptions, we are only allowed to borrow amounts such that we are in compliance with a 150% asset coverage ratio requirement after such borrowing.</w:t>
      </w:r>
    </w:p>
    <w:p>
      <w:pPr>
        <w:spacing w:after="0" w:line="130" w:lineRule="exact"/>
        <w:rPr>
          <w:sz w:val="20"/>
          <w:szCs w:val="20"/>
          <w:color w:val="auto"/>
        </w:rPr>
      </w:pPr>
    </w:p>
    <w:p>
      <w:pPr>
        <w:ind w:right="180" w:firstLine="420"/>
        <w:spacing w:after="0" w:line="262" w:lineRule="auto"/>
        <w:rPr>
          <w:sz w:val="20"/>
          <w:szCs w:val="20"/>
          <w:color w:val="auto"/>
        </w:rPr>
      </w:pPr>
      <w:r>
        <w:rPr>
          <w:rFonts w:ascii="Times New Roman" w:cs="Times New Roman" w:eastAsia="Times New Roman" w:hAnsi="Times New Roman"/>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2024 and September 30, 2023, our asset coverage ratio, as computed in accordance with the 1940 Act, was 183% and 230%, respectively.</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8" w:right="680" w:bottom="1440" w:gutter="0" w:footer="0" w:header="0"/>
        </w:sectPr>
      </w:pPr>
    </w:p>
    <w:bookmarkStart w:id="49" w:name="page50"/>
    <w:bookmarkEnd w:id="49"/>
    <w:p>
      <w:pPr>
        <w:ind w:firstLine="420"/>
        <w:spacing w:after="0" w:line="268" w:lineRule="auto"/>
        <w:rPr>
          <w:sz w:val="20"/>
          <w:szCs w:val="20"/>
          <w:color w:val="auto"/>
        </w:rPr>
      </w:pPr>
      <w:r>
        <w:rPr>
          <w:rFonts w:ascii="Times New Roman" w:cs="Times New Roman" w:eastAsia="Times New Roman" w:hAnsi="Times New Roman"/>
          <w:sz w:val="13"/>
          <w:szCs w:val="13"/>
          <w:color w:val="auto"/>
        </w:rPr>
        <w:t>For the six months ended March 31, 2024 and 2023, the annualized weighted average cost of debt, inclusive of the fee on the undrawn commitment on the Credit Facility, amendment costs and debt issuance costs, was 7.1% and 5.8%, respectively. As of March 31, 2024 and September 30, 2023, we had $217.1 million and $376.6 million of unused borrowing capacity under the Credit Facility, respectively, subject to leverage and borrowing base restrictions.</w:t>
      </w:r>
    </w:p>
    <w:p>
      <w:pPr>
        <w:spacing w:after="0" w:line="123" w:lineRule="exact"/>
        <w:rPr>
          <w:sz w:val="20"/>
          <w:szCs w:val="20"/>
          <w:color w:val="auto"/>
        </w:rPr>
      </w:pPr>
    </w:p>
    <w:p>
      <w:pPr>
        <w:ind w:right="40" w:firstLine="420"/>
        <w:spacing w:after="0" w:line="262" w:lineRule="auto"/>
        <w:rPr>
          <w:sz w:val="20"/>
          <w:szCs w:val="20"/>
          <w:color w:val="auto"/>
        </w:rPr>
      </w:pPr>
      <w:r>
        <w:rPr>
          <w:rFonts w:ascii="Times New Roman" w:cs="Times New Roman" w:eastAsia="Times New Roman" w:hAnsi="Times New Roman"/>
          <w:sz w:val="13"/>
          <w:szCs w:val="13"/>
          <w:color w:val="auto"/>
        </w:rPr>
        <w:t>Funding I’s multi-currency Credit Facility with the Lenders was $386.0 million as of March 31, 2024 subject to satisfaction of certain conditions and regulatory restrictions that the 1940 Act imposes on us as a BDC, has an interest rate spread above SOFR (or an alternative risk-free floating interest rate index) of 236 basis points, a maturity date of August 2026 and a revolving period that ends in August 2024. As of March 31, 2024 and September 30, 2023, PennantPark Floating Rate Funding I, LLC, our wholly-owned subsidiary, borrowed $168.9 million and $9.4 million under the Credit Facility, respectively, and the weighted average interest rate, exclusive of the fee on undrawn commitments, was of 7.7% and 7.7%, respectively, exclusive of the fee on undrawn commitments.</w:t>
      </w:r>
    </w:p>
    <w:p>
      <w:pPr>
        <w:spacing w:after="0" w:line="127"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During the revolving period, the Credit Facility bears interest at SOFR (or an alternative risk- free floating interest rate index) plus 236 basis points and, after the revolving period, the rate will reset to Base Rate (or an alternative risk- 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7"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2024, we were in compliance with the covenants relating to our Credit Facility.</w:t>
      </w:r>
    </w:p>
    <w:p>
      <w:pPr>
        <w:spacing w:after="0" w:line="127" w:lineRule="exact"/>
        <w:rPr>
          <w:sz w:val="20"/>
          <w:szCs w:val="20"/>
          <w:color w:val="auto"/>
        </w:rPr>
      </w:pPr>
    </w:p>
    <w:p>
      <w:pPr>
        <w:ind w:right="200" w:firstLine="420"/>
        <w:spacing w:after="0" w:line="286" w:lineRule="auto"/>
        <w:rPr>
          <w:sz w:val="20"/>
          <w:szCs w:val="20"/>
          <w:color w:val="auto"/>
        </w:rPr>
      </w:pPr>
      <w:r>
        <w:rPr>
          <w:rFonts w:ascii="Times New Roman" w:cs="Times New Roman" w:eastAsia="Times New Roman" w:hAnsi="Times New Roman"/>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112" w:lineRule="exact"/>
        <w:rPr>
          <w:sz w:val="20"/>
          <w:szCs w:val="20"/>
          <w:color w:val="auto"/>
        </w:rPr>
      </w:pPr>
    </w:p>
    <w:p>
      <w:pPr>
        <w:ind w:right="20" w:firstLine="420"/>
        <w:spacing w:after="0" w:line="259" w:lineRule="auto"/>
        <w:rPr>
          <w:sz w:val="20"/>
          <w:szCs w:val="20"/>
          <w:color w:val="auto"/>
        </w:rPr>
      </w:pPr>
      <w:r>
        <w:rPr>
          <w:rFonts w:ascii="Times New Roman" w:cs="Times New Roman" w:eastAsia="Times New Roman" w:hAnsi="Times New Roman"/>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30" w:lineRule="exact"/>
        <w:rPr>
          <w:sz w:val="20"/>
          <w:szCs w:val="20"/>
          <w:color w:val="auto"/>
        </w:rPr>
      </w:pPr>
    </w:p>
    <w:p>
      <w:pPr>
        <w:ind w:right="40" w:firstLine="420"/>
        <w:spacing w:after="0" w:line="286" w:lineRule="auto"/>
        <w:rPr>
          <w:sz w:val="20"/>
          <w:szCs w:val="20"/>
          <w:color w:val="auto"/>
        </w:rPr>
      </w:pPr>
      <w:r>
        <w:rPr>
          <w:rFonts w:ascii="Times New Roman" w:cs="Times New Roman" w:eastAsia="Times New Roman" w:hAnsi="Times New Roman"/>
          <w:sz w:val="13"/>
          <w:szCs w:val="13"/>
          <w:color w:val="auto"/>
        </w:rPr>
        <w:t>In November 2017, we issued $138.6 million of our 2023 Notes. The 2023 Notes were issued pursuant to a deed of trust between the Company and Mishmeret Trust Company, Ltd., as trustee, of which zero and $76.2 million was outstanding as of March 31, 2024 and September 30, 2023, respectively.</w:t>
      </w:r>
    </w:p>
    <w:p>
      <w:pPr>
        <w:spacing w:after="0" w:line="112" w:lineRule="exact"/>
        <w:rPr>
          <w:sz w:val="20"/>
          <w:szCs w:val="20"/>
          <w:color w:val="auto"/>
        </w:rPr>
      </w:pPr>
    </w:p>
    <w:p>
      <w:pPr>
        <w:ind w:right="100" w:firstLine="420"/>
        <w:spacing w:after="0" w:line="262" w:lineRule="auto"/>
        <w:rPr>
          <w:sz w:val="20"/>
          <w:szCs w:val="20"/>
          <w:color w:val="auto"/>
        </w:rPr>
      </w:pPr>
      <w:r>
        <w:rPr>
          <w:rFonts w:ascii="Times New Roman" w:cs="Times New Roman" w:eastAsia="Times New Roman" w:hAnsi="Times New Roman"/>
          <w:sz w:val="13"/>
          <w:szCs w:val="13"/>
          <w:color w:val="auto"/>
        </w:rPr>
        <w:t>The 2023 Notes paid interest at a rate of 4.3% per year. Interest on the 2023 Notes was payable semi-annually in arrears on June 15 and December 15 of each year, commencing June 15, 2018. The principal on the 2023 Notes was payable in four annual installments as follows: 15% of the original principal amount on December 15, 2020, 15% of the original principal amount on December 15, 2021, 15% of the original principal amount on December 15, 2022 and 55% of the original principal amount on December 15, 2023. On December 15, 2023, the remaining outstanding 2023 Notes were repaid in full.</w:t>
      </w:r>
    </w:p>
    <w:p>
      <w:pPr>
        <w:spacing w:after="0" w:line="127" w:lineRule="exact"/>
        <w:rPr>
          <w:sz w:val="20"/>
          <w:szCs w:val="20"/>
          <w:color w:val="auto"/>
        </w:rPr>
      </w:pPr>
    </w:p>
    <w:p>
      <w:pPr>
        <w:ind w:right="160" w:firstLine="420"/>
        <w:spacing w:after="0" w:line="257" w:lineRule="auto"/>
        <w:rPr>
          <w:sz w:val="20"/>
          <w:szCs w:val="20"/>
          <w:color w:val="auto"/>
        </w:rPr>
      </w:pPr>
      <w:r>
        <w:rPr>
          <w:rFonts w:ascii="Times New Roman" w:cs="Times New Roman" w:eastAsia="Times New Roman" w:hAnsi="Times New Roman"/>
          <w:sz w:val="13"/>
          <w:szCs w:val="13"/>
          <w:color w:val="auto"/>
        </w:rPr>
        <w:t>In March 2021 and in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32" w:lineRule="exact"/>
        <w:rPr>
          <w:sz w:val="20"/>
          <w:szCs w:val="20"/>
          <w:color w:val="auto"/>
        </w:rPr>
      </w:pPr>
    </w:p>
    <w:p>
      <w:pPr>
        <w:ind w:right="40" w:firstLine="420"/>
        <w:spacing w:after="0" w:line="254" w:lineRule="auto"/>
        <w:rPr>
          <w:sz w:val="20"/>
          <w:szCs w:val="20"/>
          <w:color w:val="auto"/>
        </w:rPr>
      </w:pPr>
      <w:r>
        <w:rPr>
          <w:rFonts w:ascii="Times New Roman" w:cs="Times New Roman" w:eastAsia="Times New Roman" w:hAnsi="Times New Roman"/>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$ 78.5 million Class A-1 Senior Secured Floating Rate Notes maturing 2031, which bear interest at the three-month SOFR plus 1.8%, (ii) $15.0 million Class A- 2 Senior Secured Fixed Rate Notes due 2031, which bear interest at 3.7%, (iii) $14.0 million Class B- 1 Senior Secured Floating Rate Notes due 2031, which bear interest at the three-month SOFR plus 2.9%, (iv) $16.0 million Class B-2 Senior Secured Fixed Rate Notes due 2031, which bear interest at 4.3%,</w:t>
      </w:r>
    </w:p>
    <w:p>
      <w:pPr>
        <w:ind w:right="160" w:firstLine="6"/>
        <w:spacing w:after="0" w:line="157" w:lineRule="exact"/>
        <w:tabs>
          <w:tab w:leader="none" w:pos="187"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$19.0 million Class C</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Secured Deferrable Floating Rate Notes due 2031, which bear interest at the three-month SOFR plus 4.0%, (vi) $8.0 million Class C-2 Secured Deferrable Fixed Rate Notes due 2031, which bear interest at 5.4%, and (vii) $18.0 million Class D Secured Deferrable Floating Rate Notes due 2031, which bear interest at the three-month SOFR plus 4.8% and (B) the borrowing of $77.5 million Class A</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 Senior Secured Floating Rate Loans due 2031, which bear interest at the three-month SOFR plus 1.8%, under a credit agreement by and among the Securitization Issuers, as borrowers, various financial institutions, as lenders, and U.S. Bank National Association, as collateral agent and as loan agent. The 2031 Asset-Backed Debt is scheduled to mature on October 15, 2031. As of March 31, 2024 and September 30, 2023, the Company had $226.3 million and $228.0 million of 2031 Asset-Backed Debt outstanding with a weighted average interest rate of 7.1% and 7.1%, respectively.</w:t>
      </w:r>
    </w:p>
    <w:p>
      <w:pPr>
        <w:spacing w:after="0" w:line="141"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27" w:lineRule="exact"/>
        <w:rPr>
          <w:sz w:val="20"/>
          <w:szCs w:val="20"/>
          <w:color w:val="auto"/>
        </w:rPr>
      </w:pPr>
    </w:p>
    <w:p>
      <w:pPr>
        <w:jc w:val="both"/>
        <w:ind w:right="100" w:firstLine="420"/>
        <w:spacing w:after="0" w:line="268" w:lineRule="auto"/>
        <w:rPr>
          <w:sz w:val="20"/>
          <w:szCs w:val="20"/>
          <w:color w:val="auto"/>
        </w:rPr>
      </w:pPr>
      <w:r>
        <w:rPr>
          <w:rFonts w:ascii="Times New Roman" w:cs="Times New Roman" w:eastAsia="Times New Roman" w:hAnsi="Times New Roman"/>
          <w:sz w:val="13"/>
          <w:szCs w:val="13"/>
          <w:color w:val="auto"/>
        </w:rPr>
        <w:t>The 2031 Asset-Backed Debt constitutes secured obligations of the Securitization Issuers, and the indenture governing the 2031 Asset-Backed Debt includes customary covenants and events of default. The 2031 Asset- 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23"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0" w:right="660" w:bottom="1440" w:gutter="0" w:footer="0" w:header="0"/>
        </w:sectPr>
      </w:pPr>
    </w:p>
    <w:bookmarkStart w:id="50" w:name="page51"/>
    <w:bookmarkEnd w:id="50"/>
    <w:p>
      <w:pPr>
        <w:ind w:right="100" w:firstLine="420"/>
        <w:spacing w:after="0" w:line="254" w:lineRule="auto"/>
        <w:rPr>
          <w:sz w:val="20"/>
          <w:szCs w:val="20"/>
          <w:color w:val="auto"/>
        </w:rPr>
      </w:pPr>
      <w:r>
        <w:rPr>
          <w:rFonts w:ascii="Times New Roman" w:cs="Times New Roman" w:eastAsia="Times New Roman" w:hAnsi="Times New Roman"/>
          <w:sz w:val="13"/>
          <w:szCs w:val="13"/>
          <w:color w:val="auto"/>
        </w:rPr>
        <w:t>In February 2024, the Company completed the $350.6 million term debt securitization. Term debt securitizations, also known as CLOs, are a form of secured financing incurred by the Company, which is consolidated by the Company and subject to the Company’s asset coverage requirements. The 2036 Asset-Backed Debt was issued by the 2036 Securitization Issuer. The 2036 Asset-Backed Debt is secured by the middle market loans, participation interests in middle market loans and other assets of the 2036 Securitization Issuer. The Debt Securitization was executed through (A) a private placement of: (i) $139.5 million of AAA(sf) Class A-1 Notes, which bear interest at the three -month secured overnight financing rate published by the Federal Reserve Bank of New York (“SOFR”) plus 2.30%, (ii) $14 million of AAA(sf) Class A-2 Notes, which bear interest at three-month SOFR plus 2.70%, (iii) $24.5 million of AA(sf) Class B Notes, which bear interest at three-month SOFR plus 2.90%, (iv) $28 million of A(sf) Class C Notes, which bear interest at three-month SOFR plus 3.90%, (v) $21 million of BBB-(sf) Class D Notes, which bear interest at three-month SOFR plus 5.90%, (together, the “Secured Notes”), and (vi) $63.6 million of subordinated notes (“Subordinated Notes”) and (B) the borrowing of $60.0 million AAA(sf) Class A-1 Senior Secured Floating Rate Loans (the “Class A-1 Loans” and together with the Secured Notes and Subordinated Notes, the “Debt”), which bear interest at three-month SOFR plus 2.30%, under a credit agreement (the “Credit Agreement”), dated as of the Closing Date, by and among the Issuer, as borrower, various financial institutions, as lenders, and Wilmington Trust, National Association, as collateral agent and as loan agent. The annualized interest on the 2036 Asset-Backed Debt will be paid, to the extent of funds available. The Debt is scheduled to mature on April 18, 2036.</w:t>
      </w:r>
    </w:p>
    <w:p>
      <w:pPr>
        <w:spacing w:after="0" w:line="134"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The 2036 Asset-Backed Debt is included in the Consolidated Statement of Assets and Liabilities as debt of the Company and the Preferred Shares of the 2036-Securitization Issuer were eliminated in consolidation. As of March 31, 2024, the Company had $287.0 million of 2036 Asset-Backed Debt outstanding with a weighted average interest rate of 8.1%. As of March 31, 2024, the unamortized fees on the 2036 Asset-Backed Debt were $3.2 million.</w:t>
      </w:r>
    </w:p>
    <w:p>
      <w:pPr>
        <w:spacing w:after="0" w:line="123" w:lineRule="exact"/>
        <w:rPr>
          <w:sz w:val="20"/>
          <w:szCs w:val="20"/>
          <w:color w:val="auto"/>
        </w:rPr>
      </w:pPr>
    </w:p>
    <w:p>
      <w:pPr>
        <w:ind w:right="300" w:firstLine="420"/>
        <w:spacing w:after="0" w:line="286" w:lineRule="auto"/>
        <w:rPr>
          <w:sz w:val="20"/>
          <w:szCs w:val="20"/>
          <w:color w:val="auto"/>
        </w:rPr>
      </w:pPr>
      <w:r>
        <w:rPr>
          <w:rFonts w:ascii="Times New Roman" w:cs="Times New Roman" w:eastAsia="Times New Roman" w:hAnsi="Times New Roman"/>
          <w:sz w:val="13"/>
          <w:szCs w:val="13"/>
          <w:color w:val="auto"/>
        </w:rPr>
        <w:t>Our Investment Adviser serves as collateral manager to the 2036-Securitization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2" w:lineRule="exact"/>
        <w:rPr>
          <w:sz w:val="20"/>
          <w:szCs w:val="20"/>
          <w:color w:val="auto"/>
        </w:rPr>
      </w:pPr>
    </w:p>
    <w:p>
      <w:pPr>
        <w:ind w:right="80" w:firstLine="420"/>
        <w:spacing w:after="0" w:line="255" w:lineRule="auto"/>
        <w:rPr>
          <w:sz w:val="20"/>
          <w:szCs w:val="20"/>
          <w:color w:val="auto"/>
        </w:rPr>
      </w:pPr>
      <w:r>
        <w:rPr>
          <w:rFonts w:ascii="Times New Roman" w:cs="Times New Roman" w:eastAsia="Times New Roman" w:hAnsi="Times New Roman"/>
          <w:sz w:val="13"/>
          <w:szCs w:val="13"/>
          <w:color w:val="auto"/>
        </w:rPr>
        <w:t>On March 27, 2023 we entered into equity distribution agreements with Citizens JMP Securities, LLC, Raymond James &amp; Associates, Inc. and Truist Securities, Inc. (together, the "Equity Distribution Agreements"), as sales agents (each a “Sales Agent” and together, the “Sales Agents”) in connection with the sale of shares of our common stock, with an aggregate offering price of up to $100 million under an at-the-market offering (“ATM Program”). On August 11, 2023, we amended the Equity Distribution Agreements with each of the Sales Agents (together, the "Amended and Restated Equity Distribution Agreements") to increase the aggregate offering price to up to $250 million. The Amended and Restated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 The Investment Adviser may, from time to time, in its sole discretion, pay some or all of the commissions payable under the equity distribution agreements or make additional supplemental payments to ensure that the sales price per share of our common stock in connection with all of the offerings made hereunder will not be less than our current NAV per share. Any such payments made by the Investment Adviser will not be subject to reimbursement by us.</w:t>
      </w:r>
    </w:p>
    <w:p>
      <w:pPr>
        <w:spacing w:after="0" w:line="134" w:lineRule="exact"/>
        <w:rPr>
          <w:sz w:val="20"/>
          <w:szCs w:val="20"/>
          <w:color w:val="auto"/>
        </w:rPr>
      </w:pPr>
    </w:p>
    <w:p>
      <w:pPr>
        <w:jc w:val="both"/>
        <w:ind w:right="40" w:firstLine="420"/>
        <w:spacing w:after="0" w:line="268" w:lineRule="auto"/>
        <w:rPr>
          <w:sz w:val="20"/>
          <w:szCs w:val="20"/>
          <w:color w:val="auto"/>
        </w:rPr>
      </w:pPr>
      <w:r>
        <w:rPr>
          <w:rFonts w:ascii="Times New Roman" w:cs="Times New Roman" w:eastAsia="Times New Roman" w:hAnsi="Times New Roman"/>
          <w:sz w:val="13"/>
          <w:szCs w:val="13"/>
          <w:color w:val="auto"/>
        </w:rPr>
        <w:t>During the three and six months ended March 31, 2024, we issued 4,493,436 shares of common stock through the ATM Program at an average price of $ 11.35 per share, raising $51.0 million of net proceeds after commissions to the sales agents and inclusive of proceeds from the Investment Adviser to ensure that all shares were sold at or above NAV. In connection with the share issuance, we expensed $0.6 million of deferred offering costs incurred related to establishing the ATM Program to additional paid in capital.</w:t>
      </w:r>
    </w:p>
    <w:p>
      <w:pPr>
        <w:spacing w:after="0" w:line="123"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27" w:lineRule="exact"/>
        <w:rPr>
          <w:sz w:val="20"/>
          <w:szCs w:val="20"/>
          <w:color w:val="auto"/>
        </w:rPr>
      </w:pPr>
    </w:p>
    <w:p>
      <w:pPr>
        <w:ind w:right="140" w:firstLine="420"/>
        <w:spacing w:after="0" w:line="262" w:lineRule="auto"/>
        <w:rPr>
          <w:sz w:val="20"/>
          <w:szCs w:val="20"/>
          <w:color w:val="auto"/>
        </w:rPr>
      </w:pPr>
      <w:r>
        <w:rPr>
          <w:rFonts w:ascii="Times New Roman" w:cs="Times New Roman" w:eastAsia="Times New Roman" w:hAnsi="Times New Roman"/>
          <w:sz w:val="13"/>
          <w:szCs w:val="13"/>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May 2024,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284" w:lineRule="exact"/>
        <w:rPr>
          <w:sz w:val="20"/>
          <w:szCs w:val="20"/>
          <w:color w:val="auto"/>
        </w:rPr>
      </w:pPr>
    </w:p>
    <w:p>
      <w:pPr>
        <w:ind w:right="140" w:firstLine="420"/>
        <w:spacing w:after="0" w:line="259" w:lineRule="auto"/>
        <w:rPr>
          <w:sz w:val="20"/>
          <w:szCs w:val="20"/>
          <w:color w:val="auto"/>
        </w:rPr>
      </w:pPr>
      <w:r>
        <w:rPr>
          <w:rFonts w:ascii="Times New Roman" w:cs="Times New Roman" w:eastAsia="Times New Roman" w:hAnsi="Times New Roman"/>
          <w:sz w:val="13"/>
          <w:szCs w:val="13"/>
          <w:color w:val="auto"/>
        </w:rPr>
        <w:t>Under our Administration Agreement, which was most recently reapproved by our board of directors, including a majority of our directors who are not interested persons of us, in May 2024, the Administrator furnishes us with office facilities and administrative services necessary to conduct our day-to -day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Financial Officer, Chief Compliance Officer, Corporate Counsel and their respective staffs.</w:t>
      </w:r>
    </w:p>
    <w:p>
      <w:pPr>
        <w:spacing w:after="0" w:line="286" w:lineRule="exact"/>
        <w:rPr>
          <w:sz w:val="20"/>
          <w:szCs w:val="20"/>
          <w:color w:val="auto"/>
        </w:rPr>
      </w:pPr>
    </w:p>
    <w:p>
      <w:pPr>
        <w:ind w:firstLine="420"/>
        <w:spacing w:after="0" w:line="268" w:lineRule="auto"/>
        <w:rPr>
          <w:sz w:val="20"/>
          <w:szCs w:val="20"/>
          <w:color w:val="auto"/>
        </w:rPr>
      </w:pPr>
      <w:r>
        <w:rPr>
          <w:rFonts w:ascii="Times New Roman" w:cs="Times New Roman" w:eastAsia="Times New Roman" w:hAnsi="Times New Roman"/>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As of March 31, 2024 and September 30, 2023, we had cash and cash equivalents of $125.3 million and $100.6 million, respectively, available for investing and general corporate purposes.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believe our liquidity and capital resources are sufficient to take advantage of market opportunities.</w:t>
      </w:r>
    </w:p>
    <w:p>
      <w:pPr>
        <w:spacing w:after="0" w:line="149" w:lineRule="exact"/>
        <w:rPr>
          <w:sz w:val="20"/>
          <w:szCs w:val="20"/>
          <w:color w:val="auto"/>
        </w:rPr>
      </w:pPr>
    </w:p>
    <w:p>
      <w:pPr>
        <w:ind w:right="120" w:firstLine="420"/>
        <w:spacing w:after="0" w:line="268" w:lineRule="auto"/>
        <w:rPr>
          <w:sz w:val="20"/>
          <w:szCs w:val="20"/>
          <w:color w:val="auto"/>
        </w:rPr>
      </w:pPr>
      <w:r>
        <w:rPr>
          <w:rFonts w:ascii="Times New Roman" w:cs="Times New Roman" w:eastAsia="Times New Roman" w:hAnsi="Times New Roman"/>
          <w:sz w:val="13"/>
          <w:szCs w:val="13"/>
          <w:color w:val="auto"/>
        </w:rPr>
        <w:t>For the six months ended March 31, 2024, our operating activities used cash of $354.5 million and our financing activities provided cash of $379.2 million. Our operating activities used cash primarily due to our investment activities and our financing activities provided cash primarily due to borrowings under our Credit Facility and proceeds from the 2036 Asset-Backed Debt partially offset by the repayment of the 2023 Notes.</w:t>
      </w:r>
    </w:p>
    <w:p>
      <w:pPr>
        <w:spacing w:after="0" w:line="123" w:lineRule="exact"/>
        <w:rPr>
          <w:sz w:val="20"/>
          <w:szCs w:val="20"/>
          <w:color w:val="auto"/>
        </w:rPr>
      </w:pPr>
    </w:p>
    <w:p>
      <w:pPr>
        <w:jc w:val="both"/>
        <w:ind w:right="20" w:firstLine="420"/>
        <w:spacing w:after="0" w:line="268" w:lineRule="auto"/>
        <w:rPr>
          <w:sz w:val="20"/>
          <w:szCs w:val="20"/>
          <w:color w:val="auto"/>
        </w:rPr>
      </w:pPr>
      <w:r>
        <w:rPr>
          <w:rFonts w:ascii="Times New Roman" w:cs="Times New Roman" w:eastAsia="Times New Roman" w:hAnsi="Times New Roman"/>
          <w:sz w:val="13"/>
          <w:szCs w:val="13"/>
          <w:color w:val="auto"/>
        </w:rPr>
        <w:t>For the six months ended March 31, 2023, our operating activities provided cash of $15.3 million and our financing activities used cash of $16.2 million. Our operating activities provided cash primarily realized from our investment activities and our financing activities used cash primarily due to repayments under our Credit Facility and principal repayment of our 2023 Notes partially offset by proceeds from our equity offering.</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90" w:right="66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color w:val="auto"/>
        </w:rPr>
        <w:t>PennantPark Senior Secured Loan Fund I LLC</w:t>
      </w:r>
    </w:p>
    <w:p>
      <w:pPr>
        <w:spacing w:after="0" w:line="129" w:lineRule="exact"/>
        <w:rPr>
          <w:sz w:val="20"/>
          <w:szCs w:val="20"/>
          <w:color w:val="auto"/>
        </w:rPr>
      </w:pPr>
    </w:p>
    <w:p>
      <w:pPr>
        <w:ind w:right="180" w:firstLine="420"/>
        <w:spacing w:after="0" w:line="259" w:lineRule="auto"/>
        <w:rPr>
          <w:sz w:val="20"/>
          <w:szCs w:val="20"/>
          <w:color w:val="auto"/>
        </w:rPr>
      </w:pPr>
      <w:r>
        <w:rPr>
          <w:rFonts w:ascii="Times New Roman" w:cs="Times New Roman" w:eastAsia="Times New Roman" w:hAnsi="Times New Roman"/>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2024 and September 30, 2023, PSSL had total assets of $941.0 million and $869.4 million, respectively, and its investment portfolio consisted of investments in 106 and 105 portfolio companies, respectively. As of March 31, 2024, at fair value, the largest investment in a single portfolio company in PSSL was $21.4 million and the five largest investments totaled $95.6 million. As of September 30, 2023, at fair value, the largest investment in a single portfolio company in PSSL was $18.5 million and the five largest investments totaled $83.4 million. PSSL invests in portfolio companies in the same industries in which we may directly invest.</w:t>
      </w:r>
    </w:p>
    <w:p>
      <w:pPr>
        <w:spacing w:after="0" w:line="130"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We and Kemper provide capital to PSSL in the form of first lien secured debt and equity interests. As of March 31, 2024 and September 30, 2023, we and Kemper owned 87.5% and 12.5%, respectively, of each of the outstanding first lien secured debt and equity interests. As of the same dates, our investment in PSSL consisted of first lien secured debt of $210.1 million (additional $27.6 million unfunded) and $210.1 million (additional $27.6 million unfunded), respectively, and equity interests of $90.0 million (additional $11.8 million unfunded) and $90.0 million (additional $11.8 million unfunded), respectively.</w:t>
      </w:r>
    </w:p>
    <w:p>
      <w:pPr>
        <w:spacing w:after="0" w:line="127"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289" w:lineRule="exact"/>
        <w:rPr>
          <w:sz w:val="20"/>
          <w:szCs w:val="20"/>
          <w:color w:val="auto"/>
        </w:rPr>
      </w:pPr>
    </w:p>
    <w:p>
      <w:pPr>
        <w:ind w:right="60" w:firstLine="420"/>
        <w:spacing w:after="0" w:line="286" w:lineRule="auto"/>
        <w:rPr>
          <w:sz w:val="20"/>
          <w:szCs w:val="20"/>
          <w:color w:val="auto"/>
        </w:rPr>
      </w:pPr>
      <w:r>
        <w:rPr>
          <w:rFonts w:ascii="Times New Roman" w:cs="Times New Roman" w:eastAsia="Times New Roman" w:hAnsi="Times New Roman"/>
          <w:sz w:val="13"/>
          <w:szCs w:val="13"/>
          <w:color w:val="auto"/>
        </w:rPr>
        <w:t>In August 2023 PSSL entered into a $260.0 million (decreased from $325.0 million) senior secured revolving credit facility which bears interest at SOFR plus 260 basis points (including a spread adjustment) with Ally Bank through its wholly-owned subsidiary, PennantPark Senior Secured Loan Facility LLC II, or PSSL Subsidiary II, subject to leverage and borrowing base restrictions.</w:t>
      </w:r>
    </w:p>
    <w:p>
      <w:pPr>
        <w:spacing w:after="0" w:line="112"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30" w:lineRule="exact"/>
        <w:rPr>
          <w:sz w:val="20"/>
          <w:szCs w:val="20"/>
          <w:color w:val="auto"/>
        </w:rPr>
      </w:pPr>
    </w:p>
    <w:p>
      <w:pPr>
        <w:ind w:right="60" w:firstLine="420"/>
        <w:spacing w:after="0" w:line="259" w:lineRule="auto"/>
        <w:rPr>
          <w:sz w:val="20"/>
          <w:szCs w:val="20"/>
          <w:color w:val="auto"/>
        </w:rPr>
      </w:pPr>
      <w:r>
        <w:rPr>
          <w:rFonts w:ascii="Times New Roman" w:cs="Times New Roman" w:eastAsia="Times New Roman" w:hAnsi="Times New Roman"/>
          <w:sz w:val="13"/>
          <w:szCs w:val="13"/>
          <w:color w:val="auto"/>
        </w:rPr>
        <w:t>In April 2023, PSSL completed a $297.8 million debt securitization in the form of a collateralized loan obligation, or the “2035 Asset- Backed Debt”. The 2035 Asset -Backed Debt is secured by a diversified portfolio of PennantPark CLO VI, LLC, a wholly-owned and consolidated subsidiary of PSSL, consisting primarily of middle market loans and participation interests in middle market loans. The 2035 Asset-Backed Debt is scheduled to mature in April 2035. On the closing date of the transaction, in consideration of PSSL’s transfer to PennantPark CLO VI, LLC of the initial closing date loan portfolio, which included loans distributed to PSSL by certain of its wholly owned subsidiaries and us, PennantPark CLO VI, LLC transferred to PSSL 100% of the Preferred Shares of CLO VI, LLC</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is a summary of PSSL’s portfolio at fair value:</w:t>
            </w:r>
          </w:p>
        </w:tc>
        <w:tc>
          <w:tcPr>
            <w:tcW w:w="2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44"/>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in thousands)</w:t>
            </w:r>
          </w:p>
        </w:tc>
        <w:tc>
          <w:tcPr>
            <w:tcW w:w="2140" w:type="dxa"/>
            <w:vAlign w:val="bottom"/>
          </w:tcPr>
          <w:p>
            <w:pPr>
              <w:spacing w:after="0"/>
              <w:rPr>
                <w:sz w:val="21"/>
                <w:szCs w:val="21"/>
                <w:color w:val="auto"/>
              </w:rPr>
            </w:pPr>
          </w:p>
        </w:tc>
        <w:tc>
          <w:tcPr>
            <w:tcW w:w="15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84"/>
        </w:trPr>
        <w:tc>
          <w:tcPr>
            <w:tcW w:w="5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investments</w:t>
            </w:r>
          </w:p>
        </w:tc>
        <w:tc>
          <w:tcPr>
            <w:tcW w:w="214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869,684</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785,859</w:t>
            </w:r>
          </w:p>
        </w:tc>
        <w:tc>
          <w:tcPr>
            <w:tcW w:w="40" w:type="dxa"/>
            <w:vAlign w:val="bottom"/>
          </w:tcPr>
          <w:p>
            <w:pPr>
              <w:spacing w:after="0"/>
              <w:rPr>
                <w:sz w:val="16"/>
                <w:szCs w:val="16"/>
                <w:color w:val="auto"/>
              </w:rPr>
            </w:pPr>
          </w:p>
        </w:tc>
      </w:tr>
      <w:tr>
        <w:trPr>
          <w:trHeight w:val="176"/>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cost yield on income producing investments</w:t>
            </w:r>
          </w:p>
        </w:tc>
        <w:tc>
          <w:tcPr>
            <w:tcW w:w="2140" w:type="dxa"/>
            <w:vAlign w:val="bottom"/>
          </w:tcPr>
          <w:p>
            <w:pPr>
              <w:spacing w:after="0"/>
              <w:rPr>
                <w:sz w:val="15"/>
                <w:szCs w:val="15"/>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12.0 %</w:t>
            </w:r>
          </w:p>
        </w:tc>
        <w:tc>
          <w:tcPr>
            <w:tcW w:w="2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12.1 %</w:t>
            </w:r>
          </w:p>
        </w:tc>
      </w:tr>
      <w:tr>
        <w:trPr>
          <w:trHeight w:val="184"/>
        </w:trPr>
        <w:tc>
          <w:tcPr>
            <w:tcW w:w="5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Number of portfolio companies in PSSL</w:t>
            </w:r>
          </w:p>
        </w:tc>
        <w:tc>
          <w:tcPr>
            <w:tcW w:w="2140" w:type="dxa"/>
            <w:vAlign w:val="bottom"/>
            <w:shd w:val="clear" w:color="auto" w:fill="CCECFF"/>
          </w:tcPr>
          <w:p>
            <w:pPr>
              <w:spacing w:after="0"/>
              <w:rPr>
                <w:sz w:val="16"/>
                <w:szCs w:val="16"/>
                <w:color w:val="auto"/>
              </w:rPr>
            </w:pPr>
          </w:p>
        </w:tc>
        <w:tc>
          <w:tcPr>
            <w:tcW w:w="15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3"/>
                <w:szCs w:val="13"/>
                <w:color w:val="auto"/>
              </w:rPr>
              <w:t>106</w:t>
            </w:r>
          </w:p>
        </w:tc>
        <w:tc>
          <w:tcPr>
            <w:tcW w:w="200" w:type="dxa"/>
            <w:vAlign w:val="bottom"/>
            <w:shd w:val="clear" w:color="auto" w:fill="CCECFF"/>
          </w:tcPr>
          <w:p>
            <w:pPr>
              <w:spacing w:after="0"/>
              <w:rPr>
                <w:sz w:val="16"/>
                <w:szCs w:val="16"/>
                <w:color w:val="auto"/>
              </w:rPr>
            </w:pP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105</w:t>
            </w:r>
          </w:p>
        </w:tc>
        <w:tc>
          <w:tcPr>
            <w:tcW w:w="40" w:type="dxa"/>
            <w:vAlign w:val="bottom"/>
          </w:tcPr>
          <w:p>
            <w:pPr>
              <w:spacing w:after="0"/>
              <w:rPr>
                <w:sz w:val="16"/>
                <w:szCs w:val="16"/>
                <w:color w:val="auto"/>
              </w:rPr>
            </w:pPr>
          </w:p>
        </w:tc>
      </w:tr>
      <w:tr>
        <w:trPr>
          <w:trHeight w:val="176"/>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Largest portfolio company investment</w:t>
            </w:r>
          </w:p>
        </w:tc>
        <w:tc>
          <w:tcPr>
            <w:tcW w:w="21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21,381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18,463</w:t>
            </w:r>
          </w:p>
        </w:tc>
        <w:tc>
          <w:tcPr>
            <w:tcW w:w="40" w:type="dxa"/>
            <w:vAlign w:val="bottom"/>
          </w:tcPr>
          <w:p>
            <w:pPr>
              <w:spacing w:after="0"/>
              <w:rPr>
                <w:sz w:val="15"/>
                <w:szCs w:val="15"/>
                <w:color w:val="auto"/>
              </w:rPr>
            </w:pPr>
          </w:p>
        </w:tc>
      </w:tr>
      <w:tr>
        <w:trPr>
          <w:trHeight w:val="184"/>
        </w:trPr>
        <w:tc>
          <w:tcPr>
            <w:tcW w:w="5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Total of five largest portfolio company investments</w:t>
            </w:r>
          </w:p>
        </w:tc>
        <w:tc>
          <w:tcPr>
            <w:tcW w:w="214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95,589</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83,365</w:t>
            </w:r>
          </w:p>
        </w:tc>
        <w:tc>
          <w:tcPr>
            <w:tcW w:w="40" w:type="dxa"/>
            <w:vAlign w:val="bottom"/>
          </w:tcPr>
          <w:p>
            <w:pPr>
              <w:spacing w:after="0"/>
              <w:rPr>
                <w:sz w:val="16"/>
                <w:szCs w:val="16"/>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288" w:right="640" w:bottom="1440" w:gutter="0" w:footer="0" w:header="0"/>
        </w:sectPr>
      </w:pPr>
    </w:p>
    <w:bookmarkStart w:id="52" w:name="page53"/>
    <w:bookmarkEnd w:id="52"/>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March 31, 2024 (Par and $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60" w:type="dxa"/>
            <w:vAlign w:val="bottom"/>
          </w:tcPr>
          <w:p>
            <w:pPr>
              <w:jc w:val="center"/>
              <w:ind w:right="11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Par</w:t>
            </w:r>
          </w:p>
        </w:tc>
        <w:tc>
          <w:tcPr>
            <w:tcW w:w="240" w:type="dxa"/>
            <w:vAlign w:val="bottom"/>
          </w:tcPr>
          <w:p>
            <w:pPr>
              <w:spacing w:after="0"/>
              <w:rPr>
                <w:sz w:val="11"/>
                <w:szCs w:val="11"/>
                <w:color w:val="auto"/>
              </w:rPr>
            </w:pPr>
          </w:p>
        </w:tc>
        <w:tc>
          <w:tcPr>
            <w:tcW w:w="62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1"/>
                <w:szCs w:val="11"/>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3"/>
              </w:rPr>
              <w:t>Fair Value (2)</w:t>
            </w: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- 1,425.9%</w:t>
            </w:r>
          </w:p>
        </w:tc>
        <w:tc>
          <w:tcPr>
            <w:tcW w:w="82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12/22/2028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SOFR+660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2,925</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2,875</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2,925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ACP Avenu Buyer,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9,975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9,810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9,726</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ACP Falcon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18,856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18,509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18,875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SOFR+626</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8,753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8,695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8,753</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Aeronix,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10.81 %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15,960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15,731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15,800</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12,787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12,508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12,276</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Publishing</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11.23 %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4,859</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4,835</w:t>
            </w:r>
          </w:p>
        </w:tc>
        <w:tc>
          <w:tcPr>
            <w:tcW w:w="0" w:type="dxa"/>
            <w:vAlign w:val="bottom"/>
          </w:tcPr>
          <w:p>
            <w:pPr>
              <w:spacing w:after="0"/>
              <w:rPr>
                <w:sz w:val="1"/>
                <w:szCs w:val="1"/>
                <w:color w:val="auto"/>
              </w:rPr>
            </w:pPr>
          </w:p>
        </w:tc>
      </w:tr>
      <w:tr>
        <w:trPr>
          <w:trHeight w:val="137"/>
        </w:trPr>
        <w:tc>
          <w:tcPr>
            <w:tcW w:w="31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w:t>
            </w:r>
          </w:p>
        </w:tc>
        <w:tc>
          <w:tcPr>
            <w:tcW w:w="112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 - Incremental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Publishing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4,750</w:t>
            </w: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4,708</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4,726</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7/21/2027</w:t>
            </w:r>
          </w:p>
        </w:tc>
        <w:tc>
          <w:tcPr>
            <w:tcW w:w="1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7,472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7,328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7,397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11,213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11,104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11.54 %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11,171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11,021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11,060</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11.10 %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4,925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4,847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4,790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11.83 %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8,933</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8,843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15,053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14,854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14,978</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BlueHalo Financing Holdings,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SOFR+490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5,545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5,491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SOFR+626</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2,305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2,305</w:t>
            </w:r>
          </w:p>
        </w:tc>
        <w:tc>
          <w:tcPr>
            <w:tcW w:w="0" w:type="dxa"/>
            <w:vAlign w:val="bottom"/>
          </w:tcPr>
          <w:p>
            <w:pPr>
              <w:spacing w:after="0"/>
              <w:rPr>
                <w:sz w:val="1"/>
                <w:szCs w:val="1"/>
                <w:color w:val="auto"/>
              </w:rPr>
            </w:pPr>
          </w:p>
        </w:tc>
      </w:tr>
      <w:tr>
        <w:trPr>
          <w:trHeight w:val="108"/>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1"/>
              </w:rPr>
              <w:t>Automotive</w:t>
            </w:r>
          </w:p>
        </w:tc>
        <w:tc>
          <w:tcPr>
            <w:tcW w:w="1120" w:type="dxa"/>
            <w:vAlign w:val="bottom"/>
          </w:tcPr>
          <w:p>
            <w:pPr>
              <w:jc w:val="right"/>
              <w:ind w:right="112"/>
              <w:spacing w:after="0" w:line="109"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444</w:t>
            </w:r>
          </w:p>
        </w:tc>
        <w:tc>
          <w:tcPr>
            <w:tcW w:w="240" w:type="dxa"/>
            <w:vAlign w:val="bottom"/>
          </w:tcPr>
          <w:p>
            <w:pPr>
              <w:spacing w:after="0"/>
              <w:rPr>
                <w:sz w:val="9"/>
                <w:szCs w:val="9"/>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417</w:t>
            </w:r>
          </w:p>
        </w:tc>
        <w:tc>
          <w:tcPr>
            <w:tcW w:w="160" w:type="dxa"/>
            <w:vAlign w:val="bottom"/>
          </w:tcPr>
          <w:p>
            <w:pPr>
              <w:spacing w:after="0"/>
              <w:rPr>
                <w:sz w:val="9"/>
                <w:szCs w:val="9"/>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423</w:t>
            </w:r>
          </w:p>
        </w:tc>
        <w:tc>
          <w:tcPr>
            <w:tcW w:w="0" w:type="dxa"/>
            <w:vAlign w:val="bottom"/>
          </w:tcPr>
          <w:p>
            <w:pPr>
              <w:spacing w:after="0"/>
              <w:rPr>
                <w:sz w:val="1"/>
                <w:szCs w:val="1"/>
                <w:color w:val="auto"/>
              </w:rPr>
            </w:pPr>
          </w:p>
        </w:tc>
      </w:tr>
      <w:tr>
        <w:trPr>
          <w:trHeight w:val="128"/>
        </w:trPr>
        <w:tc>
          <w:tcPr>
            <w:tcW w:w="31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10.68</w:t>
            </w: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12.37 %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SOFR+688</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13,387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13,350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13,253</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9,587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9,470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9,587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SOFR+619</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6,785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6,704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6,684</w:t>
            </w:r>
          </w:p>
        </w:tc>
        <w:tc>
          <w:tcPr>
            <w:tcW w:w="0" w:type="dxa"/>
            <w:vAlign w:val="bottom"/>
          </w:tcPr>
          <w:p>
            <w:pPr>
              <w:spacing w:after="0"/>
              <w:rPr>
                <w:sz w:val="1"/>
                <w:szCs w:val="1"/>
                <w:color w:val="auto"/>
              </w:rPr>
            </w:pPr>
          </w:p>
        </w:tc>
      </w:tr>
      <w:tr>
        <w:trPr>
          <w:trHeight w:val="136"/>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8/31/2024</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13.18 %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9,119</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9,109</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8,800</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(PIK 1.00%)</w:t>
            </w: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10/28/2028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9.44 %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SOFR+400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6,743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6,522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6,659</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SOFR+576</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3,795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3,749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3,643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10.81 %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2,078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2,059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2,078</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14,637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14,455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14,637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12/21/2028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10.68 %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2,614</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2,419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2,442</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14,149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14,114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14,036</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SOFR+710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10,849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10,821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10,816</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10.08 %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SOFR+475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4,894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4,989</w:t>
            </w:r>
          </w:p>
        </w:tc>
        <w:tc>
          <w:tcPr>
            <w:tcW w:w="0" w:type="dxa"/>
            <w:vAlign w:val="bottom"/>
          </w:tcPr>
          <w:p>
            <w:pPr>
              <w:spacing w:after="0"/>
              <w:rPr>
                <w:sz w:val="1"/>
                <w:szCs w:val="1"/>
                <w:color w:val="auto"/>
              </w:rPr>
            </w:pPr>
          </w:p>
        </w:tc>
      </w:tr>
      <w:tr>
        <w:trPr>
          <w:trHeight w:val="137"/>
        </w:trPr>
        <w:tc>
          <w:tcPr>
            <w:tcW w:w="31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112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and Components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11.56 %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8,910</w:t>
            </w: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8,801</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8,732</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12,611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12,463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12,358</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11.84 %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SOFR+650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12,342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12,113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12,465</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10.32 %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SOFR+475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10,143</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10,094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10,143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3,716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3,707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3,530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1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10.90 %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2,333</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2,310</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2,153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2,126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2,024</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Hills Distribution,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11/8/2029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11.32 %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9,002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8,867</w:t>
            </w:r>
          </w:p>
        </w:tc>
        <w:tc>
          <w:tcPr>
            <w:tcW w:w="0" w:type="dxa"/>
            <w:vAlign w:val="bottom"/>
          </w:tcPr>
          <w:p>
            <w:pPr>
              <w:spacing w:after="0"/>
              <w:rPr>
                <w:sz w:val="1"/>
                <w:szCs w:val="1"/>
                <w:color w:val="auto"/>
              </w:rPr>
            </w:pPr>
          </w:p>
        </w:tc>
      </w:tr>
      <w:tr>
        <w:trPr>
          <w:trHeight w:val="22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5/10/2026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 xml:space="preserve">11.72 </w:t>
            </w:r>
            <w:r>
              <w:rPr>
                <w:rFonts w:ascii="Times New Roman" w:cs="Times New Roman" w:eastAsia="Times New Roman" w:hAnsi="Times New Roman"/>
                <w:sz w:val="19"/>
                <w:szCs w:val="19"/>
                <w:color w:val="auto"/>
                <w:vertAlign w:val="subscript"/>
              </w:rPr>
              <w:t>%</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3,513</w:t>
            </w:r>
          </w:p>
        </w:tc>
        <w:tc>
          <w:tcPr>
            <w:tcW w:w="240" w:type="dxa"/>
            <w:vAlign w:val="bottom"/>
            <w:shd w:val="clear" w:color="auto" w:fill="CCECFF"/>
          </w:tcPr>
          <w:p>
            <w:pPr>
              <w:spacing w:after="0"/>
              <w:rPr>
                <w:sz w:val="19"/>
                <w:szCs w:val="19"/>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3,491</w:t>
            </w:r>
          </w:p>
        </w:tc>
        <w:tc>
          <w:tcPr>
            <w:tcW w:w="160" w:type="dxa"/>
            <w:vAlign w:val="bottom"/>
            <w:shd w:val="clear" w:color="auto" w:fill="CCECFF"/>
          </w:tcPr>
          <w:p>
            <w:pPr>
              <w:spacing w:after="0"/>
              <w:rPr>
                <w:sz w:val="19"/>
                <w:szCs w:val="19"/>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3,460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11/15/2027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10.43 %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SOFR+510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9,201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9,052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9,109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12.64 %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16,370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16,196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16,370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12/28/2028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12.16 %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SOFR+685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6,060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5,958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6,060</w:t>
            </w: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SOFR+715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11,156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11,144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10,375</w:t>
            </w:r>
          </w:p>
        </w:tc>
        <w:tc>
          <w:tcPr>
            <w:tcW w:w="0" w:type="dxa"/>
            <w:vAlign w:val="bottom"/>
          </w:tcPr>
          <w:p>
            <w:pPr>
              <w:spacing w:after="0"/>
              <w:rPr>
                <w:sz w:val="1"/>
                <w:szCs w:val="1"/>
                <w:color w:val="auto"/>
              </w:rPr>
            </w:pPr>
          </w:p>
        </w:tc>
      </w:tr>
      <w:tr>
        <w:trPr>
          <w:trHeight w:val="152"/>
        </w:trPr>
        <w:tc>
          <w:tcPr>
            <w:tcW w:w="31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840" w:type="dxa"/>
            <w:vAlign w:val="bottom"/>
            <w:shd w:val="clear" w:color="auto" w:fill="CCECFF"/>
          </w:tcPr>
          <w:p>
            <w:pPr>
              <w:spacing w:after="0"/>
              <w:rPr>
                <w:sz w:val="13"/>
                <w:szCs w:val="13"/>
                <w:color w:val="auto"/>
              </w:rPr>
            </w:pP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2.25%)</w:t>
            </w:r>
          </w:p>
        </w:tc>
        <w:tc>
          <w:tcPr>
            <w:tcW w:w="10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8/27/2026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11.49 %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5,880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5,840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5,821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12.94 %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SOFR+761</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8,205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8,094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8,041</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3,920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3,869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3,881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11/10/2027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11.46 %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SOFR+615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16,578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16,303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16,578</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13.23 %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14,359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14,175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14,215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10/31/2025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11.72 %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14,970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14,950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14,760</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10.68 %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SOFR+535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11,375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11,280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11,375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SOFR+640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2,572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2,528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2,547</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5/31/2028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12.31 %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SOFR+700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7,444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7,316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7,295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 First-Out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10/2/2028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12.97 %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SOFR+765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261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261</w:t>
            </w:r>
          </w:p>
        </w:tc>
        <w:tc>
          <w:tcPr>
            <w:tcW w:w="0" w:type="dxa"/>
            <w:vAlign w:val="bottom"/>
          </w:tcPr>
          <w:p>
            <w:pPr>
              <w:spacing w:after="0"/>
              <w:rPr>
                <w:sz w:val="1"/>
                <w:szCs w:val="1"/>
                <w:color w:val="auto"/>
              </w:rPr>
            </w:pPr>
          </w:p>
        </w:tc>
      </w:tr>
      <w:tr>
        <w:trPr>
          <w:trHeight w:val="136"/>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Lucky Bucks, LLC - Last-Out Term Loan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10/2/2029</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12.97 %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SOFR+765</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522</w:t>
            </w:r>
          </w:p>
        </w:tc>
        <w:tc>
          <w:tcPr>
            <w:tcW w:w="240" w:type="dxa"/>
            <w:vAlign w:val="bottom"/>
          </w:tcPr>
          <w:p>
            <w:pPr>
              <w:spacing w:after="0"/>
              <w:rPr>
                <w:sz w:val="11"/>
                <w:szCs w:val="11"/>
                <w:color w:val="auto"/>
              </w:rPr>
            </w:pPr>
          </w:p>
        </w:tc>
        <w:tc>
          <w:tcPr>
            <w:tcW w:w="6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522</w:t>
            </w:r>
          </w:p>
        </w:tc>
        <w:tc>
          <w:tcPr>
            <w:tcW w:w="160" w:type="dxa"/>
            <w:vAlign w:val="bottom"/>
          </w:tcPr>
          <w:p>
            <w:pPr>
              <w:spacing w:after="0"/>
              <w:rPr>
                <w:sz w:val="11"/>
                <w:szCs w:val="11"/>
                <w:color w:val="auto"/>
              </w:rPr>
            </w:pPr>
          </w:p>
        </w:tc>
        <w:tc>
          <w:tcPr>
            <w:tcW w:w="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522</w:t>
            </w:r>
          </w:p>
        </w:tc>
        <w:tc>
          <w:tcPr>
            <w:tcW w:w="0" w:type="dxa"/>
            <w:vAlign w:val="bottom"/>
          </w:tcPr>
          <w:p>
            <w:pPr>
              <w:spacing w:after="0"/>
              <w:rPr>
                <w:sz w:val="1"/>
                <w:szCs w:val="1"/>
                <w:color w:val="auto"/>
              </w:rPr>
            </w:pPr>
          </w:p>
        </w:tc>
      </w:tr>
      <w:tr>
        <w:trPr>
          <w:trHeight w:val="100"/>
        </w:trPr>
        <w:tc>
          <w:tcPr>
            <w:tcW w:w="3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2,079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1,983</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Software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10.57 %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SOFR+500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2,991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1,759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10.72 %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Marketplace Events, LLC - Super Priority First Lien Unfunded Term Loan </w:t>
            </w:r>
            <w:r>
              <w:rPr>
                <w:rFonts w:ascii="Times New Roman" w:cs="Times New Roman" w:eastAsia="Times New Roman" w:hAnsi="Times New Roman"/>
                <w:sz w:val="12"/>
                <w:szCs w:val="12"/>
                <w:color w:val="auto"/>
                <w:vertAlign w:val="superscript"/>
              </w:rPr>
              <w:t>(3)</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tcPr>
          <w:p>
            <w:pPr>
              <w:spacing w:after="0"/>
              <w:rPr>
                <w:sz w:val="12"/>
                <w:szCs w:val="12"/>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10.72 %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3,921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11,529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11,443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11,529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SOFR+585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8,373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8,274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8,261</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10.87 %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6,348</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6,250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6,260</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12/10/2027</w:t>
            </w:r>
          </w:p>
        </w:tc>
        <w:tc>
          <w:tcPr>
            <w:tcW w:w="1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SOFR+565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2,360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2,328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2,312</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Medina Health,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10/20/2028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11.56 %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19,296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18,985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19,103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3/31/2025</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11.20 %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5,739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5,736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5,739</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MOREGroup Holdings,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1/16/2030</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SOFR+590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13,132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12,946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13,001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1"/>
              </w:rPr>
              <w:t>Distributors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10.45 %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SOFR+515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3,413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3,368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3,413</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&amp; Childcare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11.18 %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10,657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10,538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10,177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5/9/2029</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11.40 %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SOFR+600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4,809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4,747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4,809</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NORA Acquisition,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8/31/2029</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SOFR+635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21,381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21,001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21,381</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11.69 %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SOFR+636</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15,765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15,535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15,765</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14.75 %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SOFR+940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2,076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1,619</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Output Services Group, Inc - First-Out Term Loan</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11/30/2028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13.82 %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SOFR+843</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821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821</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 - Last-Out Term Loan</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5/30/2028</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12.07 %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SOFR+668</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1,667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1,667</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184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10.68 %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SOFR+550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184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12.82 %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SOFR+751</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4,345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4,315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4,345</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Pacific Purchaser,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SOFR+625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11,998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11,998</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9/29/2025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10.72 %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SOFR+500</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9,443</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9,293</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9,254</w:t>
            </w: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12.43 %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SOFR+710</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7,700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7,612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6,815</w:t>
            </w:r>
          </w:p>
        </w:tc>
        <w:tc>
          <w:tcPr>
            <w:tcW w:w="0" w:type="dxa"/>
            <w:vAlign w:val="bottom"/>
          </w:tcPr>
          <w:p>
            <w:pPr>
              <w:spacing w:after="0"/>
              <w:rPr>
                <w:sz w:val="1"/>
                <w:szCs w:val="1"/>
                <w:color w:val="auto"/>
              </w:rPr>
            </w:pPr>
          </w:p>
        </w:tc>
      </w:tr>
      <w:tr>
        <w:trPr>
          <w:trHeight w:val="152"/>
        </w:trPr>
        <w:tc>
          <w:tcPr>
            <w:tcW w:w="31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840" w:type="dxa"/>
            <w:vAlign w:val="bottom"/>
            <w:shd w:val="clear" w:color="auto" w:fill="CCECFF"/>
          </w:tcPr>
          <w:p>
            <w:pPr>
              <w:spacing w:after="0"/>
              <w:rPr>
                <w:sz w:val="13"/>
                <w:szCs w:val="13"/>
                <w:color w:val="auto"/>
              </w:rPr>
            </w:pPr>
          </w:p>
        </w:tc>
        <w:tc>
          <w:tcPr>
            <w:tcW w:w="112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4.00%)</w:t>
            </w:r>
          </w:p>
        </w:tc>
        <w:tc>
          <w:tcPr>
            <w:tcW w:w="10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Goods: Durable</w:t>
            </w: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10.98 %</w:t>
            </w:r>
          </w:p>
        </w:tc>
        <w:tc>
          <w:tcPr>
            <w:tcW w:w="106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SOFR+565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2,493</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1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112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11.09 %</w:t>
            </w:r>
          </w:p>
        </w:tc>
        <w:tc>
          <w:tcPr>
            <w:tcW w:w="1060" w:type="dxa"/>
            <w:vAlign w:val="bottom"/>
            <w:shd w:val="clear" w:color="auto" w:fill="CCECFF"/>
          </w:tcPr>
          <w:p>
            <w:pPr>
              <w:ind w:left="360"/>
              <w:spacing w:after="0"/>
              <w:rPr>
                <w:sz w:val="20"/>
                <w:szCs w:val="20"/>
                <w:color w:val="auto"/>
              </w:rPr>
            </w:pPr>
            <w:r>
              <w:rPr>
                <w:rFonts w:ascii="Times New Roman" w:cs="Times New Roman" w:eastAsia="Times New Roman" w:hAnsi="Times New Roman"/>
                <w:sz w:val="10"/>
                <w:szCs w:val="10"/>
                <w:color w:val="auto"/>
              </w:rPr>
              <w:t>SOFR+575</w:t>
            </w:r>
          </w:p>
        </w:tc>
        <w:tc>
          <w:tcPr>
            <w:tcW w:w="82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11,081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10,956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9,474</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90" w:right="68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6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60" w:type="dxa"/>
            <w:vAlign w:val="bottom"/>
            <w:gridSpan w:val="2"/>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Par</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3"/>
              </w:rPr>
              <w:t>Fair Value (2)</w:t>
            </w:r>
          </w:p>
        </w:tc>
        <w:tc>
          <w:tcPr>
            <w:tcW w:w="0" w:type="dxa"/>
            <w:vAlign w:val="bottom"/>
          </w:tcPr>
          <w:p>
            <w:pPr>
              <w:spacing w:after="0"/>
              <w:rPr>
                <w:sz w:val="1"/>
                <w:szCs w:val="1"/>
                <w:color w:val="auto"/>
              </w:rPr>
            </w:pPr>
          </w:p>
        </w:tc>
      </w:tr>
      <w:tr>
        <w:trPr>
          <w:trHeight w:val="128"/>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11/19/2026</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11.66 %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2,789</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12/18/2025</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10.92 %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1,024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1,024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2/28/2028</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11.45 %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4,913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4,860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1/29/2026</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4,850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4,812</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4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11.07 %</w:t>
            </w:r>
          </w:p>
        </w:tc>
        <w:tc>
          <w:tcPr>
            <w:tcW w:w="106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SOFR+576</w:t>
            </w: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12,366</w:t>
            </w: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12,304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10,511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1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6/15/2029</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11.43 %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3,730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3,662</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3,674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1/3/2025</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11.51 %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9,268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9,243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12/20/2024</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12.93 %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SOFR+760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5,079</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5,066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5,079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780" w:type="dxa"/>
            <w:vAlign w:val="bottom"/>
            <w:shd w:val="clear" w:color="auto" w:fill="CCECFF"/>
          </w:tcPr>
          <w:p>
            <w:pPr>
              <w:spacing w:after="0"/>
              <w:rPr>
                <w:sz w:val="13"/>
                <w:szCs w:val="13"/>
                <w:color w:val="auto"/>
              </w:rPr>
            </w:pPr>
          </w:p>
        </w:tc>
        <w:tc>
          <w:tcPr>
            <w:tcW w:w="114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(PIK 1.00%)</w:t>
            </w:r>
          </w:p>
        </w:tc>
        <w:tc>
          <w:tcPr>
            <w:tcW w:w="10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7/14/2025</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12.68 %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11,830</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(PIK 0.50%)</w:t>
            </w: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6/13/2029</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11.46 %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4,925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4,863</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12/18/2027</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12,573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12,402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Simplicity Financial Marketing Group Holdings,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11.70 %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11,416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11,237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11,302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5/17/2028</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9.94 %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1,297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Smartronix,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11/23/2028</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11.57 %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4,888</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4,821</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10/14/2025</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9.91 %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11,736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7/17/2025</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12.46 %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4,554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3/1/2028</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10.95 %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4,091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4,032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10.35 %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SOFR+501</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1,777</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1,694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1,777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7"/>
              </w:rPr>
              <w:t>System Planning and Analysis, Inc. (f/k/a Management Consulting &amp; Research,</w:t>
            </w:r>
          </w:p>
        </w:tc>
        <w:tc>
          <w:tcPr>
            <w:tcW w:w="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11.08 %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SOFR+590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14,663</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14,495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14,648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11/24/2028</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10.49 %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345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7/27/2026</w:t>
            </w:r>
          </w:p>
        </w:tc>
        <w:tc>
          <w:tcPr>
            <w:tcW w:w="178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11.96 %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8,553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8,449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11.42 %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SOFR+610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7,676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7,565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7,676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11/24/2025</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10.94 %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16,617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16,434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Transgo,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12/29/2028</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1"/>
              </w:rPr>
              <w:t>Automotive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11.33 %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19,826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19,547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19,628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6/16/2025</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11.73 %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3,418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4/1/2028</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IT Services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10.98 %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14,579</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13,745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6/15/2026</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6"/>
              </w:rPr>
              <w:t>Healthcare and Pharmaceuticals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11.68 %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6,858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6,757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w:t>
            </w:r>
            <w:r>
              <w:rPr>
                <w:rFonts w:ascii="Times New Roman" w:cs="Times New Roman" w:eastAsia="Times New Roman" w:hAnsi="Times New Roman"/>
                <w:sz w:val="12"/>
                <w:szCs w:val="12"/>
                <w:color w:val="auto"/>
                <w:vertAlign w:val="superscript"/>
              </w:rPr>
              <w:t>(4)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4,645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4,465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3,437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9"/>
              </w:rPr>
              <w:t xml:space="preserve">Walker Edison Furniture Company LLC - Junior Revolving Credit Facility </w:t>
            </w:r>
            <w:r>
              <w:rPr>
                <w:rFonts w:ascii="Times New Roman" w:cs="Times New Roman" w:eastAsia="Times New Roman" w:hAnsi="Times New Roman"/>
                <w:sz w:val="12"/>
                <w:szCs w:val="12"/>
                <w:color w:val="auto"/>
                <w:w w:val="99"/>
                <w:vertAlign w:val="superscript"/>
              </w:rPr>
              <w:t>(4)</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0.00 %</w:t>
            </w:r>
          </w:p>
        </w:tc>
        <w:tc>
          <w:tcPr>
            <w:tcW w:w="1060" w:type="dxa"/>
            <w:vAlign w:val="bottom"/>
          </w:tcPr>
          <w:p>
            <w:pPr>
              <w:spacing w:after="0"/>
              <w:rPr>
                <w:sz w:val="12"/>
                <w:szCs w:val="12"/>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(3)(4)</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3/1/2029</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604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(157 )</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Watchtower Buyer,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12/3/2029</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11.31 %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12,250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12,057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16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Electronic Equipment, Instruments,</w:t>
            </w:r>
          </w:p>
        </w:tc>
        <w:tc>
          <w:tcPr>
            <w:tcW w:w="11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2/27/2027</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and Components</w:t>
            </w:r>
          </w:p>
        </w:tc>
        <w:tc>
          <w:tcPr>
            <w:tcW w:w="1140" w:type="dxa"/>
            <w:vAlign w:val="bottom"/>
            <w:shd w:val="clear" w:color="auto" w:fill="CCECFF"/>
          </w:tcPr>
          <w:p>
            <w:pPr>
              <w:jc w:val="right"/>
              <w:ind w:right="112"/>
              <w:spacing w:after="0"/>
              <w:rPr>
                <w:sz w:val="20"/>
                <w:szCs w:val="20"/>
                <w:color w:val="auto"/>
              </w:rPr>
            </w:pPr>
            <w:r>
              <w:rPr>
                <w:rFonts w:ascii="Times New Roman" w:cs="Times New Roman" w:eastAsia="Times New Roman" w:hAnsi="Times New Roman"/>
                <w:sz w:val="10"/>
                <w:szCs w:val="10"/>
                <w:color w:val="auto"/>
              </w:rPr>
              <w:t>11.06 %</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16,097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15,971</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16,016</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12/31/2024</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Automobiles</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12.68 %</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SOFR+735</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16,743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16,699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spacing w:after="0"/>
              <w:rPr>
                <w:sz w:val="12"/>
                <w:szCs w:val="12"/>
                <w:color w:val="auto"/>
              </w:rPr>
            </w:pPr>
          </w:p>
        </w:tc>
        <w:tc>
          <w:tcPr>
            <w:tcW w:w="860" w:type="dxa"/>
            <w:vAlign w:val="bottom"/>
            <w:shd w:val="clear" w:color="auto" w:fill="CCECFF"/>
          </w:tcPr>
          <w:p>
            <w:pPr>
              <w:spacing w:after="0"/>
              <w:rPr>
                <w:sz w:val="12"/>
                <w:szCs w:val="12"/>
                <w:color w:val="auto"/>
              </w:rPr>
            </w:pPr>
          </w:p>
        </w:tc>
        <w:tc>
          <w:tcPr>
            <w:tcW w:w="17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873,061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865,487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- 6.9%</w:t>
            </w:r>
          </w:p>
        </w:tc>
        <w:tc>
          <w:tcPr>
            <w:tcW w:w="860" w:type="dxa"/>
            <w:vAlign w:val="bottom"/>
            <w:shd w:val="clear" w:color="auto" w:fill="CCECFF"/>
          </w:tcPr>
          <w:p>
            <w:pPr>
              <w:spacing w:after="0"/>
              <w:rPr>
                <w:sz w:val="12"/>
                <w:szCs w:val="12"/>
                <w:color w:val="auto"/>
              </w:rPr>
            </w:pPr>
          </w:p>
        </w:tc>
        <w:tc>
          <w:tcPr>
            <w:tcW w:w="17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w:t>
            </w:r>
          </w:p>
        </w:tc>
        <w:tc>
          <w:tcPr>
            <w:tcW w:w="86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6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114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1,030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Output Services Group, Inc</w:t>
            </w:r>
          </w:p>
        </w:tc>
        <w:tc>
          <w:tcPr>
            <w:tcW w:w="86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6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17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4"/>
              </w:rPr>
              <w:t>Wholesale</w:t>
            </w:r>
          </w:p>
        </w:tc>
        <w:tc>
          <w:tcPr>
            <w:tcW w:w="114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6,467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- 1,432.8%</w:t>
            </w:r>
          </w:p>
        </w:tc>
        <w:tc>
          <w:tcPr>
            <w:tcW w:w="860" w:type="dxa"/>
            <w:vAlign w:val="bottom"/>
            <w:shd w:val="clear" w:color="auto" w:fill="CCECFF"/>
          </w:tcPr>
          <w:p>
            <w:pPr>
              <w:spacing w:after="0"/>
              <w:rPr>
                <w:sz w:val="12"/>
                <w:szCs w:val="12"/>
                <w:color w:val="auto"/>
              </w:rPr>
            </w:pPr>
          </w:p>
        </w:tc>
        <w:tc>
          <w:tcPr>
            <w:tcW w:w="17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879,528</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869,684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- 103.6%</w:t>
            </w: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60" w:type="dxa"/>
            <w:vAlign w:val="bottom"/>
            <w:shd w:val="clear" w:color="auto" w:fill="CCECFF"/>
          </w:tcPr>
          <w:p>
            <w:pPr>
              <w:spacing w:after="0"/>
              <w:rPr>
                <w:sz w:val="12"/>
                <w:szCs w:val="12"/>
                <w:color w:val="auto"/>
              </w:rPr>
            </w:pPr>
          </w:p>
        </w:tc>
        <w:tc>
          <w:tcPr>
            <w:tcW w:w="178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62,892</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62,892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62,892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—1,536.4%</w:t>
            </w:r>
          </w:p>
        </w:tc>
        <w:tc>
          <w:tcPr>
            <w:tcW w:w="860" w:type="dxa"/>
            <w:vAlign w:val="bottom"/>
            <w:tcBorders>
              <w:bottom w:val="single" w:sz="8" w:color="CCECFF"/>
            </w:tcBorders>
            <w:shd w:val="clear" w:color="auto" w:fill="CCECFF"/>
          </w:tcPr>
          <w:p>
            <w:pPr>
              <w:spacing w:after="0"/>
              <w:rPr>
                <w:sz w:val="16"/>
                <w:szCs w:val="16"/>
                <w:color w:val="auto"/>
              </w:rPr>
            </w:pPr>
          </w:p>
        </w:tc>
        <w:tc>
          <w:tcPr>
            <w:tcW w:w="1780" w:type="dxa"/>
            <w:vAlign w:val="bottom"/>
            <w:tcBorders>
              <w:bottom w:val="single" w:sz="8" w:color="CCECFF"/>
            </w:tcBorders>
            <w:shd w:val="clear" w:color="auto" w:fill="CCECFF"/>
          </w:tcPr>
          <w:p>
            <w:pPr>
              <w:spacing w:after="0"/>
              <w:rPr>
                <w:sz w:val="16"/>
                <w:szCs w:val="16"/>
                <w:color w:val="auto"/>
              </w:rPr>
            </w:pPr>
          </w:p>
        </w:tc>
        <w:tc>
          <w:tcPr>
            <w:tcW w:w="1140" w:type="dxa"/>
            <w:vAlign w:val="bottom"/>
            <w:tcBorders>
              <w:bottom w:val="single" w:sz="8" w:color="CCECFF"/>
            </w:tcBorders>
            <w:shd w:val="clear" w:color="auto" w:fill="CCECFF"/>
          </w:tcPr>
          <w:p>
            <w:pPr>
              <w:spacing w:after="0"/>
              <w:rPr>
                <w:sz w:val="16"/>
                <w:szCs w:val="16"/>
                <w:color w:val="auto"/>
              </w:rPr>
            </w:pPr>
          </w:p>
        </w:tc>
        <w:tc>
          <w:tcPr>
            <w:tcW w:w="1060" w:type="dxa"/>
            <w:vAlign w:val="bottom"/>
            <w:tcBorders>
              <w:bottom w:val="single" w:sz="8" w:color="CCECFF"/>
            </w:tcBorders>
            <w:shd w:val="clear" w:color="auto" w:fill="CCECFF"/>
          </w:tcPr>
          <w:p>
            <w:pPr>
              <w:spacing w:after="0"/>
              <w:rPr>
                <w:sz w:val="16"/>
                <w:szCs w:val="16"/>
                <w:color w:val="auto"/>
              </w:rPr>
            </w:pPr>
          </w:p>
        </w:tc>
        <w:tc>
          <w:tcPr>
            <w:tcW w:w="92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942,420</w:t>
            </w:r>
          </w:p>
        </w:tc>
        <w:tc>
          <w:tcPr>
            <w:tcW w:w="20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932,576</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3160" w:type="dxa"/>
            <w:vAlign w:val="bottom"/>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Liabilities in Excess of Other Assets — (1,436.4)%</w:t>
            </w:r>
          </w:p>
        </w:tc>
        <w:tc>
          <w:tcPr>
            <w:tcW w:w="8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40"/>
              <w:spacing w:after="0" w:line="112" w:lineRule="exact"/>
              <w:rPr>
                <w:sz w:val="20"/>
                <w:szCs w:val="20"/>
                <w:color w:val="auto"/>
              </w:rPr>
            </w:pPr>
            <w:r>
              <w:rPr>
                <w:rFonts w:ascii="Times New Roman" w:cs="Times New Roman" w:eastAsia="Times New Roman" w:hAnsi="Times New Roman"/>
                <w:sz w:val="10"/>
                <w:szCs w:val="10"/>
                <w:color w:val="auto"/>
              </w:rPr>
              <w:t>(871,877 )</w:t>
            </w:r>
          </w:p>
        </w:tc>
        <w:tc>
          <w:tcPr>
            <w:tcW w:w="0" w:type="dxa"/>
            <w:vAlign w:val="bottom"/>
          </w:tcPr>
          <w:p>
            <w:pPr>
              <w:spacing w:after="0"/>
              <w:rPr>
                <w:sz w:val="1"/>
                <w:szCs w:val="1"/>
                <w:color w:val="auto"/>
              </w:rPr>
            </w:pPr>
          </w:p>
        </w:tc>
      </w:tr>
      <w:tr>
        <w:trPr>
          <w:trHeight w:val="90"/>
        </w:trPr>
        <w:tc>
          <w:tcPr>
            <w:tcW w:w="3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6707505" cy="152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1524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34"/>
        </w:trPr>
        <w:tc>
          <w:tcPr>
            <w:tcW w:w="97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60,699</w:t>
            </w:r>
          </w:p>
        </w:tc>
      </w:tr>
      <w:tr>
        <w:trPr>
          <w:trHeight w:val="20"/>
        </w:trPr>
        <w:tc>
          <w:tcPr>
            <w:tcW w:w="9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All securities are subject to a SOFR or Prime rate floor where a spread is provided, unless noted. The spread provided includes PIK interest and other fee rates, if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54" w:name="page55"/>
    <w:bookmarkEnd w:id="54"/>
    <w:p>
      <w:pPr>
        <w:ind w:left="420"/>
        <w:spacing w:after="0"/>
        <w:rPr>
          <w:sz w:val="20"/>
          <w:szCs w:val="20"/>
          <w:color w:val="auto"/>
        </w:rPr>
      </w:pPr>
      <w:r>
        <w:rPr>
          <w:rFonts w:ascii="Times New Roman" w:cs="Times New Roman" w:eastAsia="Times New Roman" w:hAnsi="Times New Roman"/>
          <w:sz w:val="13"/>
          <w:szCs w:val="13"/>
          <w:color w:val="auto"/>
        </w:rPr>
        <w:t>Below is a listing of PSSL’s individual investments as of September 30, 2023 ($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Par</w:t>
            </w:r>
          </w:p>
        </w:tc>
        <w:tc>
          <w:tcPr>
            <w:tcW w:w="240" w:type="dxa"/>
            <w:vAlign w:val="bottom"/>
          </w:tcPr>
          <w:p>
            <w:pPr>
              <w:spacing w:after="0"/>
              <w:rPr>
                <w:sz w:val="12"/>
                <w:szCs w:val="12"/>
                <w:color w:val="auto"/>
              </w:rPr>
            </w:pPr>
          </w:p>
        </w:tc>
        <w:tc>
          <w:tcPr>
            <w:tcW w:w="60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160" w:type="dxa"/>
            <w:vAlign w:val="bottom"/>
          </w:tcPr>
          <w:p>
            <w:pPr>
              <w:spacing w:after="0"/>
              <w:rPr>
                <w:sz w:val="12"/>
                <w:szCs w:val="12"/>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3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First Lien Secured Debt - 1,347.5%</w:t>
            </w: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A1 Garage Merger Sub,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12/22/2028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2,940</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2,886</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2,925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Ad.net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5/7/2026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11.65 %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8,798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8,723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8,754</w:t>
            </w:r>
          </w:p>
        </w:tc>
        <w:tc>
          <w:tcPr>
            <w:tcW w:w="0" w:type="dxa"/>
            <w:vAlign w:val="bottom"/>
          </w:tcPr>
          <w:p>
            <w:pPr>
              <w:spacing w:after="0"/>
              <w:rPr>
                <w:sz w:val="1"/>
                <w:szCs w:val="1"/>
                <w:color w:val="auto"/>
              </w:rPr>
            </w:pPr>
          </w:p>
        </w:tc>
      </w:tr>
      <w:tr>
        <w:trPr>
          <w:trHeight w:val="140"/>
        </w:trPr>
        <w:tc>
          <w:tcPr>
            <w:tcW w:w="28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Alpine Acquisition Corp II</w:t>
            </w:r>
          </w:p>
        </w:tc>
        <w:tc>
          <w:tcPr>
            <w:tcW w:w="8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11/30/2026</w:t>
            </w:r>
          </w:p>
        </w:tc>
        <w:tc>
          <w:tcPr>
            <w:tcW w:w="24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7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12,852</w:t>
            </w:r>
          </w:p>
        </w:tc>
        <w:tc>
          <w:tcPr>
            <w:tcW w:w="24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12,535</w:t>
            </w:r>
          </w:p>
        </w:tc>
        <w:tc>
          <w:tcPr>
            <w:tcW w:w="16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12,338</w:t>
            </w:r>
          </w:p>
        </w:tc>
        <w:tc>
          <w:tcPr>
            <w:tcW w:w="0" w:type="dxa"/>
            <w:vAlign w:val="bottom"/>
          </w:tcPr>
          <w:p>
            <w:pPr>
              <w:spacing w:after="0"/>
              <w:rPr>
                <w:sz w:val="1"/>
                <w:szCs w:val="1"/>
                <w:color w:val="auto"/>
              </w:rPr>
            </w:pPr>
          </w:p>
        </w:tc>
      </w:tr>
      <w:tr>
        <w:trPr>
          <w:trHeight w:val="116"/>
        </w:trPr>
        <w:tc>
          <w:tcPr>
            <w:tcW w:w="2880" w:type="dxa"/>
            <w:vAlign w:val="bottom"/>
            <w:vMerge w:val="continue"/>
            <w:shd w:val="clear" w:color="auto" w:fill="CCECFF"/>
          </w:tcPr>
          <w:p>
            <w:pPr>
              <w:spacing w:after="0"/>
              <w:rPr>
                <w:sz w:val="10"/>
                <w:szCs w:val="10"/>
                <w:color w:val="auto"/>
              </w:rPr>
            </w:pPr>
          </w:p>
        </w:tc>
        <w:tc>
          <w:tcPr>
            <w:tcW w:w="840" w:type="dxa"/>
            <w:vAlign w:val="bottom"/>
            <w:vMerge w:val="continue"/>
            <w:shd w:val="clear" w:color="auto" w:fill="CCECFF"/>
          </w:tcPr>
          <w:p>
            <w:pPr>
              <w:spacing w:after="0"/>
              <w:rPr>
                <w:sz w:val="10"/>
                <w:szCs w:val="10"/>
                <w:color w:val="auto"/>
              </w:rPr>
            </w:pPr>
          </w:p>
        </w:tc>
        <w:tc>
          <w:tcPr>
            <w:tcW w:w="2460" w:type="dxa"/>
            <w:vAlign w:val="bottom"/>
            <w:vMerge w:val="continue"/>
            <w:shd w:val="clear" w:color="auto" w:fill="CCECFF"/>
          </w:tcPr>
          <w:p>
            <w:pPr>
              <w:spacing w:after="0"/>
              <w:rPr>
                <w:sz w:val="10"/>
                <w:szCs w:val="10"/>
                <w:color w:val="auto"/>
              </w:rPr>
            </w:pPr>
          </w:p>
        </w:tc>
        <w:tc>
          <w:tcPr>
            <w:tcW w:w="940" w:type="dxa"/>
            <w:vAlign w:val="bottom"/>
            <w:vMerge w:val="continue"/>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780" w:type="dxa"/>
            <w:vAlign w:val="bottom"/>
            <w:vMerge w:val="continue"/>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600" w:type="dxa"/>
            <w:vAlign w:val="bottom"/>
            <w:vMerge w:val="continue"/>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700" w:type="dxa"/>
            <w:vAlign w:val="bottom"/>
            <w:vMerge w:val="continue"/>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Anteriad, LLC (f/k/a MeritDirect,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5/23/2024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4,971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Anteriad Holdings Inc (fka MeritDirect) March 2023</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5/23/2024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Media: Advertising, Printing &amp; Publishing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4,875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4,814</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Any Hour Services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7/21/2027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7,510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7,348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10.52 %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1,002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B</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2,187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2,181</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Apex Service Partners, LLC Term Loan 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7/31/2025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11,013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10,972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10,985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9,579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9,475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9,387</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Applied Technical Services, LLC - DDTL Unfunded (3)</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12/29/2026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194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Arcfield Acquisition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8/3/2029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9,218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9,093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9,126</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Beta Plus Technologies,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7/1/2029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4,950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4,863</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4,604</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BioDerm,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8,978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8,874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Blackhawk Industrial Distribution,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9/17/2026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15,132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14,928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14,905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Broder Bros., Co.</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12/4/2025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SOFR+626</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2,349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Burgess Point Purchaser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9/26/2029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Automotive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418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By Light Professional IT Services,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5/16/2025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SOFR+688</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13,821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13,778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13,579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Cadence Aerospace,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11/14/2023</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12.07 %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4,011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4,011</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2.00%)</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Cartessa Aesthetics,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6/14/2028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11.39 %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9,636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9,509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9,636</w:t>
            </w:r>
          </w:p>
        </w:tc>
        <w:tc>
          <w:tcPr>
            <w:tcW w:w="0" w:type="dxa"/>
            <w:vAlign w:val="bottom"/>
          </w:tcPr>
          <w:p>
            <w:pPr>
              <w:spacing w:after="0"/>
              <w:rPr>
                <w:sz w:val="1"/>
                <w:szCs w:val="1"/>
                <w:color w:val="auto"/>
              </w:rPr>
            </w:pPr>
          </w:p>
        </w:tc>
      </w:tr>
      <w:tr>
        <w:trPr>
          <w:trHeight w:val="136"/>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CF512, Inc.</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8/20/2026</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11.60 %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SOFR+619</w:t>
            </w:r>
          </w:p>
        </w:tc>
        <w:tc>
          <w:tcPr>
            <w:tcW w:w="78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6,820</w:t>
            </w:r>
          </w:p>
        </w:tc>
        <w:tc>
          <w:tcPr>
            <w:tcW w:w="240" w:type="dxa"/>
            <w:vAlign w:val="bottom"/>
          </w:tcPr>
          <w:p>
            <w:pPr>
              <w:spacing w:after="0"/>
              <w:rPr>
                <w:sz w:val="11"/>
                <w:szCs w:val="11"/>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6,722</w:t>
            </w:r>
          </w:p>
        </w:tc>
        <w:tc>
          <w:tcPr>
            <w:tcW w:w="160" w:type="dxa"/>
            <w:vAlign w:val="bottom"/>
          </w:tcPr>
          <w:p>
            <w:pPr>
              <w:spacing w:after="0"/>
              <w:rPr>
                <w:sz w:val="11"/>
                <w:szCs w:val="11"/>
                <w:color w:val="auto"/>
              </w:rPr>
            </w:pPr>
          </w:p>
        </w:tc>
        <w:tc>
          <w:tcPr>
            <w:tcW w:w="70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6,684</w:t>
            </w:r>
          </w:p>
        </w:tc>
        <w:tc>
          <w:tcPr>
            <w:tcW w:w="0" w:type="dxa"/>
            <w:vAlign w:val="bottom"/>
          </w:tcPr>
          <w:p>
            <w:pPr>
              <w:spacing w:after="0"/>
              <w:rPr>
                <w:sz w:val="1"/>
                <w:szCs w:val="1"/>
                <w:color w:val="auto"/>
              </w:rPr>
            </w:pPr>
          </w:p>
        </w:tc>
      </w:tr>
      <w:tr>
        <w:trPr>
          <w:trHeight w:val="40"/>
        </w:trPr>
        <w:tc>
          <w:tcPr>
            <w:tcW w:w="28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24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CHA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4/10/2025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10.15 %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SOFR+476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5,499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5,455</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5,499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Challenger Performance Optimization,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8/31/2024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9,232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9,201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8,955</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1.00%)</w:t>
            </w:r>
          </w:p>
        </w:tc>
        <w:tc>
          <w:tcPr>
            <w:tcW w:w="9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Confluent Health,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10/28/2028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9.32 %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6,797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6,559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6,445</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Connatix Buyer,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7/13/2027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11.16 %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3,815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3,762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3,681</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Crane 1 Services,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8/16/2027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2,089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2,067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2,079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 Squatch,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14,712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14,511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14,712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DRI Holding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2,627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2,418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2,394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DRS Holdings III,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11/3/2025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14,429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14,376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14,256</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Duraco Specialty Tapes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Containers and Packaging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11.89 %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10,904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10,838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10,740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ECL Entertainment,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8/31/2030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10.07 %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5,000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4,900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4,985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EDS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1/10/2029</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8,955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8,833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8,821</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Electro Rent Corporation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1/17/2024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2,219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2,200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2,171</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Exigo Intermediate II,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3/15/2027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12,675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12,505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12,422</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ETE Intermediate II,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5/29/2029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12,404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12,154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12,193</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Fairbanks Morse Defense</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6/17/2028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10,195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10,143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10,114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Global Holdings InterCo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3/16/2026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11.96 %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3,736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3,724</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3,549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Graffiti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8/10/2027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Trading Companies &amp; Distributors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2,345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2,316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2,322</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Hancock Roofing and Construction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12/31/2026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2,250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2,217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2,194</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Holdco Sands Intermediate,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11/23/2028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4,913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4,838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4,913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HW Holdco,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12/10/2024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11.75 %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3,014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2,988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2,968</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Imagine Acquisitionco,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11/15/2027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9,248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9,075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9,110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Inception Fertility Ventures,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12/31/2024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12.51 %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16,453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16,257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16,453</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Infinity Home Services Holdco,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12/28/2028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Commercial Services &amp; Supplies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12.24 %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SOFR+685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6,090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5,979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6,090</w:t>
            </w:r>
          </w:p>
        </w:tc>
        <w:tc>
          <w:tcPr>
            <w:tcW w:w="0" w:type="dxa"/>
            <w:vAlign w:val="bottom"/>
          </w:tcPr>
          <w:p>
            <w:pPr>
              <w:spacing w:after="0"/>
              <w:rPr>
                <w:sz w:val="1"/>
                <w:szCs w:val="1"/>
                <w:color w:val="auto"/>
              </w:rPr>
            </w:pPr>
          </w:p>
        </w:tc>
      </w:tr>
      <w:tr>
        <w:trPr>
          <w:trHeight w:val="184"/>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Integrated Data Services</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8/1/2029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line="184" w:lineRule="exact"/>
              <w:rPr>
                <w:sz w:val="20"/>
                <w:szCs w:val="20"/>
                <w:color w:val="auto"/>
              </w:rPr>
            </w:pPr>
            <w:r>
              <w:rPr>
                <w:rFonts w:ascii="Times New Roman" w:cs="Times New Roman" w:eastAsia="Times New Roman" w:hAnsi="Times New Roman"/>
                <w:sz w:val="10"/>
                <w:szCs w:val="10"/>
                <w:color w:val="auto"/>
              </w:rPr>
              <w:t xml:space="preserve">11.87 </w:t>
            </w:r>
            <w:r>
              <w:rPr>
                <w:rFonts w:ascii="Times New Roman" w:cs="Times New Roman" w:eastAsia="Times New Roman" w:hAnsi="Times New Roman"/>
                <w:sz w:val="19"/>
                <w:szCs w:val="19"/>
                <w:color w:val="auto"/>
                <w:vertAlign w:val="superscript"/>
              </w:rPr>
              <w:t>%</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18,904</w:t>
            </w:r>
          </w:p>
        </w:tc>
        <w:tc>
          <w:tcPr>
            <w:tcW w:w="240" w:type="dxa"/>
            <w:vAlign w:val="bottom"/>
            <w:shd w:val="clear" w:color="auto" w:fill="CCECFF"/>
          </w:tcPr>
          <w:p>
            <w:pPr>
              <w:spacing w:after="0"/>
              <w:rPr>
                <w:sz w:val="16"/>
                <w:szCs w:val="16"/>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18,532</w:t>
            </w:r>
          </w:p>
        </w:tc>
        <w:tc>
          <w:tcPr>
            <w:tcW w:w="160" w:type="dxa"/>
            <w:vAlign w:val="bottom"/>
            <w:shd w:val="clear" w:color="auto" w:fill="CCECFF"/>
          </w:tcPr>
          <w:p>
            <w:pPr>
              <w:spacing w:after="0"/>
              <w:rPr>
                <w:sz w:val="16"/>
                <w:szCs w:val="16"/>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18,463</w:t>
            </w:r>
          </w:p>
        </w:tc>
        <w:tc>
          <w:tcPr>
            <w:tcW w:w="0" w:type="dxa"/>
            <w:vAlign w:val="bottom"/>
          </w:tcPr>
          <w:p>
            <w:pPr>
              <w:spacing w:after="0"/>
              <w:rPr>
                <w:sz w:val="1"/>
                <w:szCs w:val="1"/>
                <w:color w:val="auto"/>
              </w:rPr>
            </w:pPr>
          </w:p>
        </w:tc>
      </w:tr>
      <w:tr>
        <w:trPr>
          <w:trHeight w:val="13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Integrative Nutrition,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1/31/2025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11,105</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11,083</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10,439</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2.25%)</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Integrity Marketing Acquisition,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8/27/2026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5,906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5,851</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5,847</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Inventus Power,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6/30/2025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12.93 %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SOFR+761</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8,246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8,104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8,080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ITI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3/3/2028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11.06 %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3,940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3,886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3,861</w:t>
            </w:r>
          </w:p>
        </w:tc>
        <w:tc>
          <w:tcPr>
            <w:tcW w:w="0" w:type="dxa"/>
            <w:vAlign w:val="bottom"/>
          </w:tcPr>
          <w:p>
            <w:pPr>
              <w:spacing w:after="0"/>
              <w:rPr>
                <w:sz w:val="1"/>
                <w:szCs w:val="1"/>
                <w:color w:val="auto"/>
              </w:rPr>
            </w:pPr>
          </w:p>
        </w:tc>
      </w:tr>
      <w:tr>
        <w:trPr>
          <w:trHeight w:val="136"/>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K2 Pure Solutions NoCal, L.P.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2"/>
              </w:rPr>
              <w:t>12/20/2023</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13.42 %</w:t>
            </w: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SOFR+810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15,509</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15,487</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15,509</w:t>
            </w:r>
          </w:p>
        </w:tc>
        <w:tc>
          <w:tcPr>
            <w:tcW w:w="0" w:type="dxa"/>
            <w:vAlign w:val="bottom"/>
          </w:tcPr>
          <w:p>
            <w:pPr>
              <w:spacing w:after="0"/>
              <w:rPr>
                <w:sz w:val="1"/>
                <w:szCs w:val="1"/>
                <w:color w:val="auto"/>
              </w:rPr>
            </w:pPr>
          </w:p>
        </w:tc>
      </w:tr>
      <w:tr>
        <w:trPr>
          <w:trHeight w:val="112"/>
        </w:trPr>
        <w:tc>
          <w:tcPr>
            <w:tcW w:w="2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Kinetic Purchaser,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11/10/2027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16,662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16,346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16,412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Lash OpCo,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2/18/2027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Personal Products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12.13 %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14,210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13,989</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14,068</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LAV Gear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10/31/2024</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SOFR+643</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15,042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14,997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14,862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Lightspeed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2/3/2026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12,056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11,911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11,935</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LJ Avalon Holdings,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1/31/2030</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Environmental Industries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11.77 %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2,585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2,534</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Loving Tan Intermediate II,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5/26/2028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Consumer Products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7,481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7,337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7,369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Lucky Bucks, LLC (4)</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7/20/2027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96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4,489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4,207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1,182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Lucky Bucks. LLC - OpCo DIP Loans</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Hotel, Gaming and Leisure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15.33 %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SOFR+1000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158</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MAG DS Corp</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4/1/2027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2,097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2,007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1,986</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Magenta Buyer,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7/31/2028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Software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10.63 %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2,845</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2,228</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Term Loan</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647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33"/>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Marketplace Events, LLC - Super Priority First Lien Unfunded Term</w:t>
            </w: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Loan (3)</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9/30/2025</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589</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Marketplace Events,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9/30/2026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4,837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3,782</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4,837</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Mars Acquisition Holdings Corp.</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5/14/2026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Media</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11,588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11,472</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MBS Holdings,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4/16/2027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Internet Software and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7,859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7,758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7,749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MDI Buyer,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7/25/2028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11.32 %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6,380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6,271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6,244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Meadowlark Acquirer,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12/10/2027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2,372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2,336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2,312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Mission Critical Electronics,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3/28/2024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Capital Equipment</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SOFR+515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5,769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5,763</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5,740</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Municipal Emergency Services,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9/28/2027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Distributors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3,430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3,380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3,355</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NBH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8/19/2026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Education &amp; Childcare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10,711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10,497</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Neptune Flood Incorporated</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5/9/2029</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Insurance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11.97 %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5,042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4,970</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5,042</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New Milani Group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6/6/2024</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10.92 %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14,213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14,194</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14,213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One Stop Mailing,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5/7/2027</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11.68 %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SOFR+636</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15,849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15,588</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15,849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ORL Acquisitions,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Finance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12.84 %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SOFR+725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2,223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2,202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2,023</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Output Services Group, Inc. </w:t>
            </w:r>
            <w:r>
              <w:rPr>
                <w:rFonts w:ascii="Times New Roman" w:cs="Times New Roman" w:eastAsia="Times New Roman" w:hAnsi="Times New Roman"/>
                <w:sz w:val="12"/>
                <w:szCs w:val="12"/>
                <w:color w:val="auto"/>
                <w:vertAlign w:val="superscript"/>
              </w:rPr>
              <w:t>(4)</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6/27/2026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0.00 %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7,759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7,689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1,513</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Owl Acquisition,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2/4/2028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10.80 %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3,893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3,832</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3,834</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Ox Two,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5/18/2026</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SOFR+751</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4,345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4,306</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4,269</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Peaquod Merger Sub,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12/2/2026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Financial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SOFR+640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11,474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11,267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11,244</w:t>
            </w:r>
          </w:p>
        </w:tc>
        <w:tc>
          <w:tcPr>
            <w:tcW w:w="0" w:type="dxa"/>
            <w:vAlign w:val="bottom"/>
          </w:tcPr>
          <w:p>
            <w:pPr>
              <w:spacing w:after="0"/>
              <w:rPr>
                <w:sz w:val="1"/>
                <w:szCs w:val="1"/>
                <w:color w:val="auto"/>
              </w:rPr>
            </w:pPr>
          </w:p>
        </w:tc>
      </w:tr>
      <w:tr>
        <w:trPr>
          <w:trHeight w:val="113"/>
        </w:trPr>
        <w:tc>
          <w:tcPr>
            <w:tcW w:w="28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PH Beauty Holdings III, Inc.</w:t>
            </w:r>
          </w:p>
        </w:tc>
        <w:tc>
          <w:tcPr>
            <w:tcW w:w="84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3"/>
              </w:rPr>
              <w:t>9/29/2025</w:t>
            </w:r>
          </w:p>
        </w:tc>
        <w:tc>
          <w:tcPr>
            <w:tcW w:w="246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780" w:type="dxa"/>
            <w:vAlign w:val="bottom"/>
            <w:vMerge w:val="restart"/>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9,493</w:t>
            </w:r>
          </w:p>
        </w:tc>
        <w:tc>
          <w:tcPr>
            <w:tcW w:w="240" w:type="dxa"/>
            <w:vAlign w:val="bottom"/>
            <w:shd w:val="clear" w:color="auto" w:fill="CCECFF"/>
          </w:tcPr>
          <w:p>
            <w:pPr>
              <w:spacing w:after="0"/>
              <w:rPr>
                <w:sz w:val="9"/>
                <w:szCs w:val="9"/>
                <w:color w:val="auto"/>
              </w:rPr>
            </w:pPr>
          </w:p>
        </w:tc>
        <w:tc>
          <w:tcPr>
            <w:tcW w:w="6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9,282</w:t>
            </w:r>
          </w:p>
        </w:tc>
        <w:tc>
          <w:tcPr>
            <w:tcW w:w="160" w:type="dxa"/>
            <w:vAlign w:val="bottom"/>
            <w:shd w:val="clear" w:color="auto" w:fill="CCECFF"/>
          </w:tcPr>
          <w:p>
            <w:pPr>
              <w:spacing w:after="0"/>
              <w:rPr>
                <w:sz w:val="9"/>
                <w:szCs w:val="9"/>
                <w:color w:val="auto"/>
              </w:rPr>
            </w:pPr>
          </w:p>
        </w:tc>
        <w:tc>
          <w:tcPr>
            <w:tcW w:w="70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7,974</w:t>
            </w:r>
          </w:p>
        </w:tc>
        <w:tc>
          <w:tcPr>
            <w:tcW w:w="0" w:type="dxa"/>
            <w:vAlign w:val="bottom"/>
          </w:tcPr>
          <w:p>
            <w:pPr>
              <w:spacing w:after="0"/>
              <w:rPr>
                <w:sz w:val="1"/>
                <w:szCs w:val="1"/>
                <w:color w:val="auto"/>
              </w:rPr>
            </w:pPr>
          </w:p>
        </w:tc>
      </w:tr>
      <w:tr>
        <w:trPr>
          <w:trHeight w:val="132"/>
        </w:trPr>
        <w:tc>
          <w:tcPr>
            <w:tcW w:w="2880" w:type="dxa"/>
            <w:vAlign w:val="bottom"/>
            <w:vMerge w:val="continue"/>
            <w:shd w:val="clear" w:color="auto" w:fill="CCECFF"/>
          </w:tcPr>
          <w:p>
            <w:pPr>
              <w:spacing w:after="0"/>
              <w:rPr>
                <w:sz w:val="11"/>
                <w:szCs w:val="11"/>
                <w:color w:val="auto"/>
              </w:rPr>
            </w:pPr>
          </w:p>
        </w:tc>
        <w:tc>
          <w:tcPr>
            <w:tcW w:w="840" w:type="dxa"/>
            <w:vAlign w:val="bottom"/>
            <w:vMerge w:val="continue"/>
            <w:shd w:val="clear" w:color="auto" w:fill="CCECFF"/>
          </w:tcPr>
          <w:p>
            <w:pPr>
              <w:spacing w:after="0"/>
              <w:rPr>
                <w:sz w:val="11"/>
                <w:szCs w:val="11"/>
                <w:color w:val="auto"/>
              </w:rPr>
            </w:pPr>
          </w:p>
        </w:tc>
        <w:tc>
          <w:tcPr>
            <w:tcW w:w="2460" w:type="dxa"/>
            <w:vAlign w:val="bottom"/>
            <w:vMerge w:val="continue"/>
            <w:shd w:val="clear" w:color="auto" w:fill="CCECFF"/>
          </w:tcPr>
          <w:p>
            <w:pPr>
              <w:spacing w:after="0"/>
              <w:rPr>
                <w:sz w:val="11"/>
                <w:szCs w:val="11"/>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10.68</w:t>
            </w:r>
          </w:p>
        </w:tc>
        <w:tc>
          <w:tcPr>
            <w:tcW w:w="960" w:type="dxa"/>
            <w:vAlign w:val="bottom"/>
            <w:vMerge w:val="continue"/>
            <w:shd w:val="clear" w:color="auto" w:fill="CCECFF"/>
          </w:tcPr>
          <w:p>
            <w:pPr>
              <w:spacing w:after="0"/>
              <w:rPr>
                <w:sz w:val="11"/>
                <w:szCs w:val="11"/>
                <w:color w:val="auto"/>
              </w:rPr>
            </w:pPr>
          </w:p>
        </w:tc>
        <w:tc>
          <w:tcPr>
            <w:tcW w:w="780" w:type="dxa"/>
            <w:vAlign w:val="bottom"/>
            <w:vMerge w:val="continue"/>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0" w:type="dxa"/>
            <w:vAlign w:val="bottom"/>
            <w:vMerge w:val="continue"/>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00" w:type="dxa"/>
            <w:vAlign w:val="bottom"/>
            <w:vMerge w:val="continue"/>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 Acquisitionco,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11/9/2027</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Textiles, Apparel and Luxury Goods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12.42 %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SOFR+710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7,565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7,467</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6,809</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60" w:type="dxa"/>
            <w:vAlign w:val="bottom"/>
            <w:shd w:val="clear" w:color="auto" w:fill="CCECFF"/>
          </w:tcPr>
          <w:p>
            <w:pPr>
              <w:spacing w:after="0"/>
              <w:rPr>
                <w:sz w:val="12"/>
                <w:szCs w:val="12"/>
                <w:color w:val="auto"/>
              </w:rPr>
            </w:pP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(PIK 4.00%)</w:t>
            </w:r>
          </w:p>
        </w:tc>
        <w:tc>
          <w:tcPr>
            <w:tcW w:w="9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PlayPower, Inc.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5/8/2026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Consumer Goods: Durable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10.57 %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2,551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2,491</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2,436</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Pragmatic Institute, LLC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7/6/2028</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8"/>
              </w:rPr>
              <w:t>Education</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11.17 %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SOFR+575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11,138</w:t>
            </w:r>
          </w:p>
        </w:tc>
        <w:tc>
          <w:tcPr>
            <w:tcW w:w="240" w:type="dxa"/>
            <w:vAlign w:val="bottom"/>
            <w:shd w:val="clear" w:color="auto" w:fill="CCEC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10,999</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10,636</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Quantic Electronics,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11/19/2026</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2,803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2,776</w:t>
            </w:r>
          </w:p>
        </w:tc>
        <w:tc>
          <w:tcPr>
            <w:tcW w:w="160" w:type="dxa"/>
            <w:vAlign w:val="bottom"/>
          </w:tcPr>
          <w:p>
            <w:pPr>
              <w:spacing w:after="0"/>
              <w:rPr>
                <w:sz w:val="12"/>
                <w:szCs w:val="12"/>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2,761</w:t>
            </w: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Rancho Health MSO, Inc.</w:t>
            </w:r>
          </w:p>
        </w:tc>
        <w:tc>
          <w:tcPr>
            <w:tcW w:w="8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12/18/2025</w:t>
            </w:r>
          </w:p>
        </w:tc>
        <w:tc>
          <w:tcPr>
            <w:tcW w:w="2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Providers and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11.22 %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SOFR+585</w:t>
            </w:r>
          </w:p>
        </w:tc>
        <w:tc>
          <w:tcPr>
            <w:tcW w:w="780" w:type="dxa"/>
            <w:vAlign w:val="bottom"/>
            <w:shd w:val="clear" w:color="auto" w:fill="CCECFF"/>
          </w:tcPr>
          <w:p>
            <w:pPr>
              <w:jc w:val="right"/>
              <w:ind w:right="72"/>
              <w:spacing w:after="0"/>
              <w:rPr>
                <w:sz w:val="20"/>
                <w:szCs w:val="20"/>
                <w:color w:val="auto"/>
              </w:rPr>
            </w:pPr>
            <w:r>
              <w:rPr>
                <w:rFonts w:ascii="Times New Roman" w:cs="Times New Roman" w:eastAsia="Times New Roman" w:hAnsi="Times New Roman"/>
                <w:sz w:val="10"/>
                <w:szCs w:val="10"/>
                <w:color w:val="auto"/>
              </w:rPr>
              <w:t>1,029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1,029</w:t>
            </w: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1,029</w:t>
            </w:r>
          </w:p>
        </w:tc>
        <w:tc>
          <w:tcPr>
            <w:tcW w:w="0" w:type="dxa"/>
            <w:vAlign w:val="bottom"/>
          </w:tcPr>
          <w:p>
            <w:pPr>
              <w:spacing w:after="0"/>
              <w:rPr>
                <w:sz w:val="1"/>
                <w:szCs w:val="1"/>
                <w:color w:val="auto"/>
              </w:rPr>
            </w:pPr>
          </w:p>
        </w:tc>
      </w:tr>
      <w:tr>
        <w:trPr>
          <w:trHeight w:val="13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Reception Purchaser, LLC</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3"/>
              </w:rPr>
              <w:t>2/28/2028</w:t>
            </w:r>
          </w:p>
        </w:tc>
        <w:tc>
          <w:tcPr>
            <w:tcW w:w="24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Air Freight and Logistics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7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4,938</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4,876</w:t>
            </w:r>
          </w:p>
        </w:tc>
        <w:tc>
          <w:tcPr>
            <w:tcW w:w="16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4,740</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10560"/>
          </w:cols>
          <w:pgMar w:left="660" w:top="1290" w:right="680" w:bottom="609"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3290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27940"/>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6" w:name="page57"/>
    <w:bookmarkEnd w:id="56"/>
    <w:tbl>
      <w:tblPr>
        <w:tblLayout w:type="fixed"/>
        <w:tblInd w:w="6" w:type="dxa"/>
        <w:tblCellMar>
          <w:top w:w="0" w:type="dxa"/>
          <w:left w:w="0" w:type="dxa"/>
          <w:bottom w:w="0" w:type="dxa"/>
          <w:right w:w="0" w:type="dxa"/>
        </w:tblCellMar>
      </w:tblP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Basis Point</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Current</w:t>
            </w:r>
          </w:p>
        </w:tc>
        <w:tc>
          <w:tcPr>
            <w:tcW w:w="96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Spread Above</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Issuer Name</w:t>
            </w:r>
          </w:p>
        </w:tc>
        <w:tc>
          <w:tcPr>
            <w:tcW w:w="88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Industry</w:t>
            </w: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Coupon</w:t>
            </w:r>
          </w:p>
        </w:tc>
        <w:tc>
          <w:tcPr>
            <w:tcW w:w="960" w:type="dxa"/>
            <w:vAlign w:val="bottom"/>
          </w:tcPr>
          <w:p>
            <w:pPr>
              <w:jc w:val="center"/>
              <w:ind w:right="172"/>
              <w:spacing w:after="0" w:line="134" w:lineRule="exact"/>
              <w:rPr>
                <w:sz w:val="20"/>
                <w:szCs w:val="20"/>
                <w:color w:val="auto"/>
              </w:rPr>
            </w:pPr>
            <w:r>
              <w:rPr>
                <w:rFonts w:ascii="Times New Roman" w:cs="Times New Roman" w:eastAsia="Times New Roman" w:hAnsi="Times New Roman"/>
                <w:sz w:val="10"/>
                <w:szCs w:val="10"/>
                <w:b w:val="1"/>
                <w:bCs w:val="1"/>
                <w:color w:val="auto"/>
                <w:w w:val="93"/>
              </w:rPr>
              <w:t xml:space="preserve">Index </w:t>
            </w:r>
            <w:r>
              <w:rPr>
                <w:rFonts w:ascii="Times New Roman" w:cs="Times New Roman" w:eastAsia="Times New Roman" w:hAnsi="Times New Roman"/>
                <w:sz w:val="12"/>
                <w:szCs w:val="12"/>
                <w:b w:val="1"/>
                <w:bCs w:val="1"/>
                <w:color w:val="auto"/>
                <w:w w:val="93"/>
                <w:vertAlign w:val="superscript"/>
              </w:rPr>
              <w:t>(1)</w:t>
            </w: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Par</w:t>
            </w: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Cost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0"/>
                <w:szCs w:val="10"/>
                <w:b w:val="1"/>
                <w:bCs w:val="1"/>
                <w:color w:val="auto"/>
                <w:w w:val="90"/>
              </w:rPr>
              <w:t xml:space="preserve">Fair Value </w:t>
            </w:r>
            <w:r>
              <w:rPr>
                <w:rFonts w:ascii="Times New Roman" w:cs="Times New Roman" w:eastAsia="Times New Roman" w:hAnsi="Times New Roman"/>
                <w:sz w:val="12"/>
                <w:szCs w:val="12"/>
                <w:b w:val="1"/>
                <w:bCs w:val="1"/>
                <w:color w:val="auto"/>
                <w:w w:val="90"/>
                <w:vertAlign w:val="superscript"/>
              </w:rPr>
              <w:t>(2)</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Recteq,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1/29/2026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Leisure Products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4,875</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4,825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4,729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Research Now Group, LLC and Dynata,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12/20/2024</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11.13 %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SOFR+576</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12,432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12,322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Rural Sourcing Holdings, Inc. (HPA SPQ Merger Sub,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High Tech Industries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 xml:space="preserve">11.52 </w:t>
            </w:r>
            <w:r>
              <w:rPr>
                <w:rFonts w:ascii="Times New Roman" w:cs="Times New Roman" w:eastAsia="Times New Roman" w:hAnsi="Times New Roman"/>
                <w:sz w:val="19"/>
                <w:szCs w:val="19"/>
                <w:color w:val="auto"/>
                <w:vertAlign w:val="superscript"/>
              </w:rPr>
              <w:t>%</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3,749</w:t>
            </w:r>
          </w:p>
        </w:tc>
        <w:tc>
          <w:tcPr>
            <w:tcW w:w="140" w:type="dxa"/>
            <w:vAlign w:val="bottom"/>
            <w:shd w:val="clear" w:color="auto" w:fill="CCECFF"/>
          </w:tcPr>
          <w:p>
            <w:pPr>
              <w:spacing w:after="0"/>
              <w:rPr>
                <w:sz w:val="20"/>
                <w:szCs w:val="20"/>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200" w:type="dxa"/>
            <w:vAlign w:val="bottom"/>
            <w:shd w:val="clear" w:color="auto" w:fill="CCECFF"/>
          </w:tcPr>
          <w:p>
            <w:pPr>
              <w:spacing w:after="0"/>
              <w:rPr>
                <w:sz w:val="20"/>
                <w:szCs w:val="20"/>
                <w:color w:val="auto"/>
              </w:rPr>
            </w:pPr>
          </w:p>
        </w:tc>
        <w:tc>
          <w:tcPr>
            <w:tcW w:w="6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3,692</w:t>
            </w: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Sales Benchmark Index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1/3/2025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11.59 %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SOFR+620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9,522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9,474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Sargent &amp; Greenleaf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12/20/2024</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12.92 %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SOFR+760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5,167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5,148</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5,116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1.00%)</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Schlesinger Global,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7/14/2025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12.52 %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SOFR+715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11,791</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11,777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11,407</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(PIK 0.50%)</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Seaway Buyer,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6/13/2029</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Chemicals, Plastics and Rubber</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11.54 %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SOFR+615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4,950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4,884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4,802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Sigma Defense Systems,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12/18/2025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SOFR+865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13,787</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13,579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Skopima Consilio Parent,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5/17/2028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9.93 %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1,300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1,274</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1,272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Smile Brands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10/14/2025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9.70 %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SOFR+450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11,796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11,739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Solutionreach, Inc.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7/17/2025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12.37 %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4,582</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4,563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Spendmend Holdings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Healthcare Technology</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4,112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STV Group Incorporated</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12/11/2026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Building</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10.67</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9,075</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9,025</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8,894</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Summit Behavioral Healthcare,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10.43 %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SOFR+475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1,786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System Planning and Analysis, Inc. (f/k/a Management Consulting &amp;</w:t>
            </w:r>
          </w:p>
        </w:tc>
        <w:tc>
          <w:tcPr>
            <w:tcW w:w="880" w:type="dxa"/>
            <w:vAlign w:val="bottom"/>
            <w:shd w:val="clear" w:color="auto" w:fill="CCECFF"/>
          </w:tcPr>
          <w:p>
            <w:pPr>
              <w:spacing w:after="0"/>
              <w:rPr>
                <w:sz w:val="11"/>
                <w:szCs w:val="11"/>
                <w:color w:val="auto"/>
              </w:rPr>
            </w:pPr>
          </w:p>
        </w:tc>
        <w:tc>
          <w:tcPr>
            <w:tcW w:w="24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Research,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8/16/2027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11.49 %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14,738</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14,540</w:t>
            </w:r>
          </w:p>
        </w:tc>
        <w:tc>
          <w:tcPr>
            <w:tcW w:w="2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14,575</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Team Services Group,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11/24/2028</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10.75 %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SOFR+500</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346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Teneo Holdings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7/18/2025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Business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10.67 %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SOFR+535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2,262</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2,259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Aegis Technologies Group,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2"/>
              </w:rPr>
              <w:t>10/31/2025</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Aerospace and Defense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12.04 %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5,602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The Bluebird Group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7/27/2026</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Professional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12.79 %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SOFR+700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5,403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5,336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5,382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The Vertex Companies, LLC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8/31/2027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Construction and Engineering</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11.72 %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7,716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7,591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TPC Canada Parent, Inc. and TPC US Parent,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2"/>
              </w:rPr>
              <w:t>11/24/2025</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7"/>
              </w:rPr>
              <w:t>Consumer Goods: Non-Durable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10.95 %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SOFR+565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8,654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8,556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8,654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TWS Acquisition Corporation</w:t>
            </w:r>
          </w:p>
        </w:tc>
        <w:tc>
          <w:tcPr>
            <w:tcW w:w="8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3"/>
              </w:rPr>
              <w:t>6/16/2025</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Diversified Consumer Services</w:t>
            </w:r>
          </w:p>
        </w:tc>
        <w:tc>
          <w:tcPr>
            <w:tcW w:w="94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11.80 %</w:t>
            </w:r>
          </w:p>
        </w:tc>
        <w:tc>
          <w:tcPr>
            <w:tcW w:w="96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color w:val="auto"/>
              </w:rPr>
              <w:t>SOFR+625</w:t>
            </w:r>
          </w:p>
        </w:tc>
        <w:tc>
          <w:tcPr>
            <w:tcW w:w="8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4,316</w:t>
            </w:r>
          </w:p>
        </w:tc>
        <w:tc>
          <w:tcPr>
            <w:tcW w:w="1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4,310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4,316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Tyto Athene,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4/1/2028</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5"/>
              </w:rPr>
              <w:t>IT Services</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10.90 %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SOFR+550</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14,670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14,565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13,379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Urology Management Holdings,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6/15/2026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Healthcare and Pharmaceuticals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11.79 %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SOFR+665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6,892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12.18 %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SOFR+685</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3,521</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3,521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Company LLC - Junior Revolving Credit</w:t>
            </w:r>
          </w:p>
        </w:tc>
        <w:tc>
          <w:tcPr>
            <w:tcW w:w="8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Facility</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11.68 %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SOFR+635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1,667</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 xml:space="preserve">Walker Edison Furniture Company LLC - DDTL - Unfunded </w:t>
            </w:r>
            <w:r>
              <w:rPr>
                <w:rFonts w:ascii="Times New Roman" w:cs="Times New Roman" w:eastAsia="Times New Roman" w:hAnsi="Times New Roman"/>
                <w:sz w:val="12"/>
                <w:szCs w:val="12"/>
                <w:color w:val="auto"/>
                <w:vertAlign w:val="superscript"/>
              </w:rPr>
              <w:t>(3)</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3"/>
              </w:rPr>
              <w:t>3/31/2027</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333</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Wildcat Buyerco, Inc.</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color w:val="auto"/>
                <w:w w:val="93"/>
              </w:rPr>
              <w:t>2/27/2026</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Electronic Equipment, Instruments, and Components</w:t>
            </w: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10.54 %</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SOFR+515</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10,565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10,491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Zips Car Wash, LLC</w:t>
            </w:r>
          </w:p>
        </w:tc>
        <w:tc>
          <w:tcPr>
            <w:tcW w:w="880" w:type="dxa"/>
            <w:vAlign w:val="bottom"/>
            <w:shd w:val="clear" w:color="auto" w:fill="CCECFF"/>
          </w:tcPr>
          <w:p>
            <w:pPr>
              <w:jc w:val="center"/>
              <w:ind w:right="12"/>
              <w:spacing w:after="0"/>
              <w:rPr>
                <w:sz w:val="20"/>
                <w:szCs w:val="20"/>
                <w:color w:val="auto"/>
              </w:rPr>
            </w:pPr>
            <w:r>
              <w:rPr>
                <w:rFonts w:ascii="Times New Roman" w:cs="Times New Roman" w:eastAsia="Times New Roman" w:hAnsi="Times New Roman"/>
                <w:sz w:val="10"/>
                <w:szCs w:val="10"/>
                <w:color w:val="auto"/>
                <w:w w:val="95"/>
              </w:rPr>
              <w:t>3/1/2024</w:t>
            </w:r>
          </w:p>
        </w:tc>
        <w:tc>
          <w:tcPr>
            <w:tcW w:w="242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2"/>
              </w:rPr>
              <w:t>Automobiles</w:t>
            </w:r>
          </w:p>
        </w:tc>
        <w:tc>
          <w:tcPr>
            <w:tcW w:w="940" w:type="dxa"/>
            <w:vAlign w:val="bottom"/>
            <w:vMerge w:val="restart"/>
            <w:shd w:val="clear" w:color="auto" w:fill="CCECFF"/>
          </w:tcPr>
          <w:p>
            <w:pPr>
              <w:jc w:val="right"/>
              <w:ind w:right="52"/>
              <w:spacing w:after="0"/>
              <w:rPr>
                <w:sz w:val="20"/>
                <w:szCs w:val="20"/>
                <w:color w:val="auto"/>
              </w:rPr>
            </w:pPr>
            <w:r>
              <w:rPr>
                <w:rFonts w:ascii="Times New Roman" w:cs="Times New Roman" w:eastAsia="Times New Roman" w:hAnsi="Times New Roman"/>
                <w:sz w:val="10"/>
                <w:szCs w:val="10"/>
                <w:color w:val="auto"/>
              </w:rPr>
              <w:t>12.67 %</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SOFR+735</w:t>
            </w:r>
          </w:p>
        </w:tc>
        <w:tc>
          <w:tcPr>
            <w:tcW w:w="880" w:type="dxa"/>
            <w:vAlign w:val="bottom"/>
            <w:vMerge w:val="restart"/>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16,732</w:t>
            </w:r>
          </w:p>
        </w:tc>
        <w:tc>
          <w:tcPr>
            <w:tcW w:w="140" w:type="dxa"/>
            <w:vAlign w:val="bottom"/>
            <w:shd w:val="clear" w:color="auto" w:fill="CCECFF"/>
          </w:tcPr>
          <w:p>
            <w:pPr>
              <w:spacing w:after="0"/>
              <w:rPr>
                <w:sz w:val="12"/>
                <w:szCs w:val="12"/>
                <w:color w:val="auto"/>
              </w:rPr>
            </w:pPr>
          </w:p>
        </w:tc>
        <w:tc>
          <w:tcPr>
            <w:tcW w:w="5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16,660</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16,188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880" w:type="dxa"/>
            <w:vAlign w:val="bottom"/>
            <w:vMerge w:val="continue"/>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2420" w:type="dxa"/>
            <w:vAlign w:val="bottom"/>
            <w:vMerge w:val="continue"/>
            <w:shd w:val="clear" w:color="auto" w:fill="CCECFF"/>
          </w:tcPr>
          <w:p>
            <w:pPr>
              <w:spacing w:after="0"/>
              <w:rPr>
                <w:sz w:val="9"/>
                <w:szCs w:val="9"/>
                <w:color w:val="auto"/>
              </w:rPr>
            </w:pPr>
          </w:p>
        </w:tc>
        <w:tc>
          <w:tcPr>
            <w:tcW w:w="940" w:type="dxa"/>
            <w:vAlign w:val="bottom"/>
            <w:vMerge w:val="continue"/>
            <w:shd w:val="clear" w:color="auto" w:fill="CCECFF"/>
          </w:tcPr>
          <w:p>
            <w:pPr>
              <w:spacing w:after="0"/>
              <w:rPr>
                <w:sz w:val="9"/>
                <w:szCs w:val="9"/>
                <w:color w:val="auto"/>
              </w:rPr>
            </w:pPr>
          </w:p>
        </w:tc>
        <w:tc>
          <w:tcPr>
            <w:tcW w:w="960" w:type="dxa"/>
            <w:vAlign w:val="bottom"/>
            <w:shd w:val="clear" w:color="auto" w:fill="CCECFF"/>
          </w:tcPr>
          <w:p>
            <w:pPr>
              <w:spacing w:after="0"/>
              <w:rPr>
                <w:sz w:val="9"/>
                <w:szCs w:val="9"/>
                <w:color w:val="auto"/>
              </w:rPr>
            </w:pPr>
          </w:p>
        </w:tc>
        <w:tc>
          <w:tcPr>
            <w:tcW w:w="880" w:type="dxa"/>
            <w:vAlign w:val="bottom"/>
            <w:vMerge w:val="continue"/>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500" w:type="dxa"/>
            <w:vAlign w:val="bottom"/>
            <w:vMerge w:val="continue"/>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620" w:type="dxa"/>
            <w:vAlign w:val="bottom"/>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First Lien Secured Debt</w:t>
            </w:r>
          </w:p>
        </w:tc>
        <w:tc>
          <w:tcPr>
            <w:tcW w:w="8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801,215</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783,598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Equity Securities - 3.9%</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color w:val="auto"/>
              </w:rPr>
              <w:t>New MPE Holdings, LLC</w:t>
            </w:r>
          </w:p>
        </w:tc>
        <w:tc>
          <w:tcPr>
            <w:tcW w:w="880" w:type="dxa"/>
            <w:vAlign w:val="bottom"/>
            <w:shd w:val="clear" w:color="auto" w:fill="CCEC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0"/>
                <w:szCs w:val="10"/>
                <w:color w:val="auto"/>
                <w:w w:val="94"/>
              </w:rPr>
              <w:t>Media: Diversified and Production</w:t>
            </w:r>
          </w:p>
        </w:tc>
        <w:tc>
          <w:tcPr>
            <w:tcW w:w="940" w:type="dxa"/>
            <w:vAlign w:val="bottom"/>
            <w:shd w:val="clear" w:color="auto" w:fill="CCEC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C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495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Walker Edison Furniture - Common Equity</w:t>
            </w:r>
          </w:p>
        </w:tc>
        <w:tc>
          <w:tcPr>
            <w:tcW w:w="8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2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Wholesale</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Equity Securities</w:t>
            </w:r>
          </w:p>
        </w:tc>
        <w:tc>
          <w:tcPr>
            <w:tcW w:w="8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3,393</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2,261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- 1,351.4%</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804,608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785,859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Cash and Cash Equivalents - 133.2%</w:t>
            </w:r>
          </w:p>
        </w:tc>
        <w:tc>
          <w:tcPr>
            <w:tcW w:w="8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BlackRock Federal FD Institutional 30</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Total Cash and Cash Equivalents</w:t>
            </w:r>
          </w:p>
        </w:tc>
        <w:tc>
          <w:tcPr>
            <w:tcW w:w="88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2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0"/>
                <w:szCs w:val="10"/>
                <w:color w:val="auto"/>
              </w:rPr>
              <w:t>77,446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Cash Equivalents —1,484.6%</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882,054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863,305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in Excess of Other Assets — (1,384.6)%</w:t>
            </w:r>
          </w:p>
        </w:tc>
        <w:tc>
          <w:tcPr>
            <w:tcW w:w="880" w:type="dxa"/>
            <w:vAlign w:val="bottom"/>
            <w:shd w:val="clear" w:color="auto" w:fill="CCECFF"/>
          </w:tcPr>
          <w:p>
            <w:pPr>
              <w:spacing w:after="0"/>
              <w:rPr>
                <w:sz w:val="10"/>
                <w:szCs w:val="10"/>
                <w:color w:val="auto"/>
              </w:rPr>
            </w:pPr>
          </w:p>
        </w:tc>
        <w:tc>
          <w:tcPr>
            <w:tcW w:w="242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0"/>
                <w:szCs w:val="10"/>
                <w:color w:val="auto"/>
              </w:rPr>
              <w:t>(805,155 )</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Members' Equity—100.0%</w:t>
            </w: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58,150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6" w:right="120"/>
        <w:spacing w:after="0" w:line="243"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9"/>
          <w:szCs w:val="9"/>
          <w:color w:val="auto"/>
        </w:rPr>
        <w:t>Represents floating rate instruments that accrue interest at a predetermined spread relative to an index, typically the applicable Secured Overnight Financing Rate or "SOFR", or Prime rate or “P”. The spread may change based on the type of rate used. The terms in the Consolidated Schedule of Investments disclose the actual interest rate in effect as of the reporting period. All securities are subject to a SOFR or Prime rate floor where a spread is provided, unless noted. The spread provided includes PIK interest and other fee rates, if any.</w:t>
      </w:r>
    </w:p>
    <w:p>
      <w:pPr>
        <w:ind w:left="6"/>
        <w:spacing w:after="0" w:line="219" w:lineRule="auto"/>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Valued based on PSSL’s accounting policy.</w:t>
      </w:r>
    </w:p>
    <w:p>
      <w:pPr>
        <w:ind w:left="6"/>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72"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3"/>
          <w:szCs w:val="13"/>
          <w:color w:val="auto"/>
        </w:rPr>
        <w:t>Below are the consolidated statements of assets and liabilities for PSSL ($ in thousands):</w:t>
      </w:r>
    </w:p>
    <w:p>
      <w:pPr>
        <w:spacing w:after="0" w:line="221" w:lineRule="exact"/>
        <w:rPr>
          <w:sz w:val="20"/>
          <w:szCs w:val="20"/>
          <w:color w:val="auto"/>
        </w:rPr>
      </w:pPr>
    </w:p>
    <w:tbl>
      <w:tblPr>
        <w:tblLayout w:type="fixed"/>
        <w:tblInd w:w="6"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19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tcPr>
          <w:p>
            <w:pPr>
              <w:spacing w:after="0"/>
              <w:rPr>
                <w:sz w:val="16"/>
                <w:szCs w:val="16"/>
                <w:color w:val="auto"/>
              </w:rPr>
            </w:pPr>
          </w:p>
        </w:tc>
        <w:tc>
          <w:tcPr>
            <w:tcW w:w="1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0" w:type="dxa"/>
            <w:vAlign w:val="bottom"/>
          </w:tcPr>
          <w:p>
            <w:pPr>
              <w:spacing w:after="0"/>
              <w:rPr>
                <w:sz w:val="1"/>
                <w:szCs w:val="1"/>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 (amortized cost—$879,528 and $804,608, respectively)</w:t>
            </w:r>
          </w:p>
        </w:tc>
        <w:tc>
          <w:tcPr>
            <w:tcW w:w="1940" w:type="dxa"/>
            <w:vAlign w:val="bottom"/>
          </w:tcPr>
          <w:p>
            <w:pPr>
              <w:jc w:val="right"/>
              <w:ind w:right="173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869,684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785,859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Cash and cash equivalents (cost—$62,892 and $77,446, respectively)</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62,892</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77,446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Due from affiliate</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940,966</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Credit facility payable</w:t>
            </w:r>
          </w:p>
        </w:tc>
        <w:tc>
          <w:tcPr>
            <w:tcW w:w="194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135,600</w:t>
            </w:r>
          </w:p>
        </w:tc>
        <w:tc>
          <w:tcPr>
            <w:tcW w:w="30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48,600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 Asset-backed debt, net (par—$246,000)</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244,277</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2035 Asset-backed debt, net (par—$246,000)</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243,708</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243,483</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payable to members</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240,100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240,100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Credit facility and asset backed debt</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9,406</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14,291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Payable for investments purchased</w:t>
            </w:r>
          </w:p>
        </w:tc>
        <w:tc>
          <w:tcPr>
            <w:tcW w:w="19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Interest payable on notes to members</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6,395</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6,488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expenses</w:t>
            </w:r>
          </w:p>
        </w:tc>
        <w:tc>
          <w:tcPr>
            <w:tcW w:w="1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940" w:type="dxa"/>
            <w:vAlign w:val="bottom"/>
            <w:shd w:val="clear" w:color="auto" w:fill="CCECFF"/>
          </w:tcPr>
          <w:p>
            <w:pPr>
              <w:spacing w:after="0"/>
              <w:rPr>
                <w:sz w:val="16"/>
                <w:szCs w:val="16"/>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880,267</w:t>
            </w:r>
          </w:p>
        </w:tc>
        <w:tc>
          <w:tcPr>
            <w:tcW w:w="30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811,260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color w:val="auto"/>
              </w:rPr>
              <w:t>Commitments and contingencies</w:t>
            </w:r>
            <w:r>
              <w:rPr>
                <w:rFonts w:ascii="Times New Roman" w:cs="Times New Roman" w:eastAsia="Times New Roman" w:hAnsi="Times New Roman"/>
                <w:sz w:val="16"/>
                <w:szCs w:val="16"/>
                <w:color w:val="auto"/>
                <w:vertAlign w:val="superscript"/>
              </w:rPr>
              <w:t>(1)</w:t>
            </w:r>
          </w:p>
        </w:tc>
        <w:tc>
          <w:tcPr>
            <w:tcW w:w="1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940" w:type="dxa"/>
            <w:vAlign w:val="bottom"/>
            <w:shd w:val="clear" w:color="auto" w:fill="CCECFF"/>
          </w:tcPr>
          <w:p>
            <w:pPr>
              <w:spacing w:after="0"/>
              <w:rPr>
                <w:sz w:val="15"/>
                <w:szCs w:val="15"/>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60,699</w:t>
            </w:r>
          </w:p>
        </w:tc>
        <w:tc>
          <w:tcPr>
            <w:tcW w:w="30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58,150</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7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940" w:type="dxa"/>
            <w:vAlign w:val="bottom"/>
          </w:tcPr>
          <w:p>
            <w:pPr>
              <w:jc w:val="right"/>
              <w:ind w:right="173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940,966</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869,410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06" w:hanging="106"/>
        <w:spacing w:after="0"/>
        <w:tabs>
          <w:tab w:leader="none" w:pos="106" w:val="left"/>
        </w:tabs>
        <w:numPr>
          <w:ilvl w:val="0"/>
          <w:numId w:val="11"/>
        </w:numPr>
        <w:rPr>
          <w:rFonts w:ascii="Times New Roman" w:cs="Times New Roman" w:eastAsia="Times New Roman" w:hAnsi="Times New Roman"/>
          <w:sz w:val="12"/>
          <w:szCs w:val="12"/>
          <w:b w:val="1"/>
          <w:bCs w:val="1"/>
          <w:color w:val="auto"/>
          <w:vertAlign w:val="superscript"/>
        </w:rPr>
      </w:pPr>
      <w:r>
        <w:rPr>
          <w:rFonts w:ascii="Times New Roman" w:cs="Times New Roman" w:eastAsia="Times New Roman" w:hAnsi="Times New Roman"/>
          <w:sz w:val="10"/>
          <w:szCs w:val="10"/>
          <w:color w:val="auto"/>
        </w:rPr>
        <w:t>As of March 31, 2024 and September 30, 2023, PSSL had unfunded commitments to fund investments of $1.2 million and $1.1 million, respectively.</w:t>
      </w:r>
    </w:p>
    <w:p>
      <w:pPr>
        <w:spacing w:after="0" w:line="28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1336" w:right="68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2"/>
        </w:trPr>
        <w:tc>
          <w:tcPr>
            <w:tcW w:w="56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Below are the consolidated statements of operations for PSSL ($ 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72"/>
        </w:trPr>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20" w:type="dxa"/>
            <w:vAlign w:val="bottom"/>
          </w:tcPr>
          <w:p>
            <w:pPr>
              <w:spacing w:after="0"/>
              <w:rPr>
                <w:sz w:val="24"/>
                <w:szCs w:val="24"/>
                <w:color w:val="auto"/>
              </w:rPr>
            </w:pPr>
          </w:p>
        </w:tc>
        <w:tc>
          <w:tcPr>
            <w:tcW w:w="216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Six months ended March 31,</w:t>
            </w:r>
          </w:p>
        </w:tc>
      </w:tr>
      <w:tr>
        <w:trPr>
          <w:trHeight w:val="180"/>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r>
      <w:tr>
        <w:trPr>
          <w:trHeight w:val="184"/>
        </w:trPr>
        <w:tc>
          <w:tcPr>
            <w:tcW w:w="5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26,916</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21,292</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52,964</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40,908</w:t>
            </w:r>
          </w:p>
        </w:tc>
        <w:tc>
          <w:tcPr>
            <w:tcW w:w="80" w:type="dxa"/>
            <w:vAlign w:val="bottom"/>
            <w:shd w:val="clear" w:color="auto" w:fill="CCECFF"/>
          </w:tcPr>
          <w:p>
            <w:pPr>
              <w:spacing w:after="0"/>
              <w:rPr>
                <w:sz w:val="16"/>
                <w:szCs w:val="16"/>
                <w:color w:val="auto"/>
              </w:rPr>
            </w:pPr>
          </w:p>
        </w:tc>
      </w:tr>
      <w:tr>
        <w:trPr>
          <w:trHeight w:val="176"/>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80" w:type="dxa"/>
            <w:vAlign w:val="bottom"/>
          </w:tcPr>
          <w:p>
            <w:pPr>
              <w:spacing w:after="0"/>
              <w:rPr>
                <w:sz w:val="15"/>
                <w:szCs w:val="15"/>
                <w:color w:val="auto"/>
              </w:rPr>
            </w:pP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27,304</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21,739</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53,529</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41,465</w:t>
            </w:r>
          </w:p>
        </w:tc>
        <w:tc>
          <w:tcPr>
            <w:tcW w:w="80" w:type="dxa"/>
            <w:vAlign w:val="bottom"/>
            <w:shd w:val="clear" w:color="auto" w:fill="CCECFF"/>
          </w:tcPr>
          <w:p>
            <w:pPr>
              <w:spacing w:after="0"/>
              <w:rPr>
                <w:sz w:val="16"/>
                <w:szCs w:val="16"/>
                <w:color w:val="auto"/>
              </w:rPr>
            </w:pPr>
          </w:p>
        </w:tc>
      </w:tr>
      <w:tr>
        <w:trPr>
          <w:trHeight w:val="180"/>
        </w:trPr>
        <w:tc>
          <w:tcPr>
            <w:tcW w:w="5600" w:type="dxa"/>
            <w:vAlign w:val="bottom"/>
          </w:tcPr>
          <w:p>
            <w:pPr>
              <w:ind w:left="20"/>
              <w:spacing w:after="0" w:line="180" w:lineRule="exact"/>
              <w:rPr>
                <w:sz w:val="20"/>
                <w:szCs w:val="20"/>
                <w:color w:val="auto"/>
              </w:rPr>
            </w:pPr>
            <w:r>
              <w:rPr>
                <w:rFonts w:ascii="Times New Roman" w:cs="Times New Roman" w:eastAsia="Times New Roman" w:hAnsi="Times New Roman"/>
                <w:sz w:val="13"/>
                <w:szCs w:val="13"/>
                <w:b w:val="1"/>
                <w:bCs w:val="1"/>
                <w:color w:val="auto"/>
              </w:rPr>
              <w:t>Expenses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Interest and expense on credit facility and asset-backed debt</w:t>
            </w:r>
          </w:p>
        </w:tc>
        <w:tc>
          <w:tcPr>
            <w:tcW w:w="18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13,784</w:t>
            </w:r>
          </w:p>
        </w:tc>
        <w:tc>
          <w:tcPr>
            <w:tcW w:w="3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9,678</w:t>
            </w: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27,181</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18,319</w:t>
            </w:r>
          </w:p>
        </w:tc>
        <w:tc>
          <w:tcPr>
            <w:tcW w:w="80" w:type="dxa"/>
            <w:vAlign w:val="bottom"/>
            <w:shd w:val="clear" w:color="auto" w:fill="CCECFF"/>
          </w:tcPr>
          <w:p>
            <w:pPr>
              <w:spacing w:after="0"/>
              <w:rPr>
                <w:sz w:val="15"/>
                <w:szCs w:val="15"/>
                <w:color w:val="auto"/>
              </w:rPr>
            </w:pPr>
          </w:p>
        </w:tc>
      </w:tr>
      <w:tr>
        <w:trPr>
          <w:trHeight w:val="176"/>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 on notes to members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8,095</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14,173</w:t>
            </w:r>
          </w:p>
        </w:tc>
        <w:tc>
          <w:tcPr>
            <w:tcW w:w="80" w:type="dxa"/>
            <w:vAlign w:val="bottom"/>
          </w:tcPr>
          <w:p>
            <w:pPr>
              <w:spacing w:after="0"/>
              <w:rPr>
                <w:sz w:val="15"/>
                <w:szCs w:val="15"/>
                <w:color w:val="auto"/>
              </w:rPr>
            </w:pP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Administration fees</w:t>
            </w:r>
          </w:p>
        </w:tc>
        <w:tc>
          <w:tcPr>
            <w:tcW w:w="1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1,024</w:t>
            </w:r>
          </w:p>
        </w:tc>
        <w:tc>
          <w:tcPr>
            <w:tcW w:w="80" w:type="dxa"/>
            <w:vAlign w:val="bottom"/>
            <w:shd w:val="clear" w:color="auto" w:fill="CCECFF"/>
          </w:tcPr>
          <w:p>
            <w:pPr>
              <w:spacing w:after="0"/>
              <w:rPr>
                <w:sz w:val="16"/>
                <w:szCs w:val="16"/>
                <w:color w:val="auto"/>
              </w:rPr>
            </w:pPr>
          </w:p>
        </w:tc>
      </w:tr>
      <w:tr>
        <w:trPr>
          <w:trHeight w:val="176"/>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tcPr>
          <w:p>
            <w:pPr>
              <w:spacing w:after="0"/>
              <w:rPr>
                <w:sz w:val="15"/>
                <w:szCs w:val="15"/>
                <w:color w:val="auto"/>
              </w:rPr>
            </w:pP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expenses</w:t>
            </w:r>
          </w:p>
        </w:tc>
        <w:tc>
          <w:tcPr>
            <w:tcW w:w="1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22,687</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17,837</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45,125</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34,096</w:t>
            </w:r>
          </w:p>
        </w:tc>
        <w:tc>
          <w:tcPr>
            <w:tcW w:w="80" w:type="dxa"/>
            <w:vAlign w:val="bottom"/>
            <w:shd w:val="clear" w:color="auto" w:fill="CCECFF"/>
          </w:tcPr>
          <w:p>
            <w:pPr>
              <w:spacing w:after="0"/>
              <w:rPr>
                <w:sz w:val="16"/>
                <w:szCs w:val="16"/>
                <w:color w:val="auto"/>
              </w:rPr>
            </w:pPr>
          </w:p>
        </w:tc>
      </w:tr>
      <w:tr>
        <w:trPr>
          <w:trHeight w:val="177"/>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4,617</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7,369</w:t>
            </w:r>
          </w:p>
        </w:tc>
        <w:tc>
          <w:tcPr>
            <w:tcW w:w="80" w:type="dxa"/>
            <w:vAlign w:val="bottom"/>
          </w:tcPr>
          <w:p>
            <w:pPr>
              <w:spacing w:after="0"/>
              <w:rPr>
                <w:sz w:val="15"/>
                <w:szCs w:val="15"/>
                <w:color w:val="auto"/>
              </w:rPr>
            </w:pPr>
          </w:p>
        </w:tc>
      </w:tr>
      <w:tr>
        <w:trPr>
          <w:trHeight w:val="183"/>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and unrealized gain (loss) on investments:</w:t>
            </w:r>
          </w:p>
        </w:tc>
        <w:tc>
          <w:tcPr>
            <w:tcW w:w="18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6"/>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8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(90 )</w:t>
            </w:r>
          </w:p>
        </w:tc>
        <w:tc>
          <w:tcPr>
            <w:tcW w:w="2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(5,886 )</w:t>
            </w:r>
          </w:p>
        </w:tc>
        <w:tc>
          <w:tcPr>
            <w:tcW w:w="2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(6,510 )</w:t>
            </w:r>
          </w:p>
        </w:tc>
        <w:tc>
          <w:tcPr>
            <w:tcW w:w="2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(5,956 )</w:t>
            </w:r>
          </w:p>
        </w:tc>
      </w:tr>
      <w:tr>
        <w:trPr>
          <w:trHeight w:val="184"/>
        </w:trPr>
        <w:tc>
          <w:tcPr>
            <w:tcW w:w="56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80" w:type="dxa"/>
            <w:vAlign w:val="bottom"/>
            <w:shd w:val="clear" w:color="auto" w:fill="CCECFF"/>
          </w:tcPr>
          <w:p>
            <w:pPr>
              <w:spacing w:after="0"/>
              <w:rPr>
                <w:sz w:val="16"/>
                <w:szCs w:val="16"/>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3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3,934</w:t>
            </w:r>
          </w:p>
        </w:tc>
        <w:tc>
          <w:tcPr>
            <w:tcW w:w="26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8,905</w:t>
            </w:r>
          </w:p>
        </w:tc>
        <w:tc>
          <w:tcPr>
            <w:tcW w:w="2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8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3"/>
                <w:szCs w:val="13"/>
                <w:color w:val="auto"/>
              </w:rPr>
              <w:t>(1,865 )</w:t>
            </w:r>
          </w:p>
        </w:tc>
      </w:tr>
      <w:tr>
        <w:trPr>
          <w:trHeight w:val="177"/>
        </w:trPr>
        <w:tc>
          <w:tcPr>
            <w:tcW w:w="5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(1,952 )</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(7,821 )</w:t>
            </w:r>
          </w:p>
        </w:tc>
      </w:tr>
      <w:tr>
        <w:trPr>
          <w:trHeight w:val="203"/>
        </w:trPr>
        <w:tc>
          <w:tcPr>
            <w:tcW w:w="56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members' equity resulting from operations</w:t>
            </w:r>
          </w:p>
        </w:tc>
        <w:tc>
          <w:tcPr>
            <w:tcW w:w="1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5,374</w:t>
            </w:r>
          </w:p>
        </w:tc>
        <w:tc>
          <w:tcPr>
            <w:tcW w:w="38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26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10,799</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CFF"/>
          </w:tcPr>
          <w:p>
            <w:pPr>
              <w:jc w:val="right"/>
              <w:ind w:right="40"/>
              <w:spacing w:after="0" w:line="184" w:lineRule="exact"/>
              <w:rPr>
                <w:sz w:val="20"/>
                <w:szCs w:val="20"/>
                <w:color w:val="auto"/>
              </w:rPr>
            </w:pPr>
            <w:r>
              <w:rPr>
                <w:rFonts w:ascii="Times New Roman" w:cs="Times New Roman" w:eastAsia="Times New Roman" w:hAnsi="Times New Roman"/>
                <w:sz w:val="11"/>
                <w:szCs w:val="11"/>
                <w:color w:val="auto"/>
              </w:rPr>
              <w:t xml:space="preserve">(452 </w:t>
            </w:r>
            <w:r>
              <w:rPr>
                <w:rFonts w:ascii="Times New Roman" w:cs="Times New Roman" w:eastAsia="Times New Roman" w:hAnsi="Times New Roman"/>
                <w:sz w:val="21"/>
                <w:szCs w:val="21"/>
                <w:color w:val="auto"/>
                <w:vertAlign w:val="subscript"/>
              </w:rPr>
              <w:t>)</w:t>
            </w:r>
          </w:p>
        </w:tc>
      </w:tr>
      <w:tr>
        <w:trPr>
          <w:trHeight w:val="20"/>
        </w:trPr>
        <w:tc>
          <w:tcPr>
            <w:tcW w:w="560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Currently, no management or incentive fees are payable by PSSL. If any fees were to be charged, they would be separately disclosed in the Statements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Off-Balance Sheet Arrangements</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currently engage in no off-balance sheet arrangements other than our funding requirements for the unfunded investments described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Distributions</w:t>
      </w:r>
    </w:p>
    <w:p>
      <w:pPr>
        <w:spacing w:after="0" w:line="167" w:lineRule="exact"/>
        <w:rPr>
          <w:sz w:val="20"/>
          <w:szCs w:val="20"/>
          <w:color w:val="auto"/>
        </w:rPr>
      </w:pPr>
    </w:p>
    <w:p>
      <w:pPr>
        <w:ind w:right="100" w:firstLine="420"/>
        <w:spacing w:after="0" w:line="268" w:lineRule="auto"/>
        <w:rPr>
          <w:sz w:val="20"/>
          <w:szCs w:val="20"/>
          <w:color w:val="auto"/>
        </w:rPr>
      </w:pPr>
      <w:r>
        <w:rPr>
          <w:rFonts w:ascii="Times New Roman" w:cs="Times New Roman" w:eastAsia="Times New Roman" w:hAnsi="Times New Roman"/>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23" w:lineRule="exact"/>
        <w:rPr>
          <w:sz w:val="20"/>
          <w:szCs w:val="20"/>
          <w:color w:val="auto"/>
        </w:rPr>
      </w:pPr>
    </w:p>
    <w:p>
      <w:pPr>
        <w:jc w:val="both"/>
        <w:ind w:right="180" w:firstLine="420"/>
        <w:spacing w:after="0" w:line="259" w:lineRule="auto"/>
        <w:rPr>
          <w:sz w:val="20"/>
          <w:szCs w:val="20"/>
          <w:color w:val="auto"/>
        </w:rPr>
      </w:pPr>
      <w:r>
        <w:rPr>
          <w:rFonts w:ascii="Times New Roman" w:cs="Times New Roman" w:eastAsia="Times New Roman" w:hAnsi="Times New Roman"/>
          <w:sz w:val="13"/>
          <w:szCs w:val="13"/>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0" w:lineRule="exact"/>
        <w:rPr>
          <w:sz w:val="20"/>
          <w:szCs w:val="20"/>
          <w:color w:val="auto"/>
        </w:rPr>
      </w:pPr>
    </w:p>
    <w:p>
      <w:pPr>
        <w:ind w:right="120" w:firstLine="420"/>
        <w:spacing w:after="0" w:line="259" w:lineRule="auto"/>
        <w:rPr>
          <w:sz w:val="20"/>
          <w:szCs w:val="20"/>
          <w:color w:val="auto"/>
        </w:rPr>
      </w:pPr>
      <w:r>
        <w:rPr>
          <w:rFonts w:ascii="Times New Roman" w:cs="Times New Roman" w:eastAsia="Times New Roman" w:hAnsi="Times New Roman"/>
          <w:sz w:val="13"/>
          <w:szCs w:val="13"/>
          <w:color w:val="auto"/>
        </w:rPr>
        <w:t>During the three and six months ended March 31, 2024, we declared distributions of $0.3075 and $0.615 per share for total distributions of $18.8 million and $36.9 million, respectively. During the three and six months ended March 31, 2023, we declared distributions of $0.29 and $0.575 per share for total distributions of $ 14.0 million and $26.9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We intend to continue to make monthly distributions to our stockholders. Our monthly distributions, if any, are determined by our board of directors quarterly.</w:t>
      </w:r>
    </w:p>
    <w:p>
      <w:pPr>
        <w:spacing w:after="0" w:line="163" w:lineRule="exact"/>
        <w:rPr>
          <w:sz w:val="20"/>
          <w:szCs w:val="20"/>
          <w:color w:val="auto"/>
        </w:rPr>
      </w:pPr>
    </w:p>
    <w:p>
      <w:pPr>
        <w:ind w:right="60" w:firstLine="420"/>
        <w:spacing w:after="0" w:line="262" w:lineRule="auto"/>
        <w:rPr>
          <w:sz w:val="20"/>
          <w:szCs w:val="20"/>
          <w:color w:val="auto"/>
        </w:rPr>
      </w:pPr>
      <w:r>
        <w:rPr>
          <w:rFonts w:ascii="Times New Roman" w:cs="Times New Roman" w:eastAsia="Times New Roman" w:hAnsi="Times New Roman"/>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Recent Accounting Pronouncements</w:t>
      </w:r>
    </w:p>
    <w:p>
      <w:pPr>
        <w:spacing w:after="0" w:line="167" w:lineRule="exact"/>
        <w:rPr>
          <w:sz w:val="20"/>
          <w:szCs w:val="20"/>
          <w:color w:val="auto"/>
        </w:rPr>
      </w:pPr>
    </w:p>
    <w:p>
      <w:pPr>
        <w:ind w:right="40" w:firstLine="420"/>
        <w:spacing w:after="0" w:line="259" w:lineRule="auto"/>
        <w:rPr>
          <w:sz w:val="20"/>
          <w:szCs w:val="20"/>
          <w:color w:val="auto"/>
        </w:rPr>
      </w:pPr>
      <w:r>
        <w:rPr>
          <w:rFonts w:ascii="Times New Roman" w:cs="Times New Roman" w:eastAsia="Times New Roman" w:hAnsi="Times New Roman"/>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FASB approved an (optional) two year extension to December 31, 2024, for transitioning away from LIBOR. The Company utilized the optional expedients and exceptions provided by ASU 2020-04 during the three and six months ended March 31, 2024, the effect of which was not material to the consolidated financial statements and the notes thereto.</w:t>
      </w:r>
    </w:p>
    <w:p>
      <w:pPr>
        <w:spacing w:after="0" w:line="154" w:lineRule="exact"/>
        <w:rPr>
          <w:sz w:val="20"/>
          <w:szCs w:val="20"/>
          <w:color w:val="auto"/>
        </w:rPr>
      </w:pPr>
    </w:p>
    <w:p>
      <w:pPr>
        <w:ind w:right="40" w:firstLine="420"/>
        <w:spacing w:after="0" w:line="258" w:lineRule="auto"/>
        <w:rPr>
          <w:sz w:val="20"/>
          <w:szCs w:val="20"/>
          <w:color w:val="auto"/>
        </w:rPr>
      </w:pPr>
      <w:r>
        <w:rPr>
          <w:rFonts w:ascii="Times New Roman" w:cs="Times New Roman" w:eastAsia="Times New Roman" w:hAnsi="Times New Roman"/>
          <w:sz w:val="13"/>
          <w:szCs w:val="13"/>
          <w:color w:val="auto"/>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spacing w:after="0" w:line="289"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3"/>
          <w:szCs w:val="13"/>
          <w:color w:val="auto"/>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10" w:right="660" w:bottom="1440" w:gutter="0" w:footer="0" w:header="0"/>
        </w:sectPr>
      </w:pPr>
    </w:p>
    <w:bookmarkStart w:id="58" w:name="page59"/>
    <w:bookmarkEnd w:id="58"/>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65" w:lineRule="exact"/>
        <w:rPr>
          <w:sz w:val="20"/>
          <w:szCs w:val="20"/>
          <w:color w:val="auto"/>
        </w:rPr>
      </w:pPr>
    </w:p>
    <w:p>
      <w:pPr>
        <w:ind w:firstLine="420"/>
        <w:spacing w:after="0" w:line="259" w:lineRule="auto"/>
        <w:rPr>
          <w:sz w:val="20"/>
          <w:szCs w:val="20"/>
          <w:color w:val="auto"/>
        </w:rPr>
      </w:pPr>
      <w:r>
        <w:rPr>
          <w:rFonts w:ascii="Times New Roman" w:cs="Times New Roman" w:eastAsia="Times New Roman" w:hAnsi="Times New Roman"/>
          <w:sz w:val="13"/>
          <w:szCs w:val="13"/>
          <w:color w:val="auto"/>
        </w:rPr>
        <w:t>We are subject to financial market risks, including changes in interest rates. As of March 31, 2024, our debt portfolio consisted of approximately 100.0% variable-rate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0" w:lineRule="exact"/>
        <w:rPr>
          <w:sz w:val="20"/>
          <w:szCs w:val="20"/>
          <w:color w:val="auto"/>
        </w:rPr>
      </w:pPr>
    </w:p>
    <w:p>
      <w:pPr>
        <w:ind w:right="160" w:firstLine="420"/>
        <w:spacing w:after="0" w:line="286" w:lineRule="auto"/>
        <w:rPr>
          <w:sz w:val="20"/>
          <w:szCs w:val="20"/>
          <w:color w:val="auto"/>
        </w:rPr>
      </w:pPr>
      <w:r>
        <w:rPr>
          <w:rFonts w:ascii="Times New Roman" w:cs="Times New Roman" w:eastAsia="Times New Roman" w:hAnsi="Times New Roman"/>
          <w:sz w:val="13"/>
          <w:szCs w:val="13"/>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00" w:type="dxa"/>
            <w:vAlign w:val="bottom"/>
          </w:tcPr>
          <w:p>
            <w:pPr>
              <w:spacing w:after="0"/>
              <w:rPr>
                <w:sz w:val="13"/>
                <w:szCs w:val="13"/>
                <w:color w:val="auto"/>
              </w:rPr>
            </w:pPr>
          </w:p>
        </w:tc>
        <w:tc>
          <w:tcPr>
            <w:tcW w:w="3260" w:type="dxa"/>
            <w:vAlign w:val="bottom"/>
          </w:tcPr>
          <w:p>
            <w:pPr>
              <w:jc w:val="center"/>
              <w:ind w:left="113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494"/>
              <w:spacing w:after="0"/>
              <w:rPr>
                <w:sz w:val="20"/>
                <w:szCs w:val="20"/>
                <w:color w:val="auto"/>
              </w:rPr>
            </w:pPr>
            <w:r>
              <w:rPr>
                <w:rFonts w:ascii="Times New Roman" w:cs="Times New Roman" w:eastAsia="Times New Roman" w:hAnsi="Times New Roman"/>
                <w:sz w:val="13"/>
                <w:szCs w:val="13"/>
                <w:b w:val="1"/>
                <w:bCs w:val="1"/>
                <w:color w:val="auto"/>
              </w:rPr>
              <w:t>Change in Interest Income,</w:t>
            </w: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Net of Interest Expense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80" w:type="dxa"/>
            <w:vAlign w:val="bottom"/>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rPr>
              <w:t>Net of Interest</w:t>
            </w:r>
          </w:p>
        </w:tc>
        <w:tc>
          <w:tcPr>
            <w:tcW w:w="0" w:type="dxa"/>
            <w:vAlign w:val="bottom"/>
          </w:tcPr>
          <w:p>
            <w:pPr>
              <w:spacing w:after="0"/>
              <w:rPr>
                <w:sz w:val="1"/>
                <w:szCs w:val="1"/>
                <w:color w:val="auto"/>
              </w:rPr>
            </w:pPr>
          </w:p>
        </w:tc>
      </w:tr>
      <w:tr>
        <w:trPr>
          <w:trHeight w:val="178"/>
        </w:trPr>
        <w:tc>
          <w:tcPr>
            <w:tcW w:w="300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Change in Interest Rates</w:t>
            </w:r>
          </w:p>
        </w:tc>
        <w:tc>
          <w:tcPr>
            <w:tcW w:w="3260" w:type="dxa"/>
            <w:vAlign w:val="bottom"/>
          </w:tcPr>
          <w:p>
            <w:pPr>
              <w:jc w:val="center"/>
              <w:ind w:left="115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tcPr>
          <w:p>
            <w:pPr>
              <w:jc w:val="center"/>
              <w:ind w:right="474"/>
              <w:spacing w:after="0"/>
              <w:rPr>
                <w:sz w:val="20"/>
                <w:szCs w:val="20"/>
                <w:color w:val="auto"/>
              </w:rPr>
            </w:pPr>
            <w:r>
              <w:rPr>
                <w:rFonts w:ascii="Times New Roman" w:cs="Times New Roman" w:eastAsia="Times New Roman" w:hAnsi="Times New Roman"/>
                <w:sz w:val="13"/>
                <w:szCs w:val="13"/>
                <w:b w:val="1"/>
                <w:bCs w:val="1"/>
                <w:color w:val="auto"/>
              </w:rPr>
              <w:t>Expense Per Share</w:t>
            </w: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jc w:val="center"/>
              <w:ind w:left="314"/>
              <w:spacing w:after="0"/>
              <w:rPr>
                <w:sz w:val="20"/>
                <w:szCs w:val="20"/>
                <w:color w:val="auto"/>
              </w:rPr>
            </w:pPr>
            <w:r>
              <w:rPr>
                <w:rFonts w:ascii="Times New Roman" w:cs="Times New Roman" w:eastAsia="Times New Roman" w:hAnsi="Times New Roman"/>
                <w:sz w:val="13"/>
                <w:szCs w:val="13"/>
                <w:color w:val="auto"/>
              </w:rPr>
              <w:t>Down 1%</w:t>
            </w:r>
          </w:p>
        </w:tc>
        <w:tc>
          <w:tcPr>
            <w:tcW w:w="3260" w:type="dxa"/>
            <w:vAlign w:val="bottom"/>
            <w:shd w:val="clear" w:color="auto" w:fill="CCECFF"/>
          </w:tcPr>
          <w:p>
            <w:pPr>
              <w:jc w:val="right"/>
              <w:ind w:right="25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Times New Roman" w:cs="Times New Roman" w:eastAsia="Times New Roman" w:hAnsi="Times New Roman"/>
                <w:sz w:val="13"/>
                <w:szCs w:val="13"/>
                <w:color w:val="auto"/>
              </w:rPr>
              <w:t>(6,571 )</w:t>
            </w:r>
          </w:p>
        </w:tc>
        <w:tc>
          <w:tcPr>
            <w:tcW w:w="600" w:type="dxa"/>
            <w:vAlign w:val="bottom"/>
            <w:shd w:val="clear" w:color="auto" w:fill="CCECFF"/>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2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(0.10 )</w:t>
            </w:r>
          </w:p>
        </w:tc>
        <w:tc>
          <w:tcPr>
            <w:tcW w:w="0" w:type="dxa"/>
            <w:vAlign w:val="bottom"/>
          </w:tcPr>
          <w:p>
            <w:pPr>
              <w:spacing w:after="0"/>
              <w:rPr>
                <w:sz w:val="1"/>
                <w:szCs w:val="1"/>
                <w:color w:val="auto"/>
              </w:rPr>
            </w:pPr>
          </w:p>
        </w:tc>
      </w:tr>
      <w:tr>
        <w:trPr>
          <w:trHeight w:val="176"/>
        </w:trPr>
        <w:tc>
          <w:tcPr>
            <w:tcW w:w="3000" w:type="dxa"/>
            <w:vAlign w:val="bottom"/>
          </w:tcPr>
          <w:p>
            <w:pPr>
              <w:jc w:val="center"/>
              <w:ind w:left="294"/>
              <w:spacing w:after="0"/>
              <w:rPr>
                <w:sz w:val="20"/>
                <w:szCs w:val="20"/>
                <w:color w:val="auto"/>
              </w:rPr>
            </w:pPr>
            <w:r>
              <w:rPr>
                <w:rFonts w:ascii="Times New Roman" w:cs="Times New Roman" w:eastAsia="Times New Roman" w:hAnsi="Times New Roman"/>
                <w:sz w:val="13"/>
                <w:szCs w:val="13"/>
                <w:color w:val="auto"/>
                <w:w w:val="98"/>
              </w:rPr>
              <w:t>Up 1%</w:t>
            </w:r>
          </w:p>
        </w:tc>
        <w:tc>
          <w:tcPr>
            <w:tcW w:w="3260" w:type="dxa"/>
            <w:vAlign w:val="bottom"/>
          </w:tcPr>
          <w:p>
            <w:pPr>
              <w:spacing w:after="0"/>
              <w:rPr>
                <w:sz w:val="15"/>
                <w:szCs w:val="15"/>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6,571</w:t>
            </w:r>
          </w:p>
        </w:tc>
        <w:tc>
          <w:tcPr>
            <w:tcW w:w="600" w:type="dxa"/>
            <w:vAlign w:val="bottom"/>
          </w:tcPr>
          <w:p>
            <w:pPr>
              <w:spacing w:after="0"/>
              <w:rPr>
                <w:sz w:val="15"/>
                <w:szCs w:val="15"/>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184"/>
        </w:trPr>
        <w:tc>
          <w:tcPr>
            <w:tcW w:w="3000" w:type="dxa"/>
            <w:vAlign w:val="bottom"/>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w w:val="98"/>
              </w:rPr>
              <w:t>Up 2%</w:t>
            </w:r>
          </w:p>
        </w:tc>
        <w:tc>
          <w:tcPr>
            <w:tcW w:w="326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13,142</w:t>
            </w:r>
          </w:p>
        </w:tc>
        <w:tc>
          <w:tcPr>
            <w:tcW w:w="600" w:type="dxa"/>
            <w:vAlign w:val="bottom"/>
            <w:shd w:val="clear" w:color="auto" w:fill="CCECFF"/>
          </w:tcPr>
          <w:p>
            <w:pPr>
              <w:spacing w:after="0"/>
              <w:rPr>
                <w:sz w:val="16"/>
                <w:szCs w:val="16"/>
                <w:color w:val="auto"/>
              </w:rPr>
            </w:pPr>
          </w:p>
        </w:tc>
        <w:tc>
          <w:tcPr>
            <w:tcW w:w="2880" w:type="dxa"/>
            <w:vAlign w:val="bottom"/>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0.21</w:t>
            </w:r>
          </w:p>
        </w:tc>
        <w:tc>
          <w:tcPr>
            <w:tcW w:w="0" w:type="dxa"/>
            <w:vAlign w:val="bottom"/>
          </w:tcPr>
          <w:p>
            <w:pPr>
              <w:spacing w:after="0"/>
              <w:rPr>
                <w:sz w:val="1"/>
                <w:szCs w:val="1"/>
                <w:color w:val="auto"/>
              </w:rPr>
            </w:pPr>
          </w:p>
        </w:tc>
      </w:tr>
      <w:tr>
        <w:trPr>
          <w:trHeight w:val="176"/>
        </w:trPr>
        <w:tc>
          <w:tcPr>
            <w:tcW w:w="3000" w:type="dxa"/>
            <w:vAlign w:val="bottom"/>
          </w:tcPr>
          <w:p>
            <w:pPr>
              <w:jc w:val="center"/>
              <w:ind w:left="294"/>
              <w:spacing w:after="0"/>
              <w:rPr>
                <w:sz w:val="20"/>
                <w:szCs w:val="20"/>
                <w:color w:val="auto"/>
              </w:rPr>
            </w:pPr>
            <w:r>
              <w:rPr>
                <w:rFonts w:ascii="Times New Roman" w:cs="Times New Roman" w:eastAsia="Times New Roman" w:hAnsi="Times New Roman"/>
                <w:sz w:val="13"/>
                <w:szCs w:val="13"/>
                <w:color w:val="auto"/>
                <w:w w:val="98"/>
              </w:rPr>
              <w:t>Up 3%</w:t>
            </w:r>
          </w:p>
        </w:tc>
        <w:tc>
          <w:tcPr>
            <w:tcW w:w="326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19,713</w:t>
            </w:r>
          </w:p>
        </w:tc>
        <w:tc>
          <w:tcPr>
            <w:tcW w:w="600" w:type="dxa"/>
            <w:vAlign w:val="bottom"/>
          </w:tcPr>
          <w:p>
            <w:pPr>
              <w:spacing w:after="0"/>
              <w:rPr>
                <w:sz w:val="15"/>
                <w:szCs w:val="15"/>
                <w:color w:val="auto"/>
              </w:rPr>
            </w:pPr>
          </w:p>
        </w:tc>
        <w:tc>
          <w:tcPr>
            <w:tcW w:w="2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176"/>
        </w:trPr>
        <w:tc>
          <w:tcPr>
            <w:tcW w:w="3000" w:type="dxa"/>
            <w:vAlign w:val="bottom"/>
            <w:vMerge w:val="restart"/>
            <w:shd w:val="clear" w:color="auto" w:fill="CCECFF"/>
          </w:tcPr>
          <w:p>
            <w:pPr>
              <w:jc w:val="center"/>
              <w:ind w:left="294"/>
              <w:spacing w:after="0"/>
              <w:rPr>
                <w:sz w:val="20"/>
                <w:szCs w:val="20"/>
                <w:color w:val="auto"/>
              </w:rPr>
            </w:pPr>
            <w:r>
              <w:rPr>
                <w:rFonts w:ascii="Times New Roman" w:cs="Times New Roman" w:eastAsia="Times New Roman" w:hAnsi="Times New Roman"/>
                <w:sz w:val="13"/>
                <w:szCs w:val="13"/>
                <w:color w:val="auto"/>
                <w:w w:val="98"/>
              </w:rPr>
              <w:t>Up 4%</w:t>
            </w:r>
          </w:p>
        </w:tc>
        <w:tc>
          <w:tcPr>
            <w:tcW w:w="3260" w:type="dxa"/>
            <w:vAlign w:val="bottom"/>
            <w:shd w:val="clear" w:color="auto" w:fill="CCECFF"/>
          </w:tcPr>
          <w:p>
            <w:pPr>
              <w:spacing w:after="0"/>
              <w:rPr>
                <w:sz w:val="15"/>
                <w:szCs w:val="15"/>
                <w:color w:val="auto"/>
              </w:rPr>
            </w:pPr>
          </w:p>
        </w:tc>
        <w:tc>
          <w:tcPr>
            <w:tcW w:w="820" w:type="dxa"/>
            <w:vAlign w:val="bottom"/>
            <w:shd w:val="clear" w:color="auto" w:fill="CCECFF"/>
          </w:tcPr>
          <w:p>
            <w:pPr>
              <w:jc w:val="right"/>
              <w:ind w:right="134"/>
              <w:spacing w:after="0"/>
              <w:rPr>
                <w:sz w:val="20"/>
                <w:szCs w:val="20"/>
                <w:color w:val="auto"/>
              </w:rPr>
            </w:pPr>
            <w:r>
              <w:rPr>
                <w:rFonts w:ascii="Times New Roman" w:cs="Times New Roman" w:eastAsia="Times New Roman" w:hAnsi="Times New Roman"/>
                <w:sz w:val="13"/>
                <w:szCs w:val="13"/>
                <w:color w:val="auto"/>
              </w:rPr>
              <w:t>26,294</w:t>
            </w:r>
          </w:p>
        </w:tc>
        <w:tc>
          <w:tcPr>
            <w:tcW w:w="600" w:type="dxa"/>
            <w:vAlign w:val="bottom"/>
            <w:shd w:val="clear" w:color="auto" w:fill="CCECFF"/>
          </w:tcPr>
          <w:p>
            <w:pPr>
              <w:spacing w:after="0"/>
              <w:rPr>
                <w:sz w:val="15"/>
                <w:szCs w:val="15"/>
                <w:color w:val="auto"/>
              </w:rPr>
            </w:pPr>
          </w:p>
        </w:tc>
        <w:tc>
          <w:tcPr>
            <w:tcW w:w="2880" w:type="dxa"/>
            <w:vAlign w:val="bottom"/>
            <w:vMerge w:val="restart"/>
            <w:shd w:val="clear" w:color="auto" w:fill="CCECFF"/>
          </w:tcPr>
          <w:p>
            <w:pPr>
              <w:jc w:val="right"/>
              <w:ind w:right="34"/>
              <w:spacing w:after="0"/>
              <w:rPr>
                <w:sz w:val="20"/>
                <w:szCs w:val="20"/>
                <w:color w:val="auto"/>
              </w:rPr>
            </w:pPr>
            <w:r>
              <w:rPr>
                <w:rFonts w:ascii="Times New Roman" w:cs="Times New Roman" w:eastAsia="Times New Roman" w:hAnsi="Times New Roman"/>
                <w:sz w:val="13"/>
                <w:szCs w:val="13"/>
                <w:color w:val="auto"/>
              </w:rPr>
              <w:t>0.42</w:t>
            </w:r>
          </w:p>
        </w:tc>
        <w:tc>
          <w:tcPr>
            <w:tcW w:w="0" w:type="dxa"/>
            <w:vAlign w:val="bottom"/>
          </w:tcPr>
          <w:p>
            <w:pPr>
              <w:spacing w:after="0"/>
              <w:rPr>
                <w:sz w:val="1"/>
                <w:szCs w:val="1"/>
                <w:color w:val="auto"/>
              </w:rPr>
            </w:pPr>
          </w:p>
        </w:tc>
      </w:tr>
      <w:tr>
        <w:trPr>
          <w:trHeight w:val="152"/>
        </w:trPr>
        <w:tc>
          <w:tcPr>
            <w:tcW w:w="3000" w:type="dxa"/>
            <w:vAlign w:val="bottom"/>
            <w:vMerge w:val="continue"/>
            <w:shd w:val="clear" w:color="auto" w:fill="CCECFF"/>
          </w:tcPr>
          <w:p>
            <w:pPr>
              <w:spacing w:after="0"/>
              <w:rPr>
                <w:sz w:val="13"/>
                <w:szCs w:val="13"/>
                <w:color w:val="auto"/>
              </w:rPr>
            </w:pPr>
          </w:p>
        </w:tc>
        <w:tc>
          <w:tcPr>
            <w:tcW w:w="32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2880" w:type="dxa"/>
            <w:vAlign w:val="bottom"/>
            <w:vMerge w:val="continue"/>
            <w:shd w:val="clear" w:color="auto" w:fill="CCECFF"/>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60" w:firstLine="420"/>
        <w:spacing w:after="0" w:line="268" w:lineRule="auto"/>
        <w:rPr>
          <w:sz w:val="20"/>
          <w:szCs w:val="20"/>
          <w:color w:val="auto"/>
        </w:rPr>
      </w:pPr>
      <w:r>
        <w:rPr>
          <w:rFonts w:ascii="Times New Roman" w:cs="Times New Roman" w:eastAsia="Times New Roman" w:hAnsi="Times New Roman"/>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23" w:lineRule="exact"/>
        <w:rPr>
          <w:sz w:val="20"/>
          <w:szCs w:val="20"/>
          <w:color w:val="auto"/>
        </w:rPr>
      </w:pPr>
    </w:p>
    <w:p>
      <w:pPr>
        <w:ind w:right="80" w:firstLine="420"/>
        <w:spacing w:after="0" w:line="268" w:lineRule="auto"/>
        <w:rPr>
          <w:sz w:val="20"/>
          <w:szCs w:val="20"/>
          <w:color w:val="auto"/>
        </w:rPr>
      </w:pPr>
      <w:r>
        <w:rPr>
          <w:rFonts w:ascii="Times New Roman" w:cs="Times New Roman" w:eastAsia="Times New Roman" w:hAnsi="Times New Roman"/>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23"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65" w:lineRule="exact"/>
        <w:rPr>
          <w:sz w:val="20"/>
          <w:szCs w:val="20"/>
          <w:color w:val="auto"/>
        </w:rPr>
      </w:pPr>
    </w:p>
    <w:p>
      <w:pPr>
        <w:ind w:right="60" w:firstLine="420"/>
        <w:spacing w:after="0" w:line="255" w:lineRule="auto"/>
        <w:rPr>
          <w:sz w:val="20"/>
          <w:szCs w:val="20"/>
          <w:color w:val="auto"/>
        </w:rPr>
      </w:pPr>
      <w:r>
        <w:rPr>
          <w:rFonts w:ascii="Times New Roman" w:cs="Times New Roman" w:eastAsia="Times New Roman" w:hAnsi="Times New Roman"/>
          <w:sz w:val="13"/>
          <w:szCs w:val="13"/>
          <w:color w:val="auto"/>
        </w:rPr>
        <w:t>As of the period ended March 31, 2024, we, including our Chief Executive Officer and Chief Financial Officer, evaluated the effectiveness of the design and operation of our disclosure controls and procedures (as defined in Rule 13a- 15(e) under the Exchange Act) . As disclosed in our Annual Report on Form 10 -K for the fiscal year ended September 30, 2023, a material weakness was previously identified in connection with our internal control over financial reporting relating to the review of quarterly cash and investment reconciliations. Additionally, a material weakness was identified in the operation of our internal controls over financial reporting relating to our review of interest income and non-accrual classification of investments. We have taken steps to remediate these material weaknesses, which steps have included (i) enhancing existing controls to ensure the appropriate review of the quarterly cash and investment reconciliation and that it is adequately documented so as to provide evidence that the controls are operating effectively, (ii) enhancing existing controls to ensure that our internal controls over financial reporting relating to our analysis of interest income and assessment of investments for classification as non-accrual investments are operating effectively and (iii) enhancing policies and procedures to demonstrate a commitment to improving our overall control environment.</w:t>
      </w:r>
    </w:p>
    <w:p>
      <w:pPr>
        <w:spacing w:after="0" w:line="134" w:lineRule="exact"/>
        <w:rPr>
          <w:sz w:val="20"/>
          <w:szCs w:val="20"/>
          <w:color w:val="auto"/>
        </w:rPr>
      </w:pPr>
    </w:p>
    <w:p>
      <w:pPr>
        <w:ind w:right="80" w:firstLine="420"/>
        <w:spacing w:after="0" w:line="257" w:lineRule="auto"/>
        <w:rPr>
          <w:sz w:val="20"/>
          <w:szCs w:val="20"/>
          <w:color w:val="auto"/>
        </w:rPr>
      </w:pPr>
      <w:r>
        <w:rPr>
          <w:rFonts w:ascii="Times New Roman" w:cs="Times New Roman" w:eastAsia="Times New Roman" w:hAnsi="Times New Roman"/>
          <w:sz w:val="13"/>
          <w:szCs w:val="13"/>
          <w:color w:val="auto"/>
        </w:rPr>
        <w:t>Taking the above efforts into consideration, our management, including the Chief Executive Officer and Chief Financial Officer, concluded that our disclosure controls and procedures for the period ended March 31, 2024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2" w:lineRule="exact"/>
        <w:rPr>
          <w:sz w:val="20"/>
          <w:szCs w:val="20"/>
          <w:color w:val="auto"/>
        </w:rPr>
      </w:pPr>
    </w:p>
    <w:p>
      <w:pPr>
        <w:ind w:right="360" w:firstLine="420"/>
        <w:spacing w:after="0" w:line="286" w:lineRule="auto"/>
        <w:rPr>
          <w:sz w:val="20"/>
          <w:szCs w:val="20"/>
          <w:color w:val="auto"/>
        </w:rPr>
      </w:pPr>
      <w:r>
        <w:rPr>
          <w:rFonts w:ascii="Times New Roman" w:cs="Times New Roman" w:eastAsia="Times New Roman" w:hAnsi="Times New Roman"/>
          <w:sz w:val="13"/>
          <w:szCs w:val="13"/>
          <w:color w:val="auto"/>
        </w:rPr>
        <w:t>Other than disclosed in this Item 4, there have been no changes in our internal control over financial reporting that occurred during the period ended March 31, 2024 that have materially affected, or are reasonably likely to materially affect, our internal control over financial reporting.</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65" w:lineRule="exact"/>
        <w:rPr>
          <w:sz w:val="20"/>
          <w:szCs w:val="20"/>
          <w:color w:val="auto"/>
        </w:rPr>
      </w:pPr>
    </w:p>
    <w:p>
      <w:pPr>
        <w:ind w:firstLine="420"/>
        <w:spacing w:after="0" w:line="262" w:lineRule="auto"/>
        <w:rPr>
          <w:sz w:val="20"/>
          <w:szCs w:val="20"/>
          <w:color w:val="auto"/>
        </w:rPr>
      </w:pPr>
      <w:r>
        <w:rPr>
          <w:rFonts w:ascii="Times New Roman" w:cs="Times New Roman" w:eastAsia="Times New Roman" w:hAnsi="Times New Roman"/>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65" w:lineRule="exact"/>
        <w:rPr>
          <w:sz w:val="20"/>
          <w:szCs w:val="20"/>
          <w:color w:val="auto"/>
        </w:rPr>
      </w:pPr>
    </w:p>
    <w:p>
      <w:pPr>
        <w:ind w:right="80" w:firstLine="420"/>
        <w:spacing w:after="0" w:line="262" w:lineRule="auto"/>
        <w:rPr>
          <w:sz w:val="20"/>
          <w:szCs w:val="20"/>
          <w:color w:val="auto"/>
        </w:rPr>
      </w:pPr>
      <w:r>
        <w:rPr>
          <w:rFonts w:ascii="Times New Roman" w:cs="Times New Roman" w:eastAsia="Times New Roman" w:hAnsi="Times New Roman"/>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2023 filed on December 8, 2023, which could materially affect our business, financial condition and/or operating results. The risks described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288" w:right="72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10b5-1 Disclosure</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None of the officers or directors of the Company have adopted or terminated any Rule 10b5-1 trading arrangements applicable to them (if any) or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28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540" w:type="dxa"/>
            <w:vAlign w:val="bottom"/>
            <w:gridSpan w:val="23"/>
          </w:tcPr>
          <w:p>
            <w:pPr>
              <w:ind w:left="400"/>
              <w:spacing w:after="0"/>
              <w:rPr>
                <w:sz w:val="20"/>
                <w:szCs w:val="20"/>
                <w:color w:val="auto"/>
              </w:rPr>
            </w:pPr>
            <w:r>
              <w:rPr>
                <w:rFonts w:ascii="Times New Roman" w:cs="Times New Roman" w:eastAsia="Times New Roman" w:hAnsi="Times New Roman"/>
                <w:sz w:val="13"/>
                <w:szCs w:val="13"/>
                <w:color w:val="auto"/>
              </w:rPr>
              <w:t>Unless specifically indicated otherwise, the following exhibits are incorporated by reference to exhibits previously filed with the SEC:</w:t>
            </w:r>
          </w:p>
        </w:tc>
      </w:tr>
      <w:tr>
        <w:trPr>
          <w:trHeight w:val="320"/>
        </w:trPr>
        <w:tc>
          <w:tcPr>
            <w:tcW w:w="7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3.1</w:t>
            </w:r>
          </w:p>
        </w:tc>
        <w:tc>
          <w:tcPr>
            <w:tcW w:w="974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Articles of Amendment and Restatement of the Registrant (Incorporated by reference to Exhibit 99(A) to the Registrant's Pre-Effective Amendment No. 3 to the Registration Statement</w:t>
              </w:r>
            </w:hyperlink>
          </w:p>
        </w:tc>
        <w:tc>
          <w:tcPr>
            <w:tcW w:w="60" w:type="dxa"/>
            <w:vAlign w:val="bottom"/>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3340" w:type="dxa"/>
            <w:vAlign w:val="bottom"/>
            <w:tcBorders>
              <w:bottom w:val="single" w:sz="8" w:color="0000FF"/>
            </w:tcBorders>
            <w:gridSpan w:val="7"/>
          </w:tcPr>
          <w:p>
            <w:pPr>
              <w:spacing w:after="0" w:line="136"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on Form N-2 (File No. 333-170243), filed on March 29, 2011).</w:t>
              </w:r>
            </w:hyperlink>
          </w:p>
        </w:tc>
        <w:tc>
          <w:tcPr>
            <w:tcW w:w="6460" w:type="dxa"/>
            <w:vAlign w:val="bottom"/>
            <w:gridSpan w:val="15"/>
          </w:tcPr>
          <w:p>
            <w:pPr>
              <w:spacing w:after="0"/>
              <w:rPr>
                <w:sz w:val="11"/>
                <w:szCs w:val="11"/>
                <w:color w:val="auto"/>
              </w:rPr>
            </w:pPr>
          </w:p>
        </w:tc>
      </w:tr>
      <w:tr>
        <w:trPr>
          <w:trHeight w:val="304"/>
        </w:trPr>
        <w:tc>
          <w:tcPr>
            <w:tcW w:w="7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3.2</w:t>
            </w:r>
          </w:p>
        </w:tc>
        <w:tc>
          <w:tcPr>
            <w:tcW w:w="954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Second Amended and Restated Bylaws of the Registrant (Incorporated by reference to Exhibit 3.2 to the Registrant's Quarterly Report on Form 10-Q (File No. 814-00891), filed on</w:t>
              </w:r>
            </w:hyperlink>
          </w:p>
        </w:tc>
        <w:tc>
          <w:tcPr>
            <w:tcW w:w="260" w:type="dxa"/>
            <w:vAlign w:val="bottom"/>
            <w:gridSpan w:val="5"/>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820" w:type="dxa"/>
            <w:vAlign w:val="bottom"/>
            <w:tcBorders>
              <w:bottom w:val="single" w:sz="8" w:color="0000FF"/>
            </w:tcBorders>
            <w:gridSpan w:val="3"/>
          </w:tcPr>
          <w:p>
            <w:pPr>
              <w:spacing w:after="0" w:line="136" w:lineRule="exact"/>
              <w:rPr>
                <w:rFonts w:ascii="Times New Roman" w:cs="Times New Roman" w:eastAsia="Times New Roman" w:hAnsi="Times New Roman"/>
                <w:sz w:val="13"/>
                <w:szCs w:val="13"/>
                <w:color w:val="0000FF"/>
                <w:w w:val="99"/>
              </w:rPr>
            </w:pPr>
            <w:hyperlink r:id="rId78">
              <w:r>
                <w:rPr>
                  <w:rFonts w:ascii="Times New Roman" w:cs="Times New Roman" w:eastAsia="Times New Roman" w:hAnsi="Times New Roman"/>
                  <w:sz w:val="13"/>
                  <w:szCs w:val="13"/>
                  <w:color w:val="0000FF"/>
                  <w:w w:val="99"/>
                </w:rPr>
                <w:t>May 11, 2020).</w:t>
              </w:r>
            </w:hyperlink>
          </w:p>
        </w:tc>
        <w:tc>
          <w:tcPr>
            <w:tcW w:w="8980" w:type="dxa"/>
            <w:vAlign w:val="bottom"/>
            <w:gridSpan w:val="19"/>
          </w:tcPr>
          <w:p>
            <w:pPr>
              <w:spacing w:after="0"/>
              <w:rPr>
                <w:sz w:val="11"/>
                <w:szCs w:val="11"/>
                <w:color w:val="auto"/>
              </w:rPr>
            </w:pPr>
          </w:p>
        </w:tc>
      </w:tr>
      <w:tr>
        <w:trPr>
          <w:trHeight w:val="304"/>
        </w:trPr>
        <w:tc>
          <w:tcPr>
            <w:tcW w:w="7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4.1</w:t>
            </w:r>
          </w:p>
        </w:tc>
        <w:tc>
          <w:tcPr>
            <w:tcW w:w="9500" w:type="dxa"/>
            <w:vAlign w:val="bottom"/>
            <w:tcBorders>
              <w:bottom w:val="single" w:sz="8" w:color="0000FF"/>
            </w:tcBorders>
            <w:gridSpan w:val="16"/>
          </w:tcPr>
          <w:p>
            <w:pPr>
              <w:spacing w:after="0"/>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Form of Share Certificate (Incorporated by reference to Exhibit 99(D) to the Registrant's Pre-Effective Amendment No. 5 to the Registration Statement on Form N-2 (File No. 333</w:t>
              </w:r>
            </w:hyperlink>
            <w:r>
              <w:rPr>
                <w:rFonts w:ascii="Times New Roman" w:cs="Times New Roman" w:eastAsia="Times New Roman" w:hAnsi="Times New Roman"/>
                <w:sz w:val="13"/>
                <w:szCs w:val="13"/>
                <w:color w:val="0000FF"/>
              </w:rPr>
              <w:t>-</w:t>
            </w:r>
          </w:p>
        </w:tc>
        <w:tc>
          <w:tcPr>
            <w:tcW w:w="300" w:type="dxa"/>
            <w:vAlign w:val="bottom"/>
            <w:gridSpan w:val="6"/>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1740" w:type="dxa"/>
            <w:vAlign w:val="bottom"/>
            <w:tcBorders>
              <w:bottom w:val="single" w:sz="8" w:color="0000FF"/>
            </w:tcBorders>
            <w:gridSpan w:val="4"/>
          </w:tcPr>
          <w:p>
            <w:pPr>
              <w:spacing w:after="0" w:line="136"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170243)</w:t>
              </w:r>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 xml:space="preserve"> filed on April 5, 2011).</w:t>
              </w:r>
            </w:hyperlink>
          </w:p>
        </w:tc>
        <w:tc>
          <w:tcPr>
            <w:tcW w:w="8060" w:type="dxa"/>
            <w:vAlign w:val="bottom"/>
            <w:gridSpan w:val="18"/>
          </w:tcPr>
          <w:p>
            <w:pPr>
              <w:spacing w:after="0"/>
              <w:rPr>
                <w:sz w:val="11"/>
                <w:szCs w:val="11"/>
                <w:color w:val="auto"/>
              </w:rPr>
            </w:pPr>
          </w:p>
        </w:tc>
      </w:tr>
      <w:tr>
        <w:trPr>
          <w:trHeight w:val="340"/>
        </w:trPr>
        <w:tc>
          <w:tcPr>
            <w:tcW w:w="7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w w:val="87"/>
              </w:rPr>
              <w:t>10.1</w:t>
            </w:r>
          </w:p>
        </w:tc>
        <w:tc>
          <w:tcPr>
            <w:tcW w:w="936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Indenture, dated as of February 22, 2024, by and between PennantPark CLO VIII, LLC, as issuer, and Wilmington Trust, National Association, as trustee and as collateral agent</w:t>
              </w:r>
            </w:hyperlink>
          </w:p>
        </w:tc>
        <w:tc>
          <w:tcPr>
            <w:tcW w:w="440" w:type="dxa"/>
            <w:vAlign w:val="bottom"/>
            <w:gridSpan w:val="7"/>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7440" w:type="dxa"/>
            <w:vAlign w:val="bottom"/>
            <w:tcBorders>
              <w:bottom w:val="single" w:sz="8" w:color="0000FF"/>
            </w:tcBorders>
            <w:gridSpan w:val="12"/>
          </w:tcPr>
          <w:p>
            <w:pPr>
              <w:spacing w:after="0" w:line="136"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(Incorporated by reference to Exhibit 10.1 to the Registrant's Current Report on Form 8-K (File No. 814-00891) filed on February 27, 2024).</w:t>
              </w:r>
            </w:hyperlink>
          </w:p>
        </w:tc>
        <w:tc>
          <w:tcPr>
            <w:tcW w:w="60" w:type="dxa"/>
            <w:vAlign w:val="bottom"/>
            <w:tcBorders>
              <w:bottom w:val="single" w:sz="8" w:color="0000EE"/>
            </w:tcBorders>
          </w:tcPr>
          <w:p>
            <w:pPr>
              <w:spacing w:after="0"/>
              <w:rPr>
                <w:sz w:val="11"/>
                <w:szCs w:val="11"/>
                <w:color w:val="auto"/>
              </w:rPr>
            </w:pPr>
          </w:p>
        </w:tc>
        <w:tc>
          <w:tcPr>
            <w:tcW w:w="2300" w:type="dxa"/>
            <w:vAlign w:val="bottom"/>
            <w:gridSpan w:val="9"/>
          </w:tcPr>
          <w:p>
            <w:pPr>
              <w:spacing w:after="0"/>
              <w:rPr>
                <w:sz w:val="11"/>
                <w:szCs w:val="11"/>
                <w:color w:val="auto"/>
              </w:rPr>
            </w:pPr>
          </w:p>
        </w:tc>
      </w:tr>
      <w:tr>
        <w:trPr>
          <w:trHeight w:val="340"/>
        </w:trPr>
        <w:tc>
          <w:tcPr>
            <w:tcW w:w="7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w w:val="87"/>
              </w:rPr>
              <w:t>10.2</w:t>
            </w:r>
          </w:p>
        </w:tc>
        <w:tc>
          <w:tcPr>
            <w:tcW w:w="974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Credit Agreement, dated as of February 22, 2024, by and among PennantPark CLO VIII, LLC, as borrower, the various financial institutions party thereto from time to time, as lenders,</w:t>
              </w:r>
            </w:hyperlink>
          </w:p>
        </w:tc>
        <w:tc>
          <w:tcPr>
            <w:tcW w:w="60" w:type="dxa"/>
            <w:vAlign w:val="bottom"/>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9660" w:type="dxa"/>
            <w:vAlign w:val="bottom"/>
            <w:tcBorders>
              <w:bottom w:val="single" w:sz="8" w:color="0000FF"/>
            </w:tcBorders>
            <w:gridSpan w:val="18"/>
          </w:tcPr>
          <w:p>
            <w:pPr>
              <w:spacing w:after="0" w:line="136"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and Wilmington Trust, National Association, as collateral agent and as loan agent (Incorporated by reference to Exhibit 10.2 to the Registrant's Current Report on Form 8-K (File No.</w:t>
              </w:r>
            </w:hyperlink>
          </w:p>
        </w:tc>
        <w:tc>
          <w:tcPr>
            <w:tcW w:w="140" w:type="dxa"/>
            <w:vAlign w:val="bottom"/>
            <w:gridSpan w:val="4"/>
          </w:tcPr>
          <w:p>
            <w:pPr>
              <w:spacing w:after="0"/>
              <w:rPr>
                <w:sz w:val="11"/>
                <w:szCs w:val="11"/>
                <w:color w:val="auto"/>
              </w:rPr>
            </w:pPr>
          </w:p>
        </w:tc>
      </w:tr>
      <w:tr>
        <w:trPr>
          <w:trHeight w:val="136"/>
        </w:trPr>
        <w:tc>
          <w:tcPr>
            <w:tcW w:w="740" w:type="dxa"/>
            <w:vAlign w:val="bottom"/>
          </w:tcPr>
          <w:p>
            <w:pPr>
              <w:spacing w:after="0"/>
              <w:rPr>
                <w:sz w:val="11"/>
                <w:szCs w:val="11"/>
                <w:color w:val="auto"/>
              </w:rPr>
            </w:pPr>
          </w:p>
        </w:tc>
        <w:tc>
          <w:tcPr>
            <w:tcW w:w="2140" w:type="dxa"/>
            <w:vAlign w:val="bottom"/>
            <w:tcBorders>
              <w:bottom w:val="single" w:sz="8" w:color="0000FF"/>
            </w:tcBorders>
            <w:gridSpan w:val="5"/>
          </w:tcPr>
          <w:p>
            <w:pPr>
              <w:spacing w:after="0" w:line="136"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814-00891) filed on February 27, 2024).</w:t>
              </w:r>
            </w:hyperlink>
          </w:p>
        </w:tc>
        <w:tc>
          <w:tcPr>
            <w:tcW w:w="80" w:type="dxa"/>
            <w:vAlign w:val="bottom"/>
            <w:tcBorders>
              <w:bottom w:val="single" w:sz="8" w:color="0000EE"/>
            </w:tcBorders>
          </w:tcPr>
          <w:p>
            <w:pPr>
              <w:spacing w:after="0"/>
              <w:rPr>
                <w:sz w:val="11"/>
                <w:szCs w:val="11"/>
                <w:color w:val="auto"/>
              </w:rPr>
            </w:pPr>
          </w:p>
        </w:tc>
        <w:tc>
          <w:tcPr>
            <w:tcW w:w="7580" w:type="dxa"/>
            <w:vAlign w:val="bottom"/>
            <w:gridSpan w:val="16"/>
          </w:tcPr>
          <w:p>
            <w:pPr>
              <w:spacing w:after="0"/>
              <w:rPr>
                <w:sz w:val="11"/>
                <w:szCs w:val="11"/>
                <w:color w:val="auto"/>
              </w:rPr>
            </w:pPr>
          </w:p>
        </w:tc>
      </w:tr>
      <w:tr>
        <w:trPr>
          <w:trHeight w:val="340"/>
        </w:trPr>
        <w:tc>
          <w:tcPr>
            <w:tcW w:w="7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w w:val="87"/>
              </w:rPr>
              <w:t>10.3</w:t>
            </w:r>
          </w:p>
        </w:tc>
        <w:tc>
          <w:tcPr>
            <w:tcW w:w="9720" w:type="dxa"/>
            <w:vAlign w:val="bottom"/>
            <w:tcBorders>
              <w:bottom w:val="single" w:sz="8" w:color="0000FF"/>
            </w:tcBorders>
            <w:gridSpan w:val="20"/>
          </w:tcPr>
          <w:p>
            <w:pPr>
              <w:spacing w:after="0"/>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Collateral Management Agreement, dated as of February 22, 2024, between PennantPark CLO VIII, LLC, as issuer, and PennantPark Investment Advisers, LLC, as collateral manager</w:t>
              </w:r>
            </w:hyperlink>
          </w:p>
        </w:tc>
        <w:tc>
          <w:tcPr>
            <w:tcW w:w="80" w:type="dxa"/>
            <w:vAlign w:val="bottom"/>
            <w:gridSpan w:val="2"/>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7440" w:type="dxa"/>
            <w:vAlign w:val="bottom"/>
            <w:tcBorders>
              <w:bottom w:val="single" w:sz="8" w:color="0000FF"/>
            </w:tcBorders>
            <w:gridSpan w:val="12"/>
          </w:tcPr>
          <w:p>
            <w:pPr>
              <w:spacing w:after="0" w:line="136"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(Incorporated by reference to Exhibit 10.3 to the Registrant's Current Report on Form 8-K (File No. 814-00891) filed on February 27, 2024).</w:t>
              </w:r>
            </w:hyperlink>
          </w:p>
        </w:tc>
        <w:tc>
          <w:tcPr>
            <w:tcW w:w="60" w:type="dxa"/>
            <w:vAlign w:val="bottom"/>
            <w:tcBorders>
              <w:bottom w:val="single" w:sz="8" w:color="0000EE"/>
            </w:tcBorders>
          </w:tcPr>
          <w:p>
            <w:pPr>
              <w:spacing w:after="0"/>
              <w:rPr>
                <w:sz w:val="11"/>
                <w:szCs w:val="11"/>
                <w:color w:val="auto"/>
              </w:rPr>
            </w:pPr>
          </w:p>
        </w:tc>
        <w:tc>
          <w:tcPr>
            <w:tcW w:w="2300" w:type="dxa"/>
            <w:vAlign w:val="bottom"/>
            <w:gridSpan w:val="9"/>
          </w:tcPr>
          <w:p>
            <w:pPr>
              <w:spacing w:after="0"/>
              <w:rPr>
                <w:sz w:val="11"/>
                <w:szCs w:val="11"/>
                <w:color w:val="auto"/>
              </w:rPr>
            </w:pPr>
          </w:p>
        </w:tc>
      </w:tr>
      <w:tr>
        <w:trPr>
          <w:trHeight w:val="340"/>
        </w:trPr>
        <w:tc>
          <w:tcPr>
            <w:tcW w:w="7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w w:val="87"/>
              </w:rPr>
              <w:t>10.4</w:t>
            </w:r>
          </w:p>
        </w:tc>
        <w:tc>
          <w:tcPr>
            <w:tcW w:w="980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Master Loan Sale Agreement, dated as of February 22, 2024, among PennantPark Floating Rate Capital Ltd., as seller, PennantPark CLO VIII, LLC, as buyer, and PennantPark Floating</w:t>
              </w:r>
            </w:hyperlink>
          </w:p>
        </w:tc>
      </w:tr>
      <w:tr>
        <w:trPr>
          <w:trHeight w:val="136"/>
        </w:trPr>
        <w:tc>
          <w:tcPr>
            <w:tcW w:w="740" w:type="dxa"/>
            <w:vAlign w:val="bottom"/>
          </w:tcPr>
          <w:p>
            <w:pPr>
              <w:spacing w:after="0"/>
              <w:rPr>
                <w:sz w:val="11"/>
                <w:szCs w:val="11"/>
                <w:color w:val="auto"/>
              </w:rPr>
            </w:pPr>
          </w:p>
        </w:tc>
        <w:tc>
          <w:tcPr>
            <w:tcW w:w="9800" w:type="dxa"/>
            <w:vAlign w:val="bottom"/>
            <w:gridSpan w:val="22"/>
          </w:tcPr>
          <w:p>
            <w:pPr>
              <w:spacing w:after="0" w:line="136" w:lineRule="exact"/>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Rate Funding I, LLC as the financing subsidiary (Incorporated by reference to Exhibit 10.4 to the Registrant's Current Report on Form 8-K (File No. 814-00891) filed on February 27,</w:t>
              </w:r>
            </w:hyperlink>
          </w:p>
        </w:tc>
      </w:tr>
      <w:tr>
        <w:trPr>
          <w:trHeight w:val="136"/>
        </w:trPr>
        <w:tc>
          <w:tcPr>
            <w:tcW w:w="740" w:type="dxa"/>
            <w:vAlign w:val="bottom"/>
          </w:tcPr>
          <w:p>
            <w:pPr>
              <w:spacing w:after="0"/>
              <w:rPr>
                <w:sz w:val="11"/>
                <w:szCs w:val="11"/>
                <w:color w:val="auto"/>
              </w:rPr>
            </w:pPr>
          </w:p>
        </w:tc>
        <w:tc>
          <w:tcPr>
            <w:tcW w:w="340" w:type="dxa"/>
            <w:vAlign w:val="bottom"/>
            <w:tcBorders>
              <w:top w:val="single" w:sz="8" w:color="0000FF"/>
              <w:bottom w:val="single" w:sz="8" w:color="0000FF"/>
            </w:tcBorders>
          </w:tcPr>
          <w:p>
            <w:pPr>
              <w:spacing w:after="0" w:line="136" w:lineRule="exact"/>
              <w:rPr>
                <w:rFonts w:ascii="Times New Roman" w:cs="Times New Roman" w:eastAsia="Times New Roman" w:hAnsi="Times New Roman"/>
                <w:sz w:val="13"/>
                <w:szCs w:val="13"/>
                <w:color w:val="0000FF"/>
                <w:w w:val="95"/>
              </w:rPr>
            </w:pPr>
            <w:hyperlink r:id="rId83">
              <w:r>
                <w:rPr>
                  <w:rFonts w:ascii="Times New Roman" w:cs="Times New Roman" w:eastAsia="Times New Roman" w:hAnsi="Times New Roman"/>
                  <w:sz w:val="13"/>
                  <w:szCs w:val="13"/>
                  <w:color w:val="0000FF"/>
                  <w:w w:val="95"/>
                </w:rPr>
                <w:t>2024).</w:t>
              </w:r>
            </w:hyperlink>
          </w:p>
        </w:tc>
        <w:tc>
          <w:tcPr>
            <w:tcW w:w="80" w:type="dxa"/>
            <w:vAlign w:val="bottom"/>
            <w:tcBorders>
              <w:top w:val="single" w:sz="8" w:color="0000FF"/>
              <w:bottom w:val="single" w:sz="8" w:color="0000EE"/>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19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340"/>
        </w:trPr>
        <w:tc>
          <w:tcPr>
            <w:tcW w:w="74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5"/>
              </w:rPr>
              <w:t>31.1*</w:t>
            </w:r>
          </w:p>
        </w:tc>
        <w:tc>
          <w:tcPr>
            <w:tcW w:w="624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13a-14 of the Securities Exchange Act of 1934, as amended.</w:t>
              </w:r>
            </w:hyperlink>
          </w:p>
        </w:tc>
        <w:tc>
          <w:tcPr>
            <w:tcW w:w="3560" w:type="dxa"/>
            <w:vAlign w:val="bottom"/>
            <w:gridSpan w:val="11"/>
          </w:tcPr>
          <w:p>
            <w:pPr>
              <w:spacing w:after="0"/>
              <w:rPr>
                <w:sz w:val="24"/>
                <w:szCs w:val="24"/>
                <w:color w:val="auto"/>
              </w:rPr>
            </w:pPr>
          </w:p>
        </w:tc>
      </w:tr>
      <w:tr>
        <w:trPr>
          <w:trHeight w:val="304"/>
        </w:trPr>
        <w:tc>
          <w:tcPr>
            <w:tcW w:w="74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5"/>
              </w:rPr>
              <w:t>31.2*</w:t>
            </w:r>
          </w:p>
        </w:tc>
        <w:tc>
          <w:tcPr>
            <w:tcW w:w="9800" w:type="dxa"/>
            <w:vAlign w:val="bottom"/>
            <w:gridSpan w:val="22"/>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13a-14 of the Securities Exchange Act of 1934, as amended.</w:t>
              </w:r>
            </w:hyperlink>
          </w:p>
        </w:tc>
      </w:tr>
      <w:tr>
        <w:trPr>
          <w:trHeight w:val="304"/>
        </w:trPr>
        <w:tc>
          <w:tcPr>
            <w:tcW w:w="74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5"/>
              </w:rPr>
              <w:t>32.1*</w:t>
            </w:r>
          </w:p>
        </w:tc>
        <w:tc>
          <w:tcPr>
            <w:tcW w:w="6200" w:type="dxa"/>
            <w:vAlign w:val="bottom"/>
            <w:tcBorders>
              <w:top w:val="single" w:sz="8" w:color="0000FF"/>
            </w:tcBorders>
            <w:gridSpan w:val="10"/>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3600" w:type="dxa"/>
            <w:vAlign w:val="bottom"/>
            <w:gridSpan w:val="12"/>
          </w:tcPr>
          <w:p>
            <w:pPr>
              <w:spacing w:after="0"/>
              <w:rPr>
                <w:sz w:val="24"/>
                <w:szCs w:val="24"/>
                <w:color w:val="auto"/>
              </w:rPr>
            </w:pPr>
          </w:p>
        </w:tc>
      </w:tr>
      <w:tr>
        <w:trPr>
          <w:trHeight w:val="304"/>
        </w:trPr>
        <w:tc>
          <w:tcPr>
            <w:tcW w:w="74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5"/>
              </w:rPr>
              <w:t>32.2*</w:t>
            </w:r>
          </w:p>
        </w:tc>
        <w:tc>
          <w:tcPr>
            <w:tcW w:w="5320" w:type="dxa"/>
            <w:vAlign w:val="bottom"/>
            <w:tcBorders>
              <w:top w:val="single" w:sz="8" w:color="0000FF"/>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c>
          <w:tcPr>
            <w:tcW w:w="4480" w:type="dxa"/>
            <w:vAlign w:val="bottom"/>
            <w:gridSpan w:val="13"/>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5280" w:type="dxa"/>
            <w:vAlign w:val="bottom"/>
            <w:gridSpan w:val="8"/>
            <w:shd w:val="clear" w:color="auto" w:fill="0000FF"/>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r>
      <w:tr>
        <w:trPr>
          <w:trHeight w:val="304"/>
        </w:trPr>
        <w:tc>
          <w:tcPr>
            <w:tcW w:w="74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w w:val="87"/>
              </w:rPr>
              <w:t>99.1</w:t>
            </w:r>
          </w:p>
        </w:tc>
        <w:tc>
          <w:tcPr>
            <w:tcW w:w="9800" w:type="dxa"/>
            <w:vAlign w:val="bottom"/>
            <w:gridSpan w:val="22"/>
          </w:tcPr>
          <w:p>
            <w:pPr>
              <w:spacing w:after="0"/>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Privacy Policy of the Registrant (Incorporated by reference to Exhibit 99.1 to the Registrant’s Annual Report on Form 10-K (File No. 814-00891), filed on November 17, 2011)</w:t>
              </w:r>
            </w:hyperlink>
            <w:r>
              <w:rPr>
                <w:rFonts w:ascii="Times New Roman" w:cs="Times New Roman" w:eastAsia="Times New Roman" w:hAnsi="Times New Roman"/>
                <w:sz w:val="13"/>
                <w:szCs w:val="13"/>
                <w:color w:val="0000FF"/>
              </w:rPr>
              <w:t>.</w:t>
            </w:r>
          </w:p>
        </w:tc>
      </w:tr>
      <w:tr>
        <w:trPr>
          <w:trHeight w:val="332"/>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9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auto"/>
              </w:rPr>
              <w:t>Inline XBRL Instance Document-the instance document does not appear in the Interactive Data File as its XBRL tags are embedded within the Inline XBRL document</w:t>
            </w:r>
          </w:p>
        </w:tc>
        <w:tc>
          <w:tcPr>
            <w:tcW w:w="460" w:type="dxa"/>
            <w:vAlign w:val="bottom"/>
            <w:gridSpan w:val="8"/>
          </w:tcPr>
          <w:p>
            <w:pPr>
              <w:spacing w:after="0"/>
              <w:rPr>
                <w:sz w:val="24"/>
                <w:szCs w:val="24"/>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98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98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98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98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980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bl>
    <w:p>
      <w:pPr>
        <w:spacing w:after="0" w:line="152" w:lineRule="exact"/>
        <w:rPr>
          <w:sz w:val="20"/>
          <w:szCs w:val="20"/>
          <w:color w:val="auto"/>
        </w:rPr>
      </w:pPr>
    </w:p>
    <w:p>
      <w:pPr>
        <w:ind w:right="6220" w:firstLine="18"/>
        <w:spacing w:after="0" w:line="528" w:lineRule="auto"/>
        <w:tabs>
          <w:tab w:leader="none" w:pos="756" w:val="left"/>
        </w:tabs>
        <w:numPr>
          <w:ilvl w:val="1"/>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formatted as Inline XBRL and contained in Exhibit 101 * Filed herewith.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88" w:right="680" w:bottom="1440" w:gutter="0" w:footer="0" w:header="0"/>
        </w:sectPr>
      </w:pPr>
    </w:p>
    <w:bookmarkStart w:id="62" w:name="page63"/>
    <w:bookmarkEnd w:id="62"/>
    <w:p>
      <w:pPr>
        <w:jc w:val="center"/>
        <w:ind w:right="-27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61" w:lineRule="exact"/>
        <w:rPr>
          <w:sz w:val="20"/>
          <w:szCs w:val="20"/>
          <w:color w:val="auto"/>
        </w:rPr>
      </w:pPr>
    </w:p>
    <w:p>
      <w:pPr>
        <w:ind w:firstLine="420"/>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10300"/>
          </w:cols>
          <w:pgMar w:left="660" w:top="1288" w:right="9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May 8, 2024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May 8,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PENNANTPARK FLOATING RATE CAPITAL LTD.</w:t>
      </w: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11430</wp:posOffset>
            </wp:positionV>
            <wp:extent cx="302577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Arthur H. Penn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Chief Executive Officer and Chairman of the Board of Directors</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b w:val="1"/>
          <w:bCs w:val="1"/>
          <w:color w:val="auto"/>
        </w:rPr>
        <w:t>(Principal Executive Officer)</w:t>
      </w:r>
    </w:p>
    <w:p>
      <w:pPr>
        <w:spacing w:after="0" w:line="2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11430</wp:posOffset>
            </wp:positionV>
            <wp:extent cx="302577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Richard T. Allorto, Jr.</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Chief Financial Officer and Treasurer</w:t>
      </w:r>
    </w:p>
    <w:p>
      <w:pPr>
        <w:spacing w:after="0" w:line="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(Principal Financial and Accounting Officer)</w:t>
      </w:r>
    </w:p>
    <w:p>
      <w:pPr>
        <w:sectPr>
          <w:pgSz w:w="11900" w:h="16840" w:orient="portrait"/>
          <w:cols w:equalWidth="0" w:num="3">
            <w:col w:w="4480" w:space="720"/>
            <w:col w:w="460" w:space="700"/>
            <w:col w:w="3940"/>
          </w:cols>
          <w:pgMar w:left="660" w:top="1288" w:right="940"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CHIEF EXECUTIVE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Arthur H. Penn, Chief Executive Officer of PennantPark Floating Rate Capital, Ltd., certify that:</w:t>
      </w:r>
    </w:p>
    <w:p>
      <w:pPr>
        <w:spacing w:after="0" w:line="163" w:lineRule="exact"/>
        <w:rPr>
          <w:sz w:val="20"/>
          <w:szCs w:val="20"/>
          <w:color w:val="auto"/>
        </w:rPr>
      </w:pPr>
    </w:p>
    <w:p>
      <w:pPr>
        <w:ind w:left="580" w:hanging="142"/>
        <w:spacing w:after="0"/>
        <w:tabs>
          <w:tab w:leader="none" w:pos="5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Floating Rate Capital, Ltd.;</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sz w:val="20"/>
          <w:szCs w:val="20"/>
          <w:color w:val="auto"/>
        </w:rPr>
      </w:pPr>
    </w:p>
    <w:p>
      <w:pPr>
        <w:ind w:right="300" w:firstLine="438"/>
        <w:spacing w:after="0" w:line="286" w:lineRule="auto"/>
        <w:tabs>
          <w:tab w:leader="none" w:pos="56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May 8, 2024</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Name:</w:t>
        <w:tab/>
        <w:t>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646430</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3"/>
          <w:szCs w:val="13"/>
          <w:b w:val="1"/>
          <w:bCs w:val="1"/>
          <w:color w:val="auto"/>
        </w:rPr>
        <w:t>CERTIFICATION PURSUANT TO SECTION 302</w:t>
      </w:r>
    </w:p>
    <w:p>
      <w:pPr>
        <w:spacing w:after="0" w:line="2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CHIEF FINANCIAL OFFICER CERTIFICATION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Richard T. Allorto, Jr., Chief Financial Officer of PennantPark Floating Rate Capital, Ltd., certify that:</w:t>
      </w:r>
    </w:p>
    <w:p>
      <w:pPr>
        <w:spacing w:after="0" w:line="163" w:lineRule="exact"/>
        <w:rPr>
          <w:sz w:val="20"/>
          <w:szCs w:val="20"/>
          <w:color w:val="auto"/>
        </w:rPr>
      </w:pPr>
    </w:p>
    <w:p>
      <w:pPr>
        <w:ind w:left="580" w:hanging="142"/>
        <w:spacing w:after="0"/>
        <w:tabs>
          <w:tab w:leader="none" w:pos="5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PennantPark Floating Rate Capital, Ltd.;</w:t>
      </w:r>
    </w:p>
    <w:p>
      <w:pPr>
        <w:spacing w:after="0" w:line="162" w:lineRule="exact"/>
        <w:rPr>
          <w:rFonts w:ascii="Times New Roman" w:cs="Times New Roman" w:eastAsia="Times New Roman" w:hAnsi="Times New Roman"/>
          <w:sz w:val="13"/>
          <w:szCs w:val="13"/>
          <w:color w:val="auto"/>
        </w:rPr>
      </w:pPr>
    </w:p>
    <w:p>
      <w:pPr>
        <w:ind w:right="580" w:firstLine="450"/>
        <w:spacing w:after="0" w:line="286" w:lineRule="auto"/>
        <w:tabs>
          <w:tab w:leader="none" w:pos="576"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auto"/>
        </w:rPr>
      </w:pPr>
    </w:p>
    <w:p>
      <w:pPr>
        <w:ind w:right="660" w:firstLine="450"/>
        <w:spacing w:after="0" w:line="286" w:lineRule="auto"/>
        <w:tabs>
          <w:tab w:leader="none" w:pos="576"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auto"/>
        </w:rPr>
      </w:pPr>
    </w:p>
    <w:p>
      <w:pPr>
        <w:ind w:left="580" w:hanging="130"/>
        <w:spacing w:after="0"/>
        <w:tabs>
          <w:tab w:leader="none" w:pos="580"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w:t>
      </w:r>
    </w:p>
    <w:p>
      <w:pPr>
        <w:spacing w:after="0" w:line="20"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3"/>
          <w:szCs w:val="13"/>
          <w:color w:val="auto"/>
        </w:rPr>
      </w:pPr>
    </w:p>
    <w:p>
      <w:pPr>
        <w:ind w:right="480" w:firstLine="738"/>
        <w:spacing w:after="0" w:line="286" w:lineRule="auto"/>
        <w:tabs>
          <w:tab w:leader="none" w:pos="868" w:val="left"/>
        </w:tabs>
        <w:numPr>
          <w:ilvl w:val="3"/>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auto"/>
        </w:rPr>
      </w:pPr>
    </w:p>
    <w:p>
      <w:pPr>
        <w:ind w:right="640" w:firstLine="738"/>
        <w:spacing w:after="0" w:line="286" w:lineRule="auto"/>
        <w:tabs>
          <w:tab w:leader="none" w:pos="875" w:val="left"/>
        </w:tabs>
        <w:numPr>
          <w:ilvl w:val="3"/>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auto"/>
        </w:rPr>
      </w:pPr>
    </w:p>
    <w:p>
      <w:pPr>
        <w:ind w:right="240" w:firstLine="714"/>
        <w:spacing w:after="0" w:line="286" w:lineRule="auto"/>
        <w:tabs>
          <w:tab w:leader="none" w:pos="844" w:val="left"/>
        </w:tabs>
        <w:numPr>
          <w:ilvl w:val="2"/>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3"/>
          <w:szCs w:val="13"/>
          <w:color w:val="auto"/>
        </w:rPr>
      </w:pPr>
    </w:p>
    <w:p>
      <w:pPr>
        <w:ind w:right="560" w:firstLine="726"/>
        <w:spacing w:after="0" w:line="286" w:lineRule="auto"/>
        <w:tabs>
          <w:tab w:leader="none" w:pos="863" w:val="left"/>
        </w:tabs>
        <w:numPr>
          <w:ilvl w:val="3"/>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auto"/>
        </w:rPr>
      </w:pPr>
    </w:p>
    <w:p>
      <w:pPr>
        <w:ind w:right="420" w:firstLine="450"/>
        <w:spacing w:after="0" w:line="286" w:lineRule="auto"/>
        <w:tabs>
          <w:tab w:leader="none" w:pos="576"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auto"/>
        </w:rPr>
      </w:pPr>
    </w:p>
    <w:p>
      <w:pPr>
        <w:ind w:right="620" w:firstLine="714"/>
        <w:spacing w:after="0" w:line="286" w:lineRule="auto"/>
        <w:tabs>
          <w:tab w:leader="none" w:pos="844" w:val="left"/>
        </w:tabs>
        <w:numPr>
          <w:ilvl w:val="2"/>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auto"/>
        </w:rPr>
      </w:pPr>
    </w:p>
    <w:p>
      <w:pPr>
        <w:ind w:left="860" w:hanging="134"/>
        <w:spacing w:after="0"/>
        <w:tabs>
          <w:tab w:leader="none" w:pos="860" w:val="left"/>
        </w:tabs>
        <w:numPr>
          <w:ilvl w:val="3"/>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May 8, 2024</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Name:</w:t>
        <w:tab/>
        <w:t>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3"/>
          <w:szCs w:val="13"/>
          <w:color w:val="auto"/>
        </w:rPr>
        <w:t>Title:</w:t>
      </w:r>
      <w:r>
        <w:rPr>
          <w:sz w:val="20"/>
          <w:szCs w:val="20"/>
          <w:color w:val="auto"/>
        </w:rPr>
        <w:tab/>
      </w:r>
      <w:r>
        <w:rPr>
          <w:rFonts w:ascii="Times New Roman" w:cs="Times New Roman" w:eastAsia="Times New Roman" w:hAnsi="Times New Roman"/>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646430</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5" w:name="page66"/>
    <w:bookmarkEnd w:id="65"/>
    <w:p>
      <w:pPr>
        <w:ind w:left="974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and six months ended March 31, 2024 (the “Report”) of PennantPark Floating Rate Capital, Ltd.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Arthur H. Penn, Chief Executive Officer of the Registrant, hereby certify, to the best of my knowledge, that:</w:t>
      </w:r>
    </w:p>
    <w:p>
      <w:pPr>
        <w:spacing w:after="0" w:line="149" w:lineRule="exact"/>
        <w:rPr>
          <w:sz w:val="20"/>
          <w:szCs w:val="20"/>
          <w:color w:val="auto"/>
        </w:rPr>
      </w:pPr>
    </w:p>
    <w:p>
      <w:pPr>
        <w:ind w:left="720" w:hanging="258"/>
        <w:spacing w:after="0"/>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Arthur H. Penn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Arthur H. Penn</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180"/>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May 8, 2024</w:t>
            </w:r>
          </w:p>
        </w:tc>
      </w:tr>
      <w:tr>
        <w:trPr>
          <w:trHeight w:val="1028"/>
        </w:trPr>
        <w:tc>
          <w:tcPr>
            <w:tcW w:w="460" w:type="dxa"/>
            <w:vAlign w:val="bottom"/>
            <w:tcBorders>
              <w:bottom w:val="single" w:sz="8" w:color="EEEEEE"/>
            </w:tcBorders>
          </w:tcPr>
          <w:p>
            <w:pPr>
              <w:spacing w:after="0"/>
              <w:rPr>
                <w:sz w:val="24"/>
                <w:szCs w:val="24"/>
                <w:color w:val="auto"/>
              </w:rPr>
            </w:pPr>
          </w:p>
        </w:tc>
        <w:tc>
          <w:tcPr>
            <w:tcW w:w="10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6" w:name="page67"/>
    <w:bookmarkEnd w:id="66"/>
    <w:p>
      <w:pPr>
        <w:ind w:left="9740"/>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 (18 U.S.C. 1350)</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 connection with this Report on Form 10-Q for the three and six months ended March 31, 2024 (the “Report”) of PennantPark Floating Rate Capital, Ltd. (the “Registrant”), as filed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and Exchange Commission on the date hereof, I, Richard T. Allorto, Jr., Chief Financial Officer of the Registrant, hereby certify, to the best of my knowledge, that:</w:t>
      </w:r>
    </w:p>
    <w:p>
      <w:pPr>
        <w:spacing w:after="0" w:line="149" w:lineRule="exact"/>
        <w:rPr>
          <w:sz w:val="20"/>
          <w:szCs w:val="20"/>
          <w:color w:val="auto"/>
        </w:rPr>
      </w:pPr>
    </w:p>
    <w:p>
      <w:pPr>
        <w:ind w:left="720" w:hanging="258"/>
        <w:spacing w:after="0"/>
        <w:tabs>
          <w:tab w:leader="none" w:pos="7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3"/>
          <w:szCs w:val="13"/>
          <w:color w:val="auto"/>
        </w:rPr>
      </w:pPr>
    </w:p>
    <w:p>
      <w:pPr>
        <w:ind w:left="720" w:hanging="258"/>
        <w:spacing w:after="0"/>
        <w:tabs>
          <w:tab w:leader="none" w:pos="7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Richard T. Allorto, Jr.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Name:</w:t>
            </w:r>
          </w:p>
        </w:tc>
        <w:tc>
          <w:tcPr>
            <w:tcW w:w="10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Richard T. Allorto, Jr.</w:t>
            </w:r>
          </w:p>
        </w:tc>
      </w:tr>
      <w:tr>
        <w:trPr>
          <w:trHeight w:val="180"/>
        </w:trPr>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Title:</w:t>
            </w:r>
          </w:p>
        </w:tc>
        <w:tc>
          <w:tcPr>
            <w:tcW w:w="10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80"/>
        </w:trPr>
        <w:tc>
          <w:tcPr>
            <w:tcW w:w="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Date:</w:t>
            </w:r>
          </w:p>
        </w:tc>
        <w:tc>
          <w:tcPr>
            <w:tcW w:w="10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May 8, 2024</w:t>
            </w:r>
          </w:p>
        </w:tc>
      </w:tr>
      <w:tr>
        <w:trPr>
          <w:trHeight w:val="1028"/>
        </w:trPr>
        <w:tc>
          <w:tcPr>
            <w:tcW w:w="520" w:type="dxa"/>
            <w:vAlign w:val="bottom"/>
            <w:tcBorders>
              <w:bottom w:val="single" w:sz="8" w:color="EEEEEE"/>
            </w:tcBorders>
          </w:tcPr>
          <w:p>
            <w:pPr>
              <w:spacing w:after="0"/>
              <w:rPr>
                <w:sz w:val="24"/>
                <w:szCs w:val="24"/>
                <w:color w:val="auto"/>
              </w:rPr>
            </w:pPr>
          </w:p>
        </w:tc>
        <w:tc>
          <w:tcPr>
            <w:tcW w:w="10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67" w:name="page68"/>
    <w:bookmarkEnd w:id="6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5"/>
    </w:lvl>
  </w:abstractNum>
  <w:abstractNum w:abstractNumId="3">
    <w:nsid w:val="140E0F76"/>
    <w:multiLevelType w:val="hybridMultilevel"/>
    <w:lvl w:ilvl="0">
      <w:lvlJc w:val="left"/>
      <w:lvlText w:val="%1."/>
      <w:numFmt w:val="decimal"/>
      <w:start w:val="3"/>
    </w:lvl>
    <w:lvl w:ilvl="1">
      <w:lvlJc w:val="left"/>
      <w:lvlText w:val="(%2)"/>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4"/>
    </w:lvl>
  </w:abstractNum>
  <w:abstractNum w:abstractNumId="9">
    <w:nsid w:val="41A7C4C9"/>
    <w:multiLevelType w:val="hybridMultilevel"/>
    <w:lvl w:ilvl="0">
      <w:lvlJc w:val="left"/>
      <w:lvlText w:val="(%1)"/>
      <w:numFmt w:val="lowerRoman"/>
      <w:start w:val="5"/>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lvl w:ilvl="1">
      <w:lvlJc w:val="left"/>
      <w:lvlText w:val="%2"/>
      <w:numFmt w:val="decimal"/>
      <w:start w:val="104"/>
    </w:lvl>
  </w:abstractNum>
  <w:abstractNum w:abstractNumId="12">
    <w:nsid w:val="25E45D32"/>
    <w:multiLevelType w:val="hybridMultilevel"/>
    <w:lvl w:ilvl="0">
      <w:lvlJc w:val="left"/>
      <w:lvlText w:val="%1."/>
      <w:numFmt w:val="decimal"/>
      <w:start w:val="1"/>
    </w:lvl>
    <w:lvl w:ilvl="1">
      <w:lvlJc w:val="left"/>
      <w:lvlText w:val="%2."/>
      <w:numFmt w:val="decimal"/>
      <w:start w:val="2"/>
    </w:lvl>
  </w:abstractNum>
  <w:abstractNum w:abstractNumId="13">
    <w:nsid w:val="519B500D"/>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4">
    <w:nsid w:val="431BD7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5">
    <w:nsid w:val="3F2DBA31"/>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16">
    <w:nsid w:val="7C83E458"/>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8">
    <w:nsid w:val="62BBD95A"/>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2"/>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77" Type="http://schemas.openxmlformats.org/officeDocument/2006/relationships/hyperlink" Target="https://www.sec.gov/Archives/edgar/data/1504619/000119312511080862/dex99a.htm" TargetMode="External"/><Relationship Id="rId78" Type="http://schemas.openxmlformats.org/officeDocument/2006/relationships/hyperlink" Target="https://www.sec.gov/Archives/edgar/data/1504619/000156459020024167/pflt-ex32_144.htm" TargetMode="External"/><Relationship Id="rId79" Type="http://schemas.openxmlformats.org/officeDocument/2006/relationships/hyperlink" Target="https://www.sec.gov/Archives/edgar/data/1504619/000119312511088977/dex99d.htm" TargetMode="External"/><Relationship Id="rId80" Type="http://schemas.openxmlformats.org/officeDocument/2006/relationships/hyperlink" Target="https://www.sec.gov/Archives/edgar/data/1504619/000119312524047922/d620677dex101.htm" TargetMode="External"/><Relationship Id="rId81" Type="http://schemas.openxmlformats.org/officeDocument/2006/relationships/hyperlink" Target="https://www.sec.gov/Archives/edgar/data/1504619/000119312524047922/d620677dex102.htm" TargetMode="External"/><Relationship Id="rId82" Type="http://schemas.openxmlformats.org/officeDocument/2006/relationships/hyperlink" Target="https://www.sec.gov/Archives/edgar/data/1504619/000119312524047922/d620677dex103.htm" TargetMode="External"/><Relationship Id="rId83" Type="http://schemas.openxmlformats.org/officeDocument/2006/relationships/hyperlink" Target="https://www.sec.gov/Archives/edgar/data/1504619/000119312524047922/d620677dex104.htm" TargetMode="External"/><Relationship Id="rId84"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2024-05-08T15:52:44Z</dcterms:created>
  <dcterms:modified xsi:type="dcterms:W3CDTF">2024-05-08T15:52:44Z</dcterms:modified>
</cp:coreProperties>
</file>