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580" w:type="dxa"/>
            <w:vAlign w:val="bottom"/>
          </w:tcPr>
          <w:p>
            <w:pPr>
              <w:ind w:left="3280"/>
              <w:spacing w:after="0"/>
              <w:rPr>
                <w:sz w:val="20"/>
                <w:szCs w:val="20"/>
                <w:color w:val="auto"/>
              </w:rPr>
            </w:pPr>
            <w:r>
              <w:rPr>
                <w:rFonts w:ascii="Arial" w:cs="Arial" w:eastAsia="Arial" w:hAnsi="Arial"/>
                <w:sz w:val="18"/>
                <w:szCs w:val="18"/>
                <w:b w:val="1"/>
                <w:bCs w:val="1"/>
                <w:color w:val="auto"/>
              </w:rPr>
              <w:t>FOR THE TRANSITION PERIOD FROM</w:t>
            </w:r>
          </w:p>
        </w:tc>
        <w:tc>
          <w:tcPr>
            <w:tcW w:w="5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ind w:left="20"/>
              <w:spacing w:after="0"/>
              <w:rPr>
                <w:sz w:val="20"/>
                <w:szCs w:val="20"/>
                <w:color w:val="auto"/>
              </w:rPr>
            </w:pPr>
            <w:r>
              <w:rPr>
                <w:rFonts w:ascii="Arial" w:cs="Arial" w:eastAsia="Arial" w:hAnsi="Arial"/>
                <w:sz w:val="18"/>
                <w:szCs w:val="18"/>
                <w:b w:val="1"/>
                <w:bCs w:val="1"/>
                <w:color w:val="auto"/>
              </w:rPr>
              <w:t>TO</w:t>
            </w:r>
          </w:p>
        </w:tc>
        <w:tc>
          <w:tcPr>
            <w:tcW w:w="3640" w:type="dxa"/>
            <w:vAlign w:val="bottom"/>
          </w:tcPr>
          <w:p>
            <w:pPr>
              <w:spacing w:after="0"/>
              <w:rPr>
                <w:sz w:val="17"/>
                <w:szCs w:val="17"/>
                <w:color w:val="auto"/>
              </w:rPr>
            </w:pPr>
          </w:p>
        </w:tc>
      </w:tr>
      <w:tr>
        <w:trPr>
          <w:trHeight w:val="396"/>
        </w:trPr>
        <w:tc>
          <w:tcPr>
            <w:tcW w:w="7600" w:type="dxa"/>
            <w:vAlign w:val="bottom"/>
            <w:gridSpan w:val="4"/>
          </w:tcPr>
          <w:p>
            <w:pPr>
              <w:jc w:val="center"/>
              <w:ind w:left="3563"/>
              <w:spacing w:after="0"/>
              <w:rPr>
                <w:sz w:val="20"/>
                <w:szCs w:val="20"/>
                <w:color w:val="auto"/>
              </w:rPr>
            </w:pPr>
            <w:r>
              <w:rPr>
                <w:rFonts w:ascii="Arial" w:cs="Arial" w:eastAsia="Arial" w:hAnsi="Arial"/>
                <w:sz w:val="18"/>
                <w:szCs w:val="18"/>
                <w:b w:val="1"/>
                <w:bCs w:val="1"/>
                <w:color w:val="auto"/>
                <w:w w:val="96"/>
              </w:rPr>
              <w:t>COMMISSION FILE NUMBER: 814-00891</w:t>
            </w:r>
          </w:p>
        </w:tc>
        <w:tc>
          <w:tcPr>
            <w:tcW w:w="3640" w:type="dxa"/>
            <w:vAlign w:val="bottom"/>
          </w:tcPr>
          <w:p>
            <w:pPr>
              <w:spacing w:after="0"/>
              <w:rPr>
                <w:sz w:val="24"/>
                <w:szCs w:val="24"/>
                <w:color w:val="auto"/>
              </w:rPr>
            </w:pPr>
          </w:p>
        </w:tc>
      </w:tr>
      <w:tr>
        <w:trPr>
          <w:trHeight w:val="245"/>
        </w:trPr>
        <w:tc>
          <w:tcPr>
            <w:tcW w:w="65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gridSpan w:val="3"/>
          </w:tcPr>
          <w:p>
            <w:pPr>
              <w:spacing w:after="0"/>
              <w:rPr>
                <w:sz w:val="21"/>
                <w:szCs w:val="21"/>
                <w:color w:val="auto"/>
              </w:rPr>
            </w:pPr>
          </w:p>
        </w:tc>
      </w:tr>
      <w:tr>
        <w:trPr>
          <w:trHeight w:val="426"/>
        </w:trPr>
        <w:tc>
          <w:tcPr>
            <w:tcW w:w="11240" w:type="dxa"/>
            <w:vAlign w:val="bottom"/>
            <w:gridSpan w:val="5"/>
          </w:tcPr>
          <w:p>
            <w:pPr>
              <w:jc w:val="center"/>
              <w:spacing w:after="0"/>
              <w:rPr>
                <w:sz w:val="20"/>
                <w:szCs w:val="20"/>
                <w:color w:val="auto"/>
              </w:rPr>
            </w:pPr>
            <w:r>
              <w:rPr>
                <w:rFonts w:ascii="Arial" w:cs="Arial" w:eastAsia="Arial" w:hAnsi="Arial"/>
                <w:sz w:val="32"/>
                <w:szCs w:val="32"/>
                <w:b w:val="1"/>
                <w:bCs w:val="1"/>
                <w:color w:val="auto"/>
              </w:rPr>
              <w:t>PENNANTPARK FLOATING RATE CAPITAL LTD.</w:t>
            </w:r>
          </w:p>
        </w:tc>
      </w:tr>
      <w:tr>
        <w:trPr>
          <w:trHeight w:val="174"/>
        </w:trPr>
        <w:tc>
          <w:tcPr>
            <w:tcW w:w="7120" w:type="dxa"/>
            <w:vAlign w:val="bottom"/>
            <w:gridSpan w:val="3"/>
          </w:tcPr>
          <w:p>
            <w:pPr>
              <w:jc w:val="center"/>
              <w:ind w:left="4063"/>
              <w:spacing w:after="0"/>
              <w:rPr>
                <w:sz w:val="20"/>
                <w:szCs w:val="20"/>
                <w:color w:val="auto"/>
              </w:rPr>
            </w:pPr>
            <w:r>
              <w:rPr>
                <w:rFonts w:ascii="Arial" w:cs="Arial" w:eastAsia="Arial" w:hAnsi="Arial"/>
                <w:sz w:val="13"/>
                <w:szCs w:val="13"/>
                <w:b w:val="1"/>
                <w:bCs w:val="1"/>
                <w:color w:val="auto"/>
                <w:w w:val="93"/>
              </w:rPr>
              <w:t>(Exact name of registrant as specified in its charter)</w:t>
            </w:r>
          </w:p>
        </w:tc>
        <w:tc>
          <w:tcPr>
            <w:tcW w:w="4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17"/>
        </w:trPr>
        <w:tc>
          <w:tcPr>
            <w:tcW w:w="6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237"/>
        </w:trPr>
        <w:tc>
          <w:tcPr>
            <w:tcW w:w="7120" w:type="dxa"/>
            <w:vAlign w:val="bottom"/>
            <w:gridSpan w:val="3"/>
          </w:tcPr>
          <w:p>
            <w:pPr>
              <w:jc w:val="center"/>
              <w:ind w:right="1440"/>
              <w:spacing w:after="0"/>
              <w:rPr>
                <w:sz w:val="20"/>
                <w:szCs w:val="20"/>
                <w:color w:val="auto"/>
              </w:rPr>
            </w:pPr>
            <w:r>
              <w:rPr>
                <w:rFonts w:ascii="Arial" w:cs="Arial" w:eastAsia="Arial" w:hAnsi="Arial"/>
                <w:sz w:val="13"/>
                <w:szCs w:val="13"/>
                <w:b w:val="1"/>
                <w:bCs w:val="1"/>
                <w:color w:val="auto"/>
              </w:rPr>
              <w:t>MARYLAND</w:t>
            </w:r>
          </w:p>
        </w:tc>
        <w:tc>
          <w:tcPr>
            <w:tcW w:w="480" w:type="dxa"/>
            <w:vAlign w:val="bottom"/>
          </w:tcPr>
          <w:p>
            <w:pPr>
              <w:spacing w:after="0"/>
              <w:rPr>
                <w:sz w:val="20"/>
                <w:szCs w:val="20"/>
                <w:color w:val="auto"/>
              </w:rPr>
            </w:pPr>
          </w:p>
        </w:tc>
        <w:tc>
          <w:tcPr>
            <w:tcW w:w="3640" w:type="dxa"/>
            <w:vAlign w:val="bottom"/>
          </w:tcPr>
          <w:p>
            <w:pPr>
              <w:jc w:val="right"/>
              <w:ind w:right="2333"/>
              <w:spacing w:after="0"/>
              <w:rPr>
                <w:sz w:val="20"/>
                <w:szCs w:val="20"/>
                <w:color w:val="auto"/>
              </w:rPr>
            </w:pPr>
            <w:r>
              <w:rPr>
                <w:rFonts w:ascii="Arial" w:cs="Arial" w:eastAsia="Arial" w:hAnsi="Arial"/>
                <w:sz w:val="13"/>
                <w:szCs w:val="13"/>
                <w:b w:val="1"/>
                <w:bCs w:val="1"/>
                <w:color w:val="auto"/>
              </w:rPr>
              <w:t>27-3794690</w:t>
            </w:r>
          </w:p>
        </w:tc>
      </w:tr>
      <w:tr>
        <w:trPr>
          <w:trHeight w:val="149"/>
        </w:trPr>
        <w:tc>
          <w:tcPr>
            <w:tcW w:w="7120" w:type="dxa"/>
            <w:vAlign w:val="bottom"/>
            <w:gridSpan w:val="3"/>
          </w:tcPr>
          <w:p>
            <w:pPr>
              <w:jc w:val="center"/>
              <w:ind w:right="1440"/>
              <w:spacing w:after="0"/>
              <w:rPr>
                <w:sz w:val="20"/>
                <w:szCs w:val="20"/>
                <w:color w:val="auto"/>
              </w:rPr>
            </w:pPr>
            <w:r>
              <w:rPr>
                <w:rFonts w:ascii="Arial" w:cs="Arial" w:eastAsia="Arial" w:hAnsi="Arial"/>
                <w:sz w:val="13"/>
                <w:szCs w:val="13"/>
                <w:b w:val="1"/>
                <w:bCs w:val="1"/>
                <w:color w:val="auto"/>
                <w:w w:val="94"/>
              </w:rPr>
              <w:t>(State or other jurisdiction of</w:t>
            </w:r>
          </w:p>
        </w:tc>
        <w:tc>
          <w:tcPr>
            <w:tcW w:w="480" w:type="dxa"/>
            <w:vAlign w:val="bottom"/>
          </w:tcPr>
          <w:p>
            <w:pPr>
              <w:spacing w:after="0"/>
              <w:rPr>
                <w:sz w:val="12"/>
                <w:szCs w:val="12"/>
                <w:color w:val="auto"/>
              </w:rPr>
            </w:pPr>
          </w:p>
        </w:tc>
        <w:tc>
          <w:tcPr>
            <w:tcW w:w="3640" w:type="dxa"/>
            <w:vAlign w:val="bottom"/>
          </w:tcPr>
          <w:p>
            <w:pPr>
              <w:jc w:val="center"/>
              <w:ind w:right="1753"/>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7120" w:type="dxa"/>
            <w:vAlign w:val="bottom"/>
            <w:gridSpan w:val="3"/>
          </w:tcPr>
          <w:p>
            <w:pPr>
              <w:jc w:val="center"/>
              <w:ind w:right="1440"/>
              <w:spacing w:after="0"/>
              <w:rPr>
                <w:sz w:val="20"/>
                <w:szCs w:val="20"/>
                <w:color w:val="auto"/>
              </w:rPr>
            </w:pPr>
            <w:r>
              <w:rPr>
                <w:rFonts w:ascii="Arial" w:cs="Arial" w:eastAsia="Arial" w:hAnsi="Arial"/>
                <w:sz w:val="13"/>
                <w:szCs w:val="13"/>
                <w:b w:val="1"/>
                <w:bCs w:val="1"/>
                <w:color w:val="auto"/>
                <w:w w:val="94"/>
              </w:rPr>
              <w:t>incorporation or organization)</w:t>
            </w:r>
          </w:p>
        </w:tc>
        <w:tc>
          <w:tcPr>
            <w:tcW w:w="480" w:type="dxa"/>
            <w:vAlign w:val="bottom"/>
          </w:tcPr>
          <w:p>
            <w:pPr>
              <w:spacing w:after="0"/>
              <w:rPr>
                <w:sz w:val="15"/>
                <w:szCs w:val="15"/>
                <w:color w:val="auto"/>
              </w:rPr>
            </w:pPr>
          </w:p>
        </w:tc>
        <w:tc>
          <w:tcPr>
            <w:tcW w:w="3640" w:type="dxa"/>
            <w:vAlign w:val="bottom"/>
          </w:tcPr>
          <w:p>
            <w:pPr>
              <w:jc w:val="center"/>
              <w:ind w:right="1753"/>
              <w:spacing w:after="0"/>
              <w:rPr>
                <w:sz w:val="20"/>
                <w:szCs w:val="20"/>
                <w:color w:val="auto"/>
              </w:rPr>
            </w:pPr>
            <w:r>
              <w:rPr>
                <w:rFonts w:ascii="Arial" w:cs="Arial" w:eastAsia="Arial" w:hAnsi="Arial"/>
                <w:sz w:val="13"/>
                <w:szCs w:val="13"/>
                <w:b w:val="1"/>
                <w:bCs w:val="1"/>
                <w:color w:val="auto"/>
                <w:w w:val="96"/>
              </w:rPr>
              <w:t>Identification No.)</w:t>
            </w:r>
          </w:p>
        </w:tc>
      </w:tr>
      <w:tr>
        <w:trPr>
          <w:trHeight w:val="338"/>
        </w:trPr>
        <w:tc>
          <w:tcPr>
            <w:tcW w:w="7120" w:type="dxa"/>
            <w:vAlign w:val="bottom"/>
            <w:gridSpan w:val="3"/>
          </w:tcPr>
          <w:p>
            <w:pPr>
              <w:jc w:val="center"/>
              <w:ind w:right="1440"/>
              <w:spacing w:after="0"/>
              <w:rPr>
                <w:sz w:val="20"/>
                <w:szCs w:val="20"/>
                <w:color w:val="auto"/>
              </w:rPr>
            </w:pPr>
            <w:r>
              <w:rPr>
                <w:rFonts w:ascii="Arial" w:cs="Arial" w:eastAsia="Arial" w:hAnsi="Arial"/>
                <w:sz w:val="13"/>
                <w:szCs w:val="13"/>
                <w:b w:val="1"/>
                <w:bCs w:val="1"/>
                <w:color w:val="auto"/>
                <w:w w:val="93"/>
              </w:rPr>
              <w:t>590 Madison Avenue,</w:t>
            </w:r>
          </w:p>
        </w:tc>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76"/>
        </w:trPr>
        <w:tc>
          <w:tcPr>
            <w:tcW w:w="7120" w:type="dxa"/>
            <w:vAlign w:val="bottom"/>
            <w:gridSpan w:val="3"/>
          </w:tcPr>
          <w:p>
            <w:pPr>
              <w:jc w:val="center"/>
              <w:ind w:right="1440"/>
              <w:spacing w:after="0" w:line="176" w:lineRule="exact"/>
              <w:rPr>
                <w:sz w:val="20"/>
                <w:szCs w:val="20"/>
                <w:color w:val="auto"/>
              </w:rPr>
            </w:pPr>
            <w:r>
              <w:rPr>
                <w:rFonts w:ascii="Arial" w:cs="Arial" w:eastAsia="Arial" w:hAnsi="Arial"/>
                <w:sz w:val="12"/>
                <w:szCs w:val="12"/>
                <w:b w:val="1"/>
                <w:bCs w:val="1"/>
                <w:color w:val="auto"/>
              </w:rPr>
              <w:t>15</w:t>
            </w:r>
            <w:r>
              <w:rPr>
                <w:rFonts w:ascii="Arial" w:cs="Arial" w:eastAsia="Arial" w:hAnsi="Arial"/>
                <w:sz w:val="20"/>
                <w:szCs w:val="20"/>
                <w:b w:val="1"/>
                <w:bCs w:val="1"/>
                <w:color w:val="auto"/>
                <w:vertAlign w:val="superscript"/>
              </w:rPr>
              <w:t>th</w:t>
            </w:r>
            <w:r>
              <w:rPr>
                <w:rFonts w:ascii="Arial" w:cs="Arial" w:eastAsia="Arial" w:hAnsi="Arial"/>
                <w:sz w:val="12"/>
                <w:szCs w:val="12"/>
                <w:b w:val="1"/>
                <w:bCs w:val="1"/>
                <w:color w:val="auto"/>
              </w:rPr>
              <w:t xml:space="preserve"> Floor, New York, N.Y.</w:t>
            </w:r>
          </w:p>
        </w:tc>
        <w:tc>
          <w:tcPr>
            <w:tcW w:w="480" w:type="dxa"/>
            <w:vAlign w:val="bottom"/>
          </w:tcPr>
          <w:p>
            <w:pPr>
              <w:spacing w:after="0"/>
              <w:rPr>
                <w:sz w:val="15"/>
                <w:szCs w:val="15"/>
                <w:color w:val="auto"/>
              </w:rPr>
            </w:pPr>
          </w:p>
        </w:tc>
        <w:tc>
          <w:tcPr>
            <w:tcW w:w="3640" w:type="dxa"/>
            <w:vAlign w:val="bottom"/>
          </w:tcPr>
          <w:p>
            <w:pPr>
              <w:jc w:val="right"/>
              <w:ind w:right="2493"/>
              <w:spacing w:after="0"/>
              <w:rPr>
                <w:sz w:val="20"/>
                <w:szCs w:val="20"/>
                <w:color w:val="auto"/>
              </w:rPr>
            </w:pPr>
            <w:r>
              <w:rPr>
                <w:rFonts w:ascii="Arial" w:cs="Arial" w:eastAsia="Arial" w:hAnsi="Arial"/>
                <w:sz w:val="13"/>
                <w:szCs w:val="13"/>
                <w:b w:val="1"/>
                <w:bCs w:val="1"/>
                <w:color w:val="auto"/>
              </w:rPr>
              <w:t>10022</w:t>
            </w:r>
          </w:p>
        </w:tc>
      </w:tr>
      <w:tr>
        <w:trPr>
          <w:trHeight w:val="174"/>
        </w:trPr>
        <w:tc>
          <w:tcPr>
            <w:tcW w:w="7120" w:type="dxa"/>
            <w:vAlign w:val="bottom"/>
            <w:gridSpan w:val="3"/>
          </w:tcPr>
          <w:p>
            <w:pPr>
              <w:jc w:val="center"/>
              <w:ind w:right="144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480" w:type="dxa"/>
            <w:vAlign w:val="bottom"/>
          </w:tcPr>
          <w:p>
            <w:pPr>
              <w:spacing w:after="0"/>
              <w:rPr>
                <w:sz w:val="15"/>
                <w:szCs w:val="15"/>
                <w:color w:val="auto"/>
              </w:rPr>
            </w:pPr>
          </w:p>
        </w:tc>
        <w:tc>
          <w:tcPr>
            <w:tcW w:w="3640" w:type="dxa"/>
            <w:vAlign w:val="bottom"/>
          </w:tcPr>
          <w:p>
            <w:pPr>
              <w:jc w:val="center"/>
              <w:ind w:right="1753"/>
              <w:spacing w:after="0"/>
              <w:rPr>
                <w:sz w:val="20"/>
                <w:szCs w:val="20"/>
                <w:color w:val="auto"/>
              </w:rPr>
            </w:pPr>
            <w:r>
              <w:rPr>
                <w:rFonts w:ascii="Arial" w:cs="Arial" w:eastAsia="Arial" w:hAnsi="Arial"/>
                <w:sz w:val="13"/>
                <w:szCs w:val="13"/>
                <w:b w:val="1"/>
                <w:bCs w:val="1"/>
                <w:color w:val="auto"/>
                <w:w w:val="96"/>
              </w:rPr>
              <w:t>(Zip Code)</w:t>
            </w:r>
          </w:p>
        </w:tc>
      </w:tr>
      <w:tr>
        <w:trPr>
          <w:trHeight w:val="285"/>
        </w:trPr>
        <w:tc>
          <w:tcPr>
            <w:tcW w:w="6580" w:type="dxa"/>
            <w:vAlign w:val="bottom"/>
          </w:tcPr>
          <w:p>
            <w:pPr>
              <w:jc w:val="center"/>
              <w:ind w:left="4583"/>
              <w:spacing w:after="0"/>
              <w:rPr>
                <w:sz w:val="20"/>
                <w:szCs w:val="20"/>
                <w:color w:val="auto"/>
              </w:rPr>
            </w:pPr>
            <w:r>
              <w:rPr>
                <w:rFonts w:ascii="Arial" w:cs="Arial" w:eastAsia="Arial" w:hAnsi="Arial"/>
                <w:sz w:val="13"/>
                <w:szCs w:val="13"/>
                <w:b w:val="1"/>
                <w:bCs w:val="1"/>
                <w:color w:val="auto"/>
                <w:w w:val="94"/>
              </w:rPr>
              <w:t>(212) 905-1000</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74"/>
        </w:trPr>
        <w:tc>
          <w:tcPr>
            <w:tcW w:w="7600" w:type="dxa"/>
            <w:vAlign w:val="bottom"/>
            <w:gridSpan w:val="4"/>
          </w:tcPr>
          <w:p>
            <w:pPr>
              <w:jc w:val="center"/>
              <w:ind w:left="3583"/>
              <w:spacing w:after="0"/>
              <w:rPr>
                <w:sz w:val="20"/>
                <w:szCs w:val="20"/>
                <w:color w:val="auto"/>
              </w:rPr>
            </w:pPr>
            <w:r>
              <w:rPr>
                <w:rFonts w:ascii="Arial" w:cs="Arial" w:eastAsia="Arial" w:hAnsi="Arial"/>
                <w:sz w:val="13"/>
                <w:szCs w:val="13"/>
                <w:b w:val="1"/>
                <w:bCs w:val="1"/>
                <w:color w:val="auto"/>
                <w:w w:val="93"/>
              </w:rPr>
              <w:t>(Registrant’s Telephone Number, Including Area Code)</w:t>
            </w:r>
          </w:p>
        </w:tc>
        <w:tc>
          <w:tcPr>
            <w:tcW w:w="3640" w:type="dxa"/>
            <w:vAlign w:val="bottom"/>
          </w:tcPr>
          <w:p>
            <w:pPr>
              <w:spacing w:after="0"/>
              <w:rPr>
                <w:sz w:val="15"/>
                <w:szCs w:val="15"/>
                <w:color w:val="auto"/>
              </w:rPr>
            </w:pPr>
          </w:p>
        </w:tc>
      </w:tr>
      <w:tr>
        <w:trPr>
          <w:trHeight w:val="230"/>
        </w:trPr>
        <w:tc>
          <w:tcPr>
            <w:tcW w:w="65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3"/>
          </w:tcPr>
          <w:p>
            <w:pPr>
              <w:spacing w:after="0"/>
              <w:rPr>
                <w:sz w:val="20"/>
                <w:szCs w:val="20"/>
                <w:color w:val="auto"/>
              </w:rPr>
            </w:pPr>
          </w:p>
        </w:tc>
      </w:tr>
      <w:tr>
        <w:trPr>
          <w:trHeight w:val="196"/>
        </w:trPr>
        <w:tc>
          <w:tcPr>
            <w:tcW w:w="11240" w:type="dxa"/>
            <w:vAlign w:val="bottom"/>
            <w:gridSpan w:val="5"/>
          </w:tcPr>
          <w:p>
            <w:pPr>
              <w:ind w:left="340"/>
              <w:spacing w:after="0"/>
              <w:rPr>
                <w:sz w:val="20"/>
                <w:szCs w:val="20"/>
                <w:color w:val="auto"/>
              </w:rPr>
            </w:pPr>
            <w:r>
              <w:rPr>
                <w:rFonts w:ascii="Arial" w:cs="Arial" w:eastAsia="Arial" w:hAnsi="Arial"/>
                <w:sz w:val="13"/>
                <w:szCs w:val="13"/>
                <w:color w:val="auto"/>
                <w:w w:val="97"/>
              </w:rPr>
              <w:t>Indicate by check mark whether the registrant (1) has filed all reports required to be filed by Section 13 or 15(d) of the Securities Exchange Act of 1934 during the preceding 12 months (or for such</w:t>
            </w:r>
          </w:p>
        </w:tc>
      </w:tr>
      <w:tr>
        <w:trPr>
          <w:trHeight w:val="211"/>
        </w:trPr>
        <w:tc>
          <w:tcPr>
            <w:tcW w:w="7600" w:type="dxa"/>
            <w:vAlign w:val="bottom"/>
            <w:gridSpan w:val="4"/>
          </w:tcPr>
          <w:p>
            <w:pPr>
              <w:spacing w:after="0"/>
              <w:rPr>
                <w:sz w:val="20"/>
                <w:szCs w:val="20"/>
                <w:color w:val="auto"/>
              </w:rPr>
            </w:pPr>
            <w:r>
              <w:rPr>
                <w:rFonts w:ascii="Arial" w:cs="Arial" w:eastAsia="Arial" w:hAnsi="Arial"/>
                <w:sz w:val="13"/>
                <w:szCs w:val="13"/>
                <w:color w:val="auto"/>
                <w:w w:val="94"/>
              </w:rPr>
              <w:t>shorter period that the registrant was required to file such reports), and (2) has been subject to such filing requirements for the past 90 days.</w:t>
            </w:r>
          </w:p>
        </w:tc>
        <w:tc>
          <w:tcPr>
            <w:tcW w:w="3640" w:type="dxa"/>
            <w:vAlign w:val="bottom"/>
          </w:tcPr>
          <w:p>
            <w:pPr>
              <w:ind w:left="6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r>
    </w:tbl>
    <w:p>
      <w:pPr>
        <w:spacing w:after="0" w:line="115" w:lineRule="exact"/>
        <w:rPr>
          <w:sz w:val="24"/>
          <w:szCs w:val="24"/>
          <w:color w:val="auto"/>
        </w:rPr>
      </w:pPr>
    </w:p>
    <w:p>
      <w:pPr>
        <w:ind w:right="120" w:firstLine="337"/>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24" w:lineRule="exact"/>
        <w:rPr>
          <w:sz w:val="24"/>
          <w:szCs w:val="24"/>
          <w:color w:val="auto"/>
        </w:rPr>
      </w:pPr>
    </w:p>
    <w:p>
      <w:pPr>
        <w:ind w:right="340" w:firstLine="337"/>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158"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36" w:lineRule="exact"/>
        <w:rPr>
          <w:sz w:val="24"/>
          <w:szCs w:val="24"/>
          <w:color w:val="auto"/>
        </w:rPr>
      </w:pPr>
    </w:p>
    <w:p>
      <w:pPr>
        <w:sectPr>
          <w:pgSz w:w="11900" w:h="16838" w:orient="portrait"/>
          <w:cols w:equalWidth="0" w:num="4">
            <w:col w:w="1220" w:space="360"/>
            <w:col w:w="6920" w:space="720"/>
            <w:col w:w="1180" w:space="720"/>
            <w:col w:w="120"/>
          </w:cols>
          <w:pgMar w:left="320" w:top="230"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90" w:lineRule="exact"/>
        <w:rPr>
          <w:sz w:val="24"/>
          <w:szCs w:val="24"/>
          <w:color w:val="auto"/>
        </w:rPr>
      </w:pPr>
    </w:p>
    <w:p>
      <w:pPr>
        <w:sectPr>
          <w:pgSz w:w="11900" w:h="16838" w:orient="portrait"/>
          <w:cols w:equalWidth="0" w:num="5">
            <w:col w:w="1160" w:space="420"/>
            <w:col w:w="120" w:space="40"/>
            <w:col w:w="6760" w:space="720"/>
            <w:col w:w="1480" w:space="420"/>
            <w:col w:w="120"/>
          </w:cols>
          <w:pgMar w:left="320" w:top="230" w:right="339" w:bottom="1440" w:gutter="0" w:footer="0" w:header="0"/>
          <w:type w:val="continuous"/>
        </w:sectPr>
      </w:pPr>
    </w:p>
    <w:p>
      <w:pPr>
        <w:ind w:left="34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6" w:lineRule="exact"/>
        <w:rPr>
          <w:sz w:val="24"/>
          <w:szCs w:val="24"/>
          <w:color w:val="auto"/>
        </w:rPr>
      </w:pPr>
    </w:p>
    <w:p>
      <w:pPr>
        <w:ind w:left="340"/>
        <w:spacing w:after="0"/>
        <w:rPr>
          <w:sz w:val="20"/>
          <w:szCs w:val="20"/>
          <w:color w:val="auto"/>
        </w:rPr>
      </w:pPr>
      <w:r>
        <w:rPr>
          <w:rFonts w:ascii="Arial" w:cs="Arial" w:eastAsia="Arial" w:hAnsi="Arial"/>
          <w:sz w:val="12"/>
          <w:szCs w:val="12"/>
          <w:color w:val="auto"/>
        </w:rPr>
        <w:t>The number of shares of the registrant’s common stock, $0.001 par value per share, outstanding as of February 5, 2015 was 14,898,056.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FLOATING RATE CAPITAL LTD.</w:t>
      </w:r>
    </w:p>
    <w:p>
      <w:pPr>
        <w:jc w:val="center"/>
        <w:ind w:right="-79"/>
        <w:spacing w:after="0" w:line="226" w:lineRule="auto"/>
        <w:rPr>
          <w:sz w:val="20"/>
          <w:szCs w:val="20"/>
          <w:color w:val="auto"/>
        </w:rPr>
      </w:pPr>
      <w:r>
        <w:rPr>
          <w:rFonts w:ascii="Arial" w:cs="Arial" w:eastAsia="Arial" w:hAnsi="Arial"/>
          <w:sz w:val="14"/>
          <w:szCs w:val="14"/>
          <w:b w:val="1"/>
          <w:bCs w:val="1"/>
          <w:color w:val="auto"/>
        </w:rPr>
        <w:t>FORM 10-Q</w:t>
      </w:r>
    </w:p>
    <w:p>
      <w:pPr>
        <w:jc w:val="center"/>
        <w:ind w:right="-79"/>
        <w:spacing w:after="0" w:line="221" w:lineRule="auto"/>
        <w:rPr>
          <w:sz w:val="20"/>
          <w:szCs w:val="20"/>
          <w:color w:val="auto"/>
        </w:rPr>
      </w:pPr>
      <w:r>
        <w:rPr>
          <w:rFonts w:ascii="Arial" w:cs="Arial" w:eastAsia="Arial" w:hAnsi="Arial"/>
          <w:sz w:val="14"/>
          <w:szCs w:val="14"/>
          <w:b w:val="1"/>
          <w:bCs w:val="1"/>
          <w:color w:val="auto"/>
        </w:rPr>
        <w:t>FOR THE QUARTER ENDED DECEMBER 31, 2014</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40" w:type="dxa"/>
            <w:vAlign w:val="bottom"/>
          </w:tcPr>
          <w:p>
            <w:pPr>
              <w:ind w:left="35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20" w:type="dxa"/>
            <w:vAlign w:val="bottom"/>
          </w:tcPr>
          <w:p>
            <w:pPr>
              <w:spacing w:after="0"/>
              <w:rPr>
                <w:sz w:val="16"/>
                <w:szCs w:val="16"/>
                <w:color w:val="auto"/>
              </w:rPr>
            </w:pP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20" w:type="dxa"/>
            <w:vAlign w:val="bottom"/>
          </w:tcPr>
          <w:p>
            <w:pPr>
              <w:spacing w:after="0"/>
              <w:rPr>
                <w:sz w:val="22"/>
                <w:szCs w:val="22"/>
                <w:color w:val="auto"/>
              </w:rPr>
            </w:pPr>
          </w:p>
        </w:tc>
      </w:tr>
      <w:tr>
        <w:trPr>
          <w:trHeight w:val="257"/>
        </w:trPr>
        <w:tc>
          <w:tcPr>
            <w:tcW w:w="9140" w:type="dxa"/>
            <w:vAlign w:val="bottom"/>
          </w:tcPr>
          <w:p>
            <w:pPr>
              <w:ind w:left="30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December 31, 2014 (unaudited) and September 30, 2014</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56"/>
        </w:trPr>
        <w:tc>
          <w:tcPr>
            <w:tcW w:w="9140" w:type="dxa"/>
            <w:vAlign w:val="bottom"/>
          </w:tcPr>
          <w:p>
            <w:pPr>
              <w:ind w:left="30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months ended December 31, 2014 and 2013 (unaudited)</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7"/>
        </w:trPr>
        <w:tc>
          <w:tcPr>
            <w:tcW w:w="9140" w:type="dxa"/>
            <w:vAlign w:val="bottom"/>
          </w:tcPr>
          <w:p>
            <w:pPr>
              <w:ind w:left="30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months ended December 31, 2014 and 2013 (unaudited)</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7"/>
        </w:trPr>
        <w:tc>
          <w:tcPr>
            <w:tcW w:w="9140" w:type="dxa"/>
            <w:vAlign w:val="bottom"/>
          </w:tcPr>
          <w:p>
            <w:pPr>
              <w:ind w:left="30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three months ended December 31, 2014 and 2013 (unaudited)</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57"/>
        </w:trPr>
        <w:tc>
          <w:tcPr>
            <w:tcW w:w="9140" w:type="dxa"/>
            <w:vAlign w:val="bottom"/>
          </w:tcPr>
          <w:p>
            <w:pPr>
              <w:ind w:left="30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December 31, 2014 (unaudited) and September 30, 2014</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56"/>
        </w:trPr>
        <w:tc>
          <w:tcPr>
            <w:tcW w:w="9140" w:type="dxa"/>
            <w:vAlign w:val="bottom"/>
          </w:tcPr>
          <w:p>
            <w:pPr>
              <w:ind w:left="30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57"/>
        </w:trPr>
        <w:tc>
          <w:tcPr>
            <w:tcW w:w="9140" w:type="dxa"/>
            <w:vAlign w:val="bottom"/>
          </w:tcPr>
          <w:p>
            <w:pPr>
              <w:ind w:left="300"/>
              <w:spacing w:after="0"/>
              <w:rPr>
                <w:rFonts w:ascii="Arial" w:cs="Arial" w:eastAsia="Arial" w:hAnsi="Arial"/>
                <w:sz w:val="14"/>
                <w:szCs w:val="14"/>
                <w:u w:val="single" w:color="auto"/>
                <w:color w:val="0000EE"/>
              </w:rPr>
            </w:pPr>
            <w:hyperlink w:anchor="page24">
              <w:r>
                <w:rPr>
                  <w:rFonts w:ascii="Arial" w:cs="Arial" w:eastAsia="Arial" w:hAnsi="Arial"/>
                  <w:sz w:val="14"/>
                  <w:szCs w:val="14"/>
                  <w:u w:val="single" w:color="auto"/>
                  <w:color w:val="0000EE"/>
                </w:rPr>
                <w:t>Report of Independent Registered Public Accounting Firm</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25">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3. Quantitative And Qualitative Disclosures About Market Risk</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4. Controls and Procedures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6"/>
        </w:trPr>
        <w:tc>
          <w:tcPr>
            <w:tcW w:w="9140" w:type="dxa"/>
            <w:vAlign w:val="bottom"/>
          </w:tcPr>
          <w:p>
            <w:pPr>
              <w:ind w:left="4280"/>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PART II. OTHER INFORMATION</w:t>
              </w:r>
            </w:hyperlink>
          </w:p>
        </w:tc>
        <w:tc>
          <w:tcPr>
            <w:tcW w:w="2020" w:type="dxa"/>
            <w:vAlign w:val="bottom"/>
          </w:tcPr>
          <w:p>
            <w:pPr>
              <w:spacing w:after="0"/>
              <w:rPr>
                <w:sz w:val="22"/>
                <w:szCs w:val="22"/>
                <w:color w:val="auto"/>
              </w:rPr>
            </w:pP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1. Legal Proceedings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1A. Risk Factors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2. Unregistered Sales of Equity Securities and Use of Proceeds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6"/>
        </w:trPr>
        <w:tc>
          <w:tcPr>
            <w:tcW w:w="914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3. Defaults Upon Senior Securities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4. Mine Safety Disclosures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5. Other Information</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6. Exhibits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56"/>
        </w:trPr>
        <w:tc>
          <w:tcPr>
            <w:tcW w:w="914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SIGNATURES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97"/>
        </w:trPr>
        <w:tc>
          <w:tcPr>
            <w:tcW w:w="9140" w:type="dxa"/>
            <w:vAlign w:val="bottom"/>
          </w:tcPr>
          <w:p>
            <w:pPr>
              <w:ind w:left="5580"/>
              <w:spacing w:after="0"/>
              <w:rPr>
                <w:sz w:val="20"/>
                <w:szCs w:val="20"/>
                <w:color w:val="auto"/>
              </w:rPr>
            </w:pPr>
            <w:r>
              <w:rPr>
                <w:rFonts w:ascii="Arial" w:cs="Arial" w:eastAsia="Arial" w:hAnsi="Arial"/>
                <w:sz w:val="14"/>
                <w:szCs w:val="14"/>
                <w:color w:val="auto"/>
              </w:rPr>
              <w:t>2</w:t>
            </w:r>
          </w:p>
        </w:tc>
        <w:tc>
          <w:tcPr>
            <w:tcW w:w="202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I—CONSOLIDATED FINANCIAL INFORMATION</w:t>
      </w:r>
    </w:p>
    <w:p>
      <w:pPr>
        <w:spacing w:after="0" w:line="163"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We are filing this Form 10-Q, or the Report, in compliance with Rule 13a-13 promulgated by the Securities and Exchange Commission, or the SEC. In this Report, except where the context suggests otherwise, the terms “Company,” “we,” “our” or “us” refer to PennantPark Floating Rate Capital Ltd. and its wholly-owned consolidated subsidiary, PennantPark Floating Rate Funding I, LLC, or Funding I;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References to our portfolio, our investments, our senior secured revolving credit facility, as amended, or the Credit Facility, and our business include investments we make through Funding I.</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7940" w:type="dxa"/>
            <w:vAlign w:val="bottom"/>
          </w:tcPr>
          <w:p>
            <w:pPr>
              <w:ind w:left="120"/>
              <w:spacing w:after="0"/>
              <w:rPr>
                <w:sz w:val="20"/>
                <w:szCs w:val="20"/>
                <w:color w:val="auto"/>
              </w:rPr>
            </w:pPr>
            <w:r>
              <w:rPr>
                <w:rFonts w:ascii="Arial" w:cs="Arial" w:eastAsia="Arial" w:hAnsi="Arial"/>
                <w:sz w:val="13"/>
                <w:szCs w:val="13"/>
                <w:b w:val="1"/>
                <w:bCs w:val="1"/>
                <w:color w:val="auto"/>
              </w:rPr>
              <w:t>Consolidated Financial Statements</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85"/>
        </w:trPr>
        <w:tc>
          <w:tcPr>
            <w:tcW w:w="680" w:type="dxa"/>
            <w:vAlign w:val="bottom"/>
          </w:tcPr>
          <w:p>
            <w:pPr>
              <w:spacing w:after="0"/>
              <w:rPr>
                <w:sz w:val="24"/>
                <w:szCs w:val="24"/>
                <w:color w:val="auto"/>
              </w:rPr>
            </w:pPr>
          </w:p>
        </w:tc>
        <w:tc>
          <w:tcPr>
            <w:tcW w:w="7940" w:type="dxa"/>
            <w:vAlign w:val="bottom"/>
          </w:tcPr>
          <w:p>
            <w:pPr>
              <w:ind w:left="2780"/>
              <w:spacing w:after="0"/>
              <w:rPr>
                <w:sz w:val="20"/>
                <w:szCs w:val="20"/>
                <w:color w:val="auto"/>
              </w:rPr>
            </w:pPr>
            <w:r>
              <w:rPr>
                <w:rFonts w:ascii="Arial" w:cs="Arial" w:eastAsia="Arial" w:hAnsi="Arial"/>
                <w:sz w:val="13"/>
                <w:szCs w:val="13"/>
                <w:b w:val="1"/>
                <w:bCs w:val="1"/>
                <w:color w:val="auto"/>
              </w:rPr>
              <w:t>PENNANTPARK FLOATING RATE CAPITAL LTD. AND SUBSIDIARY</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4"/>
        </w:trPr>
        <w:tc>
          <w:tcPr>
            <w:tcW w:w="680" w:type="dxa"/>
            <w:vAlign w:val="bottom"/>
          </w:tcPr>
          <w:p>
            <w:pPr>
              <w:spacing w:after="0"/>
              <w:rPr>
                <w:sz w:val="15"/>
                <w:szCs w:val="15"/>
                <w:color w:val="auto"/>
              </w:rPr>
            </w:pPr>
          </w:p>
        </w:tc>
        <w:tc>
          <w:tcPr>
            <w:tcW w:w="7940" w:type="dxa"/>
            <w:vAlign w:val="bottom"/>
          </w:tcPr>
          <w:p>
            <w:pPr>
              <w:ind w:left="2960"/>
              <w:spacing w:after="0"/>
              <w:rPr>
                <w:sz w:val="20"/>
                <w:szCs w:val="20"/>
                <w:color w:val="auto"/>
              </w:rPr>
            </w:pPr>
            <w:r>
              <w:rPr>
                <w:rFonts w:ascii="Arial" w:cs="Arial" w:eastAsia="Arial" w:hAnsi="Arial"/>
                <w:sz w:val="13"/>
                <w:szCs w:val="13"/>
                <w:b w:val="1"/>
                <w:bCs w:val="1"/>
                <w:color w:val="auto"/>
              </w:rPr>
              <w:t>CONSOLIDATED STATEMENTS OF ASSETS AND LIABILITIES</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25"/>
        </w:trPr>
        <w:tc>
          <w:tcPr>
            <w:tcW w:w="6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2"/>
              </w:rPr>
              <w:t>December 31,</w:t>
            </w:r>
          </w:p>
        </w:tc>
        <w:tc>
          <w:tcPr>
            <w:tcW w:w="1220" w:type="dxa"/>
            <w:vAlign w:val="bottom"/>
            <w:gridSpan w:val="3"/>
          </w:tcPr>
          <w:p>
            <w:pPr>
              <w:spacing w:after="0"/>
              <w:rPr>
                <w:sz w:val="20"/>
                <w:szCs w:val="20"/>
                <w:color w:val="auto"/>
              </w:rPr>
            </w:pPr>
            <w:r>
              <w:rPr>
                <w:rFonts w:ascii="Arial" w:cs="Arial" w:eastAsia="Arial" w:hAnsi="Arial"/>
                <w:sz w:val="13"/>
                <w:szCs w:val="13"/>
                <w:b w:val="1"/>
                <w:bCs w:val="1"/>
                <w:color w:val="auto"/>
                <w:w w:val="98"/>
              </w:rPr>
              <w:t>September 30, 2014</w:t>
            </w:r>
          </w:p>
        </w:tc>
      </w:tr>
      <w:tr>
        <w:trPr>
          <w:trHeight w:val="149"/>
        </w:trPr>
        <w:tc>
          <w:tcPr>
            <w:tcW w:w="68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313"/>
              <w:spacing w:after="0"/>
              <w:rPr>
                <w:sz w:val="20"/>
                <w:szCs w:val="20"/>
                <w:color w:val="auto"/>
              </w:rPr>
            </w:pPr>
            <w:r>
              <w:rPr>
                <w:rFonts w:ascii="Arial" w:cs="Arial" w:eastAsia="Arial" w:hAnsi="Arial"/>
                <w:sz w:val="13"/>
                <w:szCs w:val="13"/>
                <w:b w:val="1"/>
                <w:bCs w:val="1"/>
                <w:color w:val="auto"/>
              </w:rPr>
              <w:t>2014</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68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(unaudited)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6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Assets</w:t>
            </w:r>
          </w:p>
        </w:tc>
        <w:tc>
          <w:tcPr>
            <w:tcW w:w="79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48"/>
        </w:trPr>
        <w:tc>
          <w:tcPr>
            <w:tcW w:w="8620" w:type="dxa"/>
            <w:vAlign w:val="bottom"/>
            <w:gridSpan w:val="2"/>
          </w:tcPr>
          <w:p>
            <w:pPr>
              <w:spacing w:after="0"/>
              <w:rPr>
                <w:sz w:val="20"/>
                <w:szCs w:val="20"/>
                <w:color w:val="auto"/>
              </w:rPr>
            </w:pPr>
            <w:r>
              <w:rPr>
                <w:rFonts w:ascii="Arial" w:cs="Arial" w:eastAsia="Arial" w:hAnsi="Arial"/>
                <w:sz w:val="13"/>
                <w:szCs w:val="13"/>
                <w:color w:val="auto"/>
              </w:rPr>
              <w:t>Investments at fair value</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8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Non-controlled, non-affiliated investments (cost—$348,017,575 and $348,354,295,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343,194,642</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348,428,492</w:t>
            </w:r>
          </w:p>
        </w:tc>
      </w:tr>
      <w:tr>
        <w:trPr>
          <w:trHeight w:val="148"/>
        </w:trPr>
        <w:tc>
          <w:tcPr>
            <w:tcW w:w="8620" w:type="dxa"/>
            <w:vAlign w:val="bottom"/>
            <w:gridSpan w:val="2"/>
          </w:tcPr>
          <w:p>
            <w:pPr>
              <w:spacing w:after="0"/>
              <w:rPr>
                <w:sz w:val="20"/>
                <w:szCs w:val="20"/>
                <w:color w:val="auto"/>
              </w:rPr>
            </w:pPr>
            <w:r>
              <w:rPr>
                <w:rFonts w:ascii="Arial" w:cs="Arial" w:eastAsia="Arial" w:hAnsi="Arial"/>
                <w:sz w:val="13"/>
                <w:szCs w:val="13"/>
                <w:color w:val="auto"/>
              </w:rPr>
              <w:t>Cash equivalents (See Note 7)</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10,385,490</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13,113,817</w:t>
            </w:r>
          </w:p>
        </w:tc>
      </w:tr>
      <w:tr>
        <w:trPr>
          <w:trHeight w:val="148"/>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receivable</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2,162,761</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1,773,870</w:t>
            </w:r>
          </w:p>
        </w:tc>
      </w:tr>
      <w:tr>
        <w:trPr>
          <w:trHeight w:val="149"/>
        </w:trPr>
        <w:tc>
          <w:tcPr>
            <w:tcW w:w="8620" w:type="dxa"/>
            <w:vAlign w:val="bottom"/>
            <w:gridSpan w:val="2"/>
          </w:tcPr>
          <w:p>
            <w:pPr>
              <w:spacing w:after="0"/>
              <w:rPr>
                <w:sz w:val="20"/>
                <w:szCs w:val="20"/>
                <w:color w:val="auto"/>
              </w:rPr>
            </w:pPr>
            <w:r>
              <w:rPr>
                <w:rFonts w:ascii="Arial" w:cs="Arial" w:eastAsia="Arial" w:hAnsi="Arial"/>
                <w:sz w:val="13"/>
                <w:szCs w:val="13"/>
                <w:color w:val="auto"/>
              </w:rPr>
              <w:t>Receivable for investments sold</w:t>
            </w:r>
          </w:p>
        </w:tc>
        <w:tc>
          <w:tcPr>
            <w:tcW w:w="80" w:type="dxa"/>
            <w:vAlign w:val="bottom"/>
          </w:tcPr>
          <w:p>
            <w:pPr>
              <w:spacing w:after="0"/>
              <w:rPr>
                <w:sz w:val="12"/>
                <w:szCs w:val="12"/>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9,001,938</w:t>
            </w:r>
          </w:p>
        </w:tc>
      </w:tr>
      <w:tr>
        <w:trPr>
          <w:trHeight w:val="148"/>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Prepaid expenses and other assets</w:t>
            </w: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502,728</w:t>
            </w:r>
          </w:p>
        </w:tc>
        <w:tc>
          <w:tcPr>
            <w:tcW w:w="3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556,359</w:t>
            </w:r>
          </w:p>
        </w:tc>
        <w:tc>
          <w:tcPr>
            <w:tcW w:w="80" w:type="dxa"/>
            <w:vAlign w:val="bottom"/>
            <w:shd w:val="clear" w:color="auto" w:fill="CCEEFF"/>
          </w:tcPr>
          <w:p>
            <w:pPr>
              <w:spacing w:after="0"/>
              <w:rPr>
                <w:sz w:val="12"/>
                <w:szCs w:val="12"/>
                <w:color w:val="auto"/>
              </w:rPr>
            </w:pPr>
          </w:p>
        </w:tc>
      </w:tr>
      <w:tr>
        <w:trPr>
          <w:trHeight w:val="163"/>
        </w:trPr>
        <w:tc>
          <w:tcPr>
            <w:tcW w:w="680" w:type="dxa"/>
            <w:vAlign w:val="bottom"/>
          </w:tcPr>
          <w:p>
            <w:pPr>
              <w:spacing w:after="0"/>
              <w:rPr>
                <w:sz w:val="14"/>
                <w:szCs w:val="14"/>
                <w:color w:val="auto"/>
              </w:rPr>
            </w:pPr>
          </w:p>
        </w:tc>
        <w:tc>
          <w:tcPr>
            <w:tcW w:w="7940" w:type="dxa"/>
            <w:vAlign w:val="bottom"/>
          </w:tcPr>
          <w:p>
            <w:pPr>
              <w:ind w:left="200"/>
              <w:spacing w:after="0"/>
              <w:rPr>
                <w:sz w:val="20"/>
                <w:szCs w:val="20"/>
                <w:color w:val="auto"/>
              </w:rPr>
            </w:pPr>
            <w:r>
              <w:rPr>
                <w:rFonts w:ascii="Arial" w:cs="Arial" w:eastAsia="Arial" w:hAnsi="Arial"/>
                <w:sz w:val="13"/>
                <w:szCs w:val="13"/>
                <w:b w:val="1"/>
                <w:bCs w:val="1"/>
                <w:color w:val="auto"/>
              </w:rPr>
              <w:t>Total assets</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356,245,621</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372,874,476</w:t>
            </w:r>
          </w:p>
        </w:tc>
      </w:tr>
      <w:tr>
        <w:trPr>
          <w:trHeight w:val="148"/>
        </w:trPr>
        <w:tc>
          <w:tcPr>
            <w:tcW w:w="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79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8"/>
        </w:trPr>
        <w:tc>
          <w:tcPr>
            <w:tcW w:w="8620" w:type="dxa"/>
            <w:vAlign w:val="bottom"/>
            <w:gridSpan w:val="2"/>
          </w:tcPr>
          <w:p>
            <w:pPr>
              <w:spacing w:after="0"/>
              <w:rPr>
                <w:sz w:val="20"/>
                <w:szCs w:val="20"/>
                <w:color w:val="auto"/>
              </w:rPr>
            </w:pPr>
            <w:r>
              <w:rPr>
                <w:rFonts w:ascii="Arial" w:cs="Arial" w:eastAsia="Arial" w:hAnsi="Arial"/>
                <w:sz w:val="13"/>
                <w:szCs w:val="13"/>
                <w:color w:val="auto"/>
              </w:rPr>
              <w:t>Distributions payable</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1,340,825</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1,340,825</w:t>
            </w:r>
          </w:p>
        </w:tc>
      </w:tr>
      <w:tr>
        <w:trPr>
          <w:trHeight w:val="148"/>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Payable for investments purchased</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4,900,000</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3,162,000</w:t>
            </w:r>
          </w:p>
        </w:tc>
      </w:tr>
      <w:tr>
        <w:trPr>
          <w:trHeight w:val="148"/>
        </w:trPr>
        <w:tc>
          <w:tcPr>
            <w:tcW w:w="8620" w:type="dxa"/>
            <w:vAlign w:val="bottom"/>
            <w:gridSpan w:val="2"/>
          </w:tcPr>
          <w:p>
            <w:pPr>
              <w:spacing w:after="0"/>
              <w:rPr>
                <w:sz w:val="20"/>
                <w:szCs w:val="20"/>
                <w:color w:val="auto"/>
              </w:rPr>
            </w:pPr>
            <w:r>
              <w:rPr>
                <w:rFonts w:ascii="Arial" w:cs="Arial" w:eastAsia="Arial" w:hAnsi="Arial"/>
                <w:sz w:val="13"/>
                <w:szCs w:val="13"/>
                <w:color w:val="auto"/>
              </w:rPr>
              <w:t>Unfunded investments</w:t>
            </w:r>
          </w:p>
        </w:tc>
        <w:tc>
          <w:tcPr>
            <w:tcW w:w="80" w:type="dxa"/>
            <w:vAlign w:val="bottom"/>
          </w:tcPr>
          <w:p>
            <w:pPr>
              <w:spacing w:after="0"/>
              <w:rPr>
                <w:sz w:val="12"/>
                <w:szCs w:val="12"/>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2,705,882</w:t>
            </w:r>
          </w:p>
        </w:tc>
      </w:tr>
      <w:tr>
        <w:trPr>
          <w:trHeight w:val="149"/>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 Facility payable (cost—$135,500,000 and $146,400,000, respectively) (See Notes 5 and 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136,008,125</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146,949,000</w:t>
            </w:r>
          </w:p>
        </w:tc>
      </w:tr>
      <w:tr>
        <w:trPr>
          <w:trHeight w:val="148"/>
        </w:trPr>
        <w:tc>
          <w:tcPr>
            <w:tcW w:w="8620" w:type="dxa"/>
            <w:vAlign w:val="bottom"/>
            <w:gridSpan w:val="2"/>
          </w:tcPr>
          <w:p>
            <w:pPr>
              <w:spacing w:after="0"/>
              <w:rPr>
                <w:sz w:val="20"/>
                <w:szCs w:val="20"/>
                <w:color w:val="auto"/>
              </w:rPr>
            </w:pPr>
            <w:r>
              <w:rPr>
                <w:rFonts w:ascii="Arial" w:cs="Arial" w:eastAsia="Arial" w:hAnsi="Arial"/>
                <w:sz w:val="13"/>
                <w:szCs w:val="13"/>
                <w:color w:val="auto"/>
              </w:rPr>
              <w:t>Interest payable on Credit Facility</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283,642</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284,906</w:t>
            </w:r>
          </w:p>
        </w:tc>
      </w:tr>
      <w:tr>
        <w:trPr>
          <w:trHeight w:val="148"/>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Management fee payable (See Note 3)</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883,370</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914,978</w:t>
            </w:r>
          </w:p>
        </w:tc>
      </w:tr>
      <w:tr>
        <w:trPr>
          <w:trHeight w:val="148"/>
        </w:trPr>
        <w:tc>
          <w:tcPr>
            <w:tcW w:w="8620" w:type="dxa"/>
            <w:vAlign w:val="bottom"/>
            <w:gridSpan w:val="2"/>
          </w:tcPr>
          <w:p>
            <w:pPr>
              <w:spacing w:after="0"/>
              <w:rPr>
                <w:sz w:val="20"/>
                <w:szCs w:val="20"/>
                <w:color w:val="auto"/>
              </w:rPr>
            </w:pPr>
            <w:r>
              <w:rPr>
                <w:rFonts w:ascii="Arial" w:cs="Arial" w:eastAsia="Arial" w:hAnsi="Arial"/>
                <w:sz w:val="13"/>
                <w:szCs w:val="13"/>
                <w:color w:val="auto"/>
              </w:rPr>
              <w:t>Performance-based incentive fee payable (See Note 3)</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829,739</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2,180,604</w:t>
            </w:r>
          </w:p>
        </w:tc>
      </w:tr>
      <w:tr>
        <w:trPr>
          <w:trHeight w:val="148"/>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other expenses</w:t>
            </w: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1,056,483</w:t>
            </w:r>
          </w:p>
        </w:tc>
        <w:tc>
          <w:tcPr>
            <w:tcW w:w="3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808,571</w:t>
            </w:r>
          </w:p>
        </w:tc>
        <w:tc>
          <w:tcPr>
            <w:tcW w:w="80" w:type="dxa"/>
            <w:vAlign w:val="bottom"/>
            <w:shd w:val="clear" w:color="auto" w:fill="CCEEFF"/>
          </w:tcPr>
          <w:p>
            <w:pPr>
              <w:spacing w:after="0"/>
              <w:rPr>
                <w:sz w:val="12"/>
                <w:szCs w:val="12"/>
                <w:color w:val="auto"/>
              </w:rPr>
            </w:pPr>
          </w:p>
        </w:tc>
      </w:tr>
      <w:tr>
        <w:trPr>
          <w:trHeight w:val="163"/>
        </w:trPr>
        <w:tc>
          <w:tcPr>
            <w:tcW w:w="680" w:type="dxa"/>
            <w:vAlign w:val="bottom"/>
          </w:tcPr>
          <w:p>
            <w:pPr>
              <w:spacing w:after="0"/>
              <w:rPr>
                <w:sz w:val="14"/>
                <w:szCs w:val="14"/>
                <w:color w:val="auto"/>
              </w:rPr>
            </w:pPr>
          </w:p>
        </w:tc>
        <w:tc>
          <w:tcPr>
            <w:tcW w:w="7940" w:type="dxa"/>
            <w:vAlign w:val="bottom"/>
          </w:tcPr>
          <w:p>
            <w:pPr>
              <w:ind w:left="200"/>
              <w:spacing w:after="0"/>
              <w:rPr>
                <w:sz w:val="20"/>
                <w:szCs w:val="20"/>
                <w:color w:val="auto"/>
              </w:rPr>
            </w:pPr>
            <w:r>
              <w:rPr>
                <w:rFonts w:ascii="Arial" w:cs="Arial" w:eastAsia="Arial" w:hAnsi="Arial"/>
                <w:sz w:val="13"/>
                <w:szCs w:val="13"/>
                <w:b w:val="1"/>
                <w:bCs w:val="1"/>
                <w:color w:val="auto"/>
              </w:rPr>
              <w:t>Total liabilities</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145,302,184</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158,346,766</w:t>
            </w:r>
          </w:p>
        </w:tc>
      </w:tr>
      <w:tr>
        <w:trPr>
          <w:trHeight w:val="149"/>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Commitments and contingencies (See Note 10)</w:t>
            </w: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8"/>
        </w:trPr>
        <w:tc>
          <w:tcPr>
            <w:tcW w:w="680" w:type="dxa"/>
            <w:vAlign w:val="bottom"/>
          </w:tcPr>
          <w:p>
            <w:pPr>
              <w:spacing w:after="0"/>
              <w:rPr>
                <w:sz w:val="20"/>
                <w:szCs w:val="20"/>
                <w:color w:val="auto"/>
              </w:rPr>
            </w:pPr>
            <w:r>
              <w:rPr>
                <w:rFonts w:ascii="Arial" w:cs="Arial" w:eastAsia="Arial" w:hAnsi="Arial"/>
                <w:sz w:val="13"/>
                <w:szCs w:val="13"/>
                <w:b w:val="1"/>
                <w:bCs w:val="1"/>
                <w:color w:val="auto"/>
              </w:rPr>
              <w:t>Net assets</w:t>
            </w:r>
          </w:p>
        </w:tc>
        <w:tc>
          <w:tcPr>
            <w:tcW w:w="7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86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Common stock, 14,898,056 shares issued and outstanding.</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8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Par value $0.001 per share and 100,000,000 shares authorized.</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14,898</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14,898</w:t>
            </w:r>
          </w:p>
        </w:tc>
      </w:tr>
      <w:tr>
        <w:trPr>
          <w:trHeight w:val="148"/>
        </w:trPr>
        <w:tc>
          <w:tcPr>
            <w:tcW w:w="8620" w:type="dxa"/>
            <w:vAlign w:val="bottom"/>
            <w:gridSpan w:val="2"/>
          </w:tcPr>
          <w:p>
            <w:pPr>
              <w:spacing w:after="0"/>
              <w:rPr>
                <w:sz w:val="20"/>
                <w:szCs w:val="20"/>
                <w:color w:val="auto"/>
              </w:rPr>
            </w:pPr>
            <w:r>
              <w:rPr>
                <w:rFonts w:ascii="Arial" w:cs="Arial" w:eastAsia="Arial" w:hAnsi="Arial"/>
                <w:sz w:val="13"/>
                <w:szCs w:val="13"/>
                <w:color w:val="auto"/>
              </w:rPr>
              <w:t>Paid-in capital in excess of par value</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207,226,615</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207,226,615</w:t>
            </w:r>
          </w:p>
        </w:tc>
      </w:tr>
      <w:tr>
        <w:trPr>
          <w:trHeight w:val="148"/>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Undistributed net investment income</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6,324,062</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4,878,091</w:t>
            </w:r>
          </w:p>
        </w:tc>
      </w:tr>
      <w:tr>
        <w:trPr>
          <w:trHeight w:val="149"/>
        </w:trPr>
        <w:tc>
          <w:tcPr>
            <w:tcW w:w="8620" w:type="dxa"/>
            <w:vAlign w:val="bottom"/>
            <w:gridSpan w:val="2"/>
          </w:tcPr>
          <w:p>
            <w:pPr>
              <w:spacing w:after="0"/>
              <w:rPr>
                <w:sz w:val="20"/>
                <w:szCs w:val="20"/>
                <w:color w:val="auto"/>
              </w:rPr>
            </w:pPr>
            <w:r>
              <w:rPr>
                <w:rFonts w:ascii="Arial" w:cs="Arial" w:eastAsia="Arial" w:hAnsi="Arial"/>
                <w:sz w:val="13"/>
                <w:szCs w:val="13"/>
                <w:color w:val="auto"/>
              </w:rPr>
              <w:t>Accumulated net realized gain on investments</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2,708,920</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2,882,909</w:t>
            </w:r>
          </w:p>
        </w:tc>
      </w:tr>
      <w:tr>
        <w:trPr>
          <w:trHeight w:val="148"/>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unrealized (depreciation) appreciation on investments</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(4,822,933)</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74,197</w:t>
            </w:r>
          </w:p>
        </w:tc>
      </w:tr>
      <w:tr>
        <w:trPr>
          <w:trHeight w:val="155"/>
        </w:trPr>
        <w:tc>
          <w:tcPr>
            <w:tcW w:w="8620" w:type="dxa"/>
            <w:vAlign w:val="bottom"/>
            <w:gridSpan w:val="2"/>
          </w:tcPr>
          <w:p>
            <w:pPr>
              <w:spacing w:after="0"/>
              <w:rPr>
                <w:sz w:val="20"/>
                <w:szCs w:val="20"/>
                <w:color w:val="auto"/>
              </w:rPr>
            </w:pPr>
            <w:r>
              <w:rPr>
                <w:rFonts w:ascii="Arial" w:cs="Arial" w:eastAsia="Arial" w:hAnsi="Arial"/>
                <w:sz w:val="13"/>
                <w:szCs w:val="13"/>
                <w:color w:val="auto"/>
              </w:rPr>
              <w:t>Net unrealized appreciation on Credit Facility</w:t>
            </w:r>
          </w:p>
        </w:tc>
        <w:tc>
          <w:tcPr>
            <w:tcW w:w="80" w:type="dxa"/>
            <w:vAlign w:val="bottom"/>
          </w:tcPr>
          <w:p>
            <w:pPr>
              <w:spacing w:after="0"/>
              <w:rPr>
                <w:sz w:val="13"/>
                <w:szCs w:val="1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3"/>
                <w:szCs w:val="13"/>
                <w:color w:val="auto"/>
              </w:rPr>
              <w:t>(508,125)</w:t>
            </w:r>
          </w:p>
        </w:tc>
        <w:tc>
          <w:tcPr>
            <w:tcW w:w="26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(549,000)</w:t>
            </w:r>
          </w:p>
        </w:tc>
      </w:tr>
      <w:tr>
        <w:trPr>
          <w:trHeight w:val="149"/>
        </w:trPr>
        <w:tc>
          <w:tcPr>
            <w:tcW w:w="680" w:type="dxa"/>
            <w:vAlign w:val="bottom"/>
            <w:shd w:val="clear" w:color="auto" w:fill="CCEEFF"/>
          </w:tcPr>
          <w:p>
            <w:pPr>
              <w:spacing w:after="0"/>
              <w:rPr>
                <w:sz w:val="12"/>
                <w:szCs w:val="12"/>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Total net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210,943,437</w:t>
            </w:r>
          </w:p>
        </w:tc>
        <w:tc>
          <w:tcPr>
            <w:tcW w:w="380" w:type="dxa"/>
            <w:vAlign w:val="bottom"/>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214,527,710</w:t>
            </w:r>
          </w:p>
        </w:tc>
        <w:tc>
          <w:tcPr>
            <w:tcW w:w="80" w:type="dxa"/>
            <w:vAlign w:val="bottom"/>
            <w:shd w:val="clear" w:color="auto" w:fill="CCEEFF"/>
          </w:tcPr>
          <w:p>
            <w:pPr>
              <w:spacing w:after="0"/>
              <w:rPr>
                <w:sz w:val="12"/>
                <w:szCs w:val="12"/>
                <w:color w:val="auto"/>
              </w:rPr>
            </w:pPr>
          </w:p>
        </w:tc>
      </w:tr>
      <w:tr>
        <w:trPr>
          <w:trHeight w:val="162"/>
        </w:trPr>
        <w:tc>
          <w:tcPr>
            <w:tcW w:w="680" w:type="dxa"/>
            <w:vAlign w:val="bottom"/>
          </w:tcPr>
          <w:p>
            <w:pPr>
              <w:spacing w:after="0"/>
              <w:rPr>
                <w:sz w:val="14"/>
                <w:szCs w:val="14"/>
                <w:color w:val="auto"/>
              </w:rPr>
            </w:pPr>
          </w:p>
        </w:tc>
        <w:tc>
          <w:tcPr>
            <w:tcW w:w="7940" w:type="dxa"/>
            <w:vAlign w:val="bottom"/>
          </w:tcPr>
          <w:p>
            <w:pPr>
              <w:ind w:left="200"/>
              <w:spacing w:after="0"/>
              <w:rPr>
                <w:sz w:val="20"/>
                <w:szCs w:val="20"/>
                <w:color w:val="auto"/>
              </w:rPr>
            </w:pPr>
            <w:r>
              <w:rPr>
                <w:rFonts w:ascii="Arial" w:cs="Arial" w:eastAsia="Arial" w:hAnsi="Arial"/>
                <w:sz w:val="13"/>
                <w:szCs w:val="13"/>
                <w:b w:val="1"/>
                <w:bCs w:val="1"/>
                <w:color w:val="auto"/>
              </w:rPr>
              <w:t>Total liabilities and net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356,245,621</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372,874,476</w:t>
            </w:r>
          </w:p>
        </w:tc>
        <w:tc>
          <w:tcPr>
            <w:tcW w:w="80" w:type="dxa"/>
            <w:vAlign w:val="bottom"/>
          </w:tcPr>
          <w:p>
            <w:pPr>
              <w:spacing w:after="0"/>
              <w:rPr>
                <w:sz w:val="14"/>
                <w:szCs w:val="14"/>
                <w:color w:val="auto"/>
              </w:rPr>
            </w:pPr>
          </w:p>
        </w:tc>
      </w:tr>
      <w:tr>
        <w:trPr>
          <w:trHeight w:val="149"/>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 value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14.40</w:t>
            </w:r>
          </w:p>
        </w:tc>
      </w:tr>
      <w:tr>
        <w:trPr>
          <w:trHeight w:val="20"/>
        </w:trPr>
        <w:tc>
          <w:tcPr>
            <w:tcW w:w="6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gridSpan w:val="6"/>
          </w:tcPr>
          <w:p>
            <w:pPr>
              <w:ind w:left="100"/>
              <w:spacing w:after="0"/>
              <w:rPr>
                <w:sz w:val="20"/>
                <w:szCs w:val="20"/>
                <w:color w:val="auto"/>
              </w:rPr>
            </w:pPr>
            <w:r>
              <w:rPr>
                <w:rFonts w:ascii="Arial" w:cs="Arial" w:eastAsia="Arial" w:hAnsi="Arial"/>
                <w:sz w:val="13"/>
                <w:szCs w:val="13"/>
                <w:b w:val="1"/>
                <w:bCs w:val="1"/>
                <w:color w:val="auto"/>
              </w:rPr>
              <w:t>Three Months Ended December 31,</w:t>
            </w:r>
          </w:p>
        </w:tc>
        <w:tc>
          <w:tcPr>
            <w:tcW w:w="0" w:type="dxa"/>
            <w:vAlign w:val="bottom"/>
          </w:tcPr>
          <w:p>
            <w:pPr>
              <w:spacing w:after="0"/>
              <w:rPr>
                <w:sz w:val="1"/>
                <w:szCs w:val="1"/>
                <w:color w:val="auto"/>
              </w:rPr>
            </w:pPr>
          </w:p>
        </w:tc>
      </w:tr>
      <w:tr>
        <w:trPr>
          <w:trHeight w:val="128"/>
        </w:trPr>
        <w:tc>
          <w:tcPr>
            <w:tcW w:w="87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49"/>
              <w:spacing w:after="0" w:line="129" w:lineRule="exact"/>
              <w:rPr>
                <w:sz w:val="20"/>
                <w:szCs w:val="20"/>
                <w:color w:val="auto"/>
              </w:rPr>
            </w:pPr>
            <w:r>
              <w:rPr>
                <w:rFonts w:ascii="Arial" w:cs="Arial" w:eastAsia="Arial" w:hAnsi="Arial"/>
                <w:sz w:val="13"/>
                <w:szCs w:val="13"/>
                <w:b w:val="1"/>
                <w:bCs w:val="1"/>
                <w:color w:val="auto"/>
              </w:rPr>
              <w:t>2014</w:t>
            </w:r>
          </w:p>
        </w:tc>
        <w:tc>
          <w:tcPr>
            <w:tcW w:w="20" w:type="dxa"/>
            <w:vAlign w:val="bottom"/>
            <w:tcBorders>
              <w:top w:val="single" w:sz="8" w:color="auto"/>
              <w:bottom w:val="single" w:sz="8" w:color="CCEEFF"/>
            </w:tcBorders>
          </w:tcPr>
          <w:p>
            <w:pPr>
              <w:spacing w:after="0"/>
              <w:rPr>
                <w:sz w:val="11"/>
                <w:szCs w:val="11"/>
                <w:color w:val="auto"/>
              </w:rPr>
            </w:pPr>
          </w:p>
        </w:tc>
        <w:tc>
          <w:tcPr>
            <w:tcW w:w="32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308"/>
              <w:spacing w:after="0" w:line="129" w:lineRule="exact"/>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7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72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160" w:type="dxa"/>
            <w:vAlign w:val="bottom"/>
            <w:gridSpan w:val="2"/>
            <w:shd w:val="clear" w:color="auto" w:fill="CCEEFF"/>
          </w:tcPr>
          <w:p>
            <w:pPr>
              <w:jc w:val="right"/>
              <w:ind w:right="74"/>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7,448,774</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6,754,247</w:t>
            </w:r>
          </w:p>
        </w:tc>
        <w:tc>
          <w:tcPr>
            <w:tcW w:w="0" w:type="dxa"/>
            <w:vAlign w:val="bottom"/>
          </w:tcPr>
          <w:p>
            <w:pPr>
              <w:spacing w:after="0"/>
              <w:rPr>
                <w:sz w:val="1"/>
                <w:szCs w:val="1"/>
                <w:color w:val="auto"/>
              </w:rPr>
            </w:pPr>
          </w:p>
        </w:tc>
      </w:tr>
      <w:tr>
        <w:trPr>
          <w:trHeight w:val="155"/>
        </w:trPr>
        <w:tc>
          <w:tcPr>
            <w:tcW w:w="872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27,946</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89,646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7,476,720</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6,843,893</w:t>
            </w:r>
          </w:p>
        </w:tc>
        <w:tc>
          <w:tcPr>
            <w:tcW w:w="0" w:type="dxa"/>
            <w:vAlign w:val="bottom"/>
          </w:tcPr>
          <w:p>
            <w:pPr>
              <w:spacing w:after="0"/>
              <w:rPr>
                <w:sz w:val="1"/>
                <w:szCs w:val="1"/>
                <w:color w:val="auto"/>
              </w:rPr>
            </w:pPr>
          </w:p>
        </w:tc>
      </w:tr>
      <w:tr>
        <w:trPr>
          <w:trHeight w:val="155"/>
        </w:trPr>
        <w:tc>
          <w:tcPr>
            <w:tcW w:w="872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883,370</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881,803</w:t>
            </w:r>
          </w:p>
        </w:tc>
        <w:tc>
          <w:tcPr>
            <w:tcW w:w="0" w:type="dxa"/>
            <w:vAlign w:val="bottom"/>
          </w:tcPr>
          <w:p>
            <w:pPr>
              <w:spacing w:after="0"/>
              <w:rPr>
                <w:sz w:val="1"/>
                <w:szCs w:val="1"/>
                <w:color w:val="auto"/>
              </w:rPr>
            </w:pPr>
          </w:p>
        </w:tc>
      </w:tr>
      <w:tr>
        <w:trPr>
          <w:trHeight w:val="149"/>
        </w:trPr>
        <w:tc>
          <w:tcPr>
            <w:tcW w:w="8720" w:type="dxa"/>
            <w:vAlign w:val="bottom"/>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(314,057)</w:t>
            </w:r>
          </w:p>
        </w:tc>
        <w:tc>
          <w:tcPr>
            <w:tcW w:w="2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683,150</w:t>
            </w: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and expenses on the Credit Facility (See Note 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885,758</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736,437</w:t>
            </w:r>
          </w:p>
        </w:tc>
        <w:tc>
          <w:tcPr>
            <w:tcW w:w="0" w:type="dxa"/>
            <w:vAlign w:val="bottom"/>
          </w:tcPr>
          <w:p>
            <w:pPr>
              <w:spacing w:after="0"/>
              <w:rPr>
                <w:sz w:val="1"/>
                <w:szCs w:val="1"/>
                <w:color w:val="auto"/>
              </w:rPr>
            </w:pPr>
          </w:p>
        </w:tc>
      </w:tr>
      <w:tr>
        <w:trPr>
          <w:trHeight w:val="148"/>
        </w:trPr>
        <w:tc>
          <w:tcPr>
            <w:tcW w:w="8720" w:type="dxa"/>
            <w:vAlign w:val="bottom"/>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226,000</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201,000</w:t>
            </w: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217,203</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290,640</w:t>
            </w:r>
          </w:p>
        </w:tc>
        <w:tc>
          <w:tcPr>
            <w:tcW w:w="0" w:type="dxa"/>
            <w:vAlign w:val="bottom"/>
          </w:tcPr>
          <w:p>
            <w:pPr>
              <w:spacing w:after="0"/>
              <w:rPr>
                <w:sz w:val="1"/>
                <w:szCs w:val="1"/>
                <w:color w:val="auto"/>
              </w:rPr>
            </w:pPr>
          </w:p>
        </w:tc>
      </w:tr>
      <w:tr>
        <w:trPr>
          <w:trHeight w:val="156"/>
        </w:trPr>
        <w:tc>
          <w:tcPr>
            <w:tcW w:w="87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Expenses before excise tax and amendment costs</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1,898,274</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2,793,030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Excise tax</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110,000</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110,000</w:t>
            </w:r>
          </w:p>
        </w:tc>
        <w:tc>
          <w:tcPr>
            <w:tcW w:w="0" w:type="dxa"/>
            <w:vAlign w:val="bottom"/>
          </w:tcPr>
          <w:p>
            <w:pPr>
              <w:spacing w:after="0"/>
              <w:rPr>
                <w:sz w:val="1"/>
                <w:szCs w:val="1"/>
                <w:color w:val="auto"/>
              </w:rPr>
            </w:pPr>
          </w:p>
        </w:tc>
      </w:tr>
      <w:tr>
        <w:trPr>
          <w:trHeight w:val="155"/>
        </w:trPr>
        <w:tc>
          <w:tcPr>
            <w:tcW w:w="8720" w:type="dxa"/>
            <w:vAlign w:val="bottom"/>
          </w:tcPr>
          <w:p>
            <w:pPr>
              <w:ind w:left="300"/>
              <w:spacing w:after="0" w:line="149" w:lineRule="exact"/>
              <w:rPr>
                <w:sz w:val="20"/>
                <w:szCs w:val="20"/>
                <w:color w:val="auto"/>
              </w:rPr>
            </w:pPr>
            <w:r>
              <w:rPr>
                <w:rFonts w:ascii="Arial" w:cs="Arial" w:eastAsia="Arial" w:hAnsi="Arial"/>
                <w:sz w:val="14"/>
                <w:szCs w:val="14"/>
                <w:color w:val="auto"/>
              </w:rPr>
              <w:t>Credit Facility amendment costs (See Notes 5 and 9)</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712,930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expenses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2,008,274</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3,615,960</w:t>
            </w:r>
          </w:p>
        </w:tc>
        <w:tc>
          <w:tcPr>
            <w:tcW w:w="0" w:type="dxa"/>
            <w:vAlign w:val="bottom"/>
          </w:tcPr>
          <w:p>
            <w:pPr>
              <w:spacing w:after="0"/>
              <w:rPr>
                <w:sz w:val="1"/>
                <w:szCs w:val="1"/>
                <w:color w:val="auto"/>
              </w:rPr>
            </w:pPr>
          </w:p>
        </w:tc>
      </w:tr>
      <w:tr>
        <w:trPr>
          <w:trHeight w:val="163"/>
        </w:trPr>
        <w:tc>
          <w:tcPr>
            <w:tcW w:w="87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5,468,446</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3,227,933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(loss) gain on investments and Credit Facility:</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720" w:type="dxa"/>
            <w:vAlign w:val="bottom"/>
          </w:tcPr>
          <w:p>
            <w:pPr>
              <w:spacing w:after="0" w:line="149" w:lineRule="exact"/>
              <w:rPr>
                <w:sz w:val="20"/>
                <w:szCs w:val="20"/>
                <w:color w:val="auto"/>
              </w:rPr>
            </w:pPr>
            <w:r>
              <w:rPr>
                <w:rFonts w:ascii="Arial" w:cs="Arial" w:eastAsia="Arial" w:hAnsi="Arial"/>
                <w:sz w:val="14"/>
                <w:szCs w:val="14"/>
                <w:color w:val="auto"/>
              </w:rPr>
              <w:t>Net realized (loss) gain on non-controlled, non-affiliated investments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(173,989)</w:t>
            </w:r>
          </w:p>
        </w:tc>
        <w:tc>
          <w:tcPr>
            <w:tcW w:w="2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594,057</w:t>
            </w: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(depreciation) appreciation on:</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720" w:type="dxa"/>
            <w:vAlign w:val="bottom"/>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(4,897,130)</w:t>
            </w:r>
          </w:p>
        </w:tc>
        <w:tc>
          <w:tcPr>
            <w:tcW w:w="2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2,234,791</w:t>
            </w:r>
          </w:p>
        </w:tc>
        <w:tc>
          <w:tcPr>
            <w:tcW w:w="0" w:type="dxa"/>
            <w:vAlign w:val="bottom"/>
          </w:tcPr>
          <w:p>
            <w:pPr>
              <w:spacing w:after="0"/>
              <w:rPr>
                <w:sz w:val="1"/>
                <w:szCs w:val="1"/>
                <w:color w:val="auto"/>
              </w:rPr>
            </w:pPr>
          </w:p>
        </w:tc>
      </w:tr>
      <w:tr>
        <w:trPr>
          <w:trHeight w:val="149"/>
        </w:trPr>
        <w:tc>
          <w:tcPr>
            <w:tcW w:w="8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Credit Facility appreciation (See Note 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40,875</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7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Credit Facility</w:t>
            </w: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(4,856,255)</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2,234,791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(loss) gain from investments and Credit Facility</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(5,030,244)</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2,828,848</w:t>
            </w:r>
          </w:p>
        </w:tc>
        <w:tc>
          <w:tcPr>
            <w:tcW w:w="0" w:type="dxa"/>
            <w:vAlign w:val="bottom"/>
          </w:tcPr>
          <w:p>
            <w:pPr>
              <w:spacing w:after="0"/>
              <w:rPr>
                <w:sz w:val="1"/>
                <w:szCs w:val="1"/>
                <w:color w:val="auto"/>
              </w:rPr>
            </w:pPr>
          </w:p>
        </w:tc>
      </w:tr>
      <w:tr>
        <w:trPr>
          <w:trHeight w:val="155"/>
        </w:trPr>
        <w:tc>
          <w:tcPr>
            <w:tcW w:w="87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438,202</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6,056,781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6)</w:t>
            </w:r>
          </w:p>
        </w:tc>
        <w:tc>
          <w:tcPr>
            <w:tcW w:w="160" w:type="dxa"/>
            <w:vAlign w:val="bottom"/>
            <w:gridSpan w:val="2"/>
            <w:shd w:val="clear" w:color="auto" w:fill="CCEEFF"/>
          </w:tcPr>
          <w:p>
            <w:pPr>
              <w:jc w:val="right"/>
              <w:ind w:right="74"/>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0.03</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2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0.37</w:t>
            </w:r>
          </w:p>
        </w:tc>
        <w:tc>
          <w:tcPr>
            <w:tcW w:w="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CHANGES IN NET ASSETS</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6"/>
              </w:rPr>
              <w:t>Three Months Ended December 31,</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3"/>
                <w:szCs w:val="13"/>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increase in net assets from operations:</w:t>
            </w: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60" w:type="dxa"/>
            <w:vAlign w:val="bottom"/>
          </w:tcPr>
          <w:p>
            <w:pPr>
              <w:ind w:left="440"/>
              <w:spacing w:after="0"/>
              <w:rPr>
                <w:sz w:val="20"/>
                <w:szCs w:val="20"/>
                <w:color w:val="auto"/>
              </w:rPr>
            </w:pPr>
            <w:r>
              <w:rPr>
                <w:rFonts w:ascii="Arial" w:cs="Arial" w:eastAsia="Arial" w:hAnsi="Arial"/>
                <w:sz w:val="13"/>
                <w:szCs w:val="13"/>
                <w:color w:val="auto"/>
              </w:rPr>
              <w:t>Net investment income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5,468,446</w:t>
            </w:r>
          </w:p>
        </w:tc>
        <w:tc>
          <w:tcPr>
            <w:tcW w:w="32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3,227,933</w:t>
            </w:r>
          </w:p>
        </w:tc>
        <w:tc>
          <w:tcPr>
            <w:tcW w:w="0" w:type="dxa"/>
            <w:vAlign w:val="bottom"/>
          </w:tcPr>
          <w:p>
            <w:pPr>
              <w:spacing w:after="0"/>
              <w:rPr>
                <w:sz w:val="1"/>
                <w:szCs w:val="1"/>
                <w:color w:val="auto"/>
              </w:rPr>
            </w:pPr>
          </w:p>
        </w:tc>
      </w:tr>
      <w:tr>
        <w:trPr>
          <w:trHeight w:val="149"/>
        </w:trPr>
        <w:tc>
          <w:tcPr>
            <w:tcW w:w="86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realized (loss) gain on investments</w:t>
            </w: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(173,989)</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594,057</w:t>
            </w:r>
          </w:p>
        </w:tc>
        <w:tc>
          <w:tcPr>
            <w:tcW w:w="0" w:type="dxa"/>
            <w:vAlign w:val="bottom"/>
          </w:tcPr>
          <w:p>
            <w:pPr>
              <w:spacing w:after="0"/>
              <w:rPr>
                <w:sz w:val="1"/>
                <w:szCs w:val="1"/>
                <w:color w:val="auto"/>
              </w:rPr>
            </w:pPr>
          </w:p>
        </w:tc>
      </w:tr>
      <w:tr>
        <w:trPr>
          <w:trHeight w:val="148"/>
        </w:trPr>
        <w:tc>
          <w:tcPr>
            <w:tcW w:w="8660" w:type="dxa"/>
            <w:vAlign w:val="bottom"/>
          </w:tcPr>
          <w:p>
            <w:pPr>
              <w:ind w:left="440"/>
              <w:spacing w:after="0"/>
              <w:rPr>
                <w:sz w:val="20"/>
                <w:szCs w:val="20"/>
                <w:color w:val="auto"/>
              </w:rPr>
            </w:pPr>
            <w:r>
              <w:rPr>
                <w:rFonts w:ascii="Arial" w:cs="Arial" w:eastAsia="Arial" w:hAnsi="Arial"/>
                <w:sz w:val="13"/>
                <w:szCs w:val="13"/>
                <w:color w:val="auto"/>
              </w:rPr>
              <w:t>Net change in unrealized (depreciation) appreciation on investments</w:t>
            </w:r>
          </w:p>
        </w:tc>
        <w:tc>
          <w:tcPr>
            <w:tcW w:w="140" w:type="dxa"/>
            <w:vAlign w:val="bottom"/>
          </w:tcPr>
          <w:p>
            <w:pPr>
              <w:spacing w:after="0"/>
              <w:rPr>
                <w:sz w:val="12"/>
                <w:szCs w:val="12"/>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3"/>
                <w:szCs w:val="13"/>
                <w:color w:val="auto"/>
              </w:rPr>
              <w:t>(4,897,130)</w:t>
            </w:r>
          </w:p>
        </w:tc>
        <w:tc>
          <w:tcPr>
            <w:tcW w:w="24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2,234,791</w:t>
            </w:r>
          </w:p>
        </w:tc>
        <w:tc>
          <w:tcPr>
            <w:tcW w:w="0" w:type="dxa"/>
            <w:vAlign w:val="bottom"/>
          </w:tcPr>
          <w:p>
            <w:pPr>
              <w:spacing w:after="0"/>
              <w:rPr>
                <w:sz w:val="1"/>
                <w:szCs w:val="1"/>
                <w:color w:val="auto"/>
              </w:rPr>
            </w:pPr>
          </w:p>
        </w:tc>
      </w:tr>
      <w:tr>
        <w:trPr>
          <w:trHeight w:val="148"/>
        </w:trPr>
        <w:tc>
          <w:tcPr>
            <w:tcW w:w="86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change in unrealized appreciation on Credit Facility</w:t>
            </w: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40,875</w:t>
            </w:r>
          </w:p>
        </w:tc>
        <w:tc>
          <w:tcPr>
            <w:tcW w:w="3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660" w:type="dxa"/>
            <w:vAlign w:val="bottom"/>
          </w:tcPr>
          <w:p>
            <w:pPr>
              <w:ind w:left="440"/>
              <w:spacing w:after="0"/>
              <w:rPr>
                <w:sz w:val="20"/>
                <w:szCs w:val="20"/>
                <w:color w:val="auto"/>
              </w:rPr>
            </w:pPr>
            <w:r>
              <w:rPr>
                <w:rFonts w:ascii="Arial" w:cs="Arial" w:eastAsia="Arial" w:hAnsi="Arial"/>
                <w:sz w:val="13"/>
                <w:szCs w:val="13"/>
                <w:b w:val="1"/>
                <w:bCs w:val="1"/>
                <w:color w:val="auto"/>
              </w:rPr>
              <w:t>Net increase in net assets resulting from operations</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438,202</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6,056,781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Distributions to stockholders:</w:t>
            </w: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(4,022,475)</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(3,985,230)</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3"/>
                <w:szCs w:val="13"/>
                <w:b w:val="1"/>
                <w:bCs w:val="1"/>
                <w:color w:val="auto"/>
              </w:rPr>
              <w:t>Net (decrease) increase in net assets</w:t>
            </w: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3"/>
                <w:szCs w:val="13"/>
                <w:color w:val="auto"/>
              </w:rPr>
              <w:t>(3,584,273)</w:t>
            </w: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2,071,551</w:t>
            </w:r>
          </w:p>
        </w:tc>
        <w:tc>
          <w:tcPr>
            <w:tcW w:w="0" w:type="dxa"/>
            <w:vAlign w:val="bottom"/>
          </w:tcPr>
          <w:p>
            <w:pPr>
              <w:spacing w:after="0"/>
              <w:rPr>
                <w:sz w:val="1"/>
                <w:szCs w:val="1"/>
                <w:color w:val="auto"/>
              </w:rPr>
            </w:pPr>
          </w:p>
        </w:tc>
      </w:tr>
      <w:tr>
        <w:trPr>
          <w:trHeight w:val="148"/>
        </w:trPr>
        <w:tc>
          <w:tcPr>
            <w:tcW w:w="8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assets:</w:t>
            </w: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660" w:type="dxa"/>
            <w:vAlign w:val="bottom"/>
          </w:tcPr>
          <w:p>
            <w:pPr>
              <w:ind w:left="440"/>
              <w:spacing w:after="0"/>
              <w:rPr>
                <w:sz w:val="20"/>
                <w:szCs w:val="20"/>
                <w:color w:val="auto"/>
              </w:rPr>
            </w:pPr>
            <w:r>
              <w:rPr>
                <w:rFonts w:ascii="Arial" w:cs="Arial" w:eastAsia="Arial" w:hAnsi="Arial"/>
                <w:sz w:val="13"/>
                <w:szCs w:val="13"/>
                <w:color w:val="auto"/>
              </w:rPr>
              <w:t>Beginning of period</w:t>
            </w: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214,527,710</w:t>
            </w:r>
          </w:p>
        </w:tc>
        <w:tc>
          <w:tcPr>
            <w:tcW w:w="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210,066,394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End of period</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210,943,437</w:t>
            </w:r>
          </w:p>
        </w:tc>
        <w:tc>
          <w:tcPr>
            <w:tcW w:w="3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212,137,945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60" w:type="dxa"/>
            <w:vAlign w:val="bottom"/>
            <w:vMerge w:val="restart"/>
          </w:tcPr>
          <w:p>
            <w:pPr>
              <w:ind w:left="440"/>
              <w:spacing w:after="0"/>
              <w:rPr>
                <w:sz w:val="20"/>
                <w:szCs w:val="20"/>
                <w:color w:val="auto"/>
              </w:rPr>
            </w:pPr>
            <w:r>
              <w:rPr>
                <w:rFonts w:ascii="Arial" w:cs="Arial" w:eastAsia="Arial" w:hAnsi="Arial"/>
                <w:sz w:val="13"/>
                <w:szCs w:val="13"/>
                <w:color w:val="auto"/>
              </w:rPr>
              <w:t>Undistributed (Distributions in excess of) net investment income, end of period</w:t>
            </w: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660" w:type="dxa"/>
            <w:vAlign w:val="bottom"/>
            <w:vMerge w:val="continue"/>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43" w:lineRule="exact"/>
              <w:rPr>
                <w:sz w:val="20"/>
                <w:szCs w:val="20"/>
                <w:color w:val="auto"/>
              </w:rPr>
            </w:pPr>
            <w:r>
              <w:rPr>
                <w:rFonts w:ascii="Arial" w:cs="Arial" w:eastAsia="Arial" w:hAnsi="Arial"/>
                <w:sz w:val="13"/>
                <w:szCs w:val="13"/>
                <w:color w:val="auto"/>
              </w:rPr>
              <w:t>6,324,062</w:t>
            </w:r>
          </w:p>
        </w:tc>
        <w:tc>
          <w:tcPr>
            <w:tcW w:w="32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(282,531)</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right"/>
              <w:ind w:right="160"/>
              <w:spacing w:after="0"/>
              <w:rPr>
                <w:sz w:val="20"/>
                <w:szCs w:val="20"/>
                <w:color w:val="auto"/>
              </w:rPr>
            </w:pPr>
            <w:r>
              <w:rPr>
                <w:rFonts w:ascii="Arial" w:cs="Arial" w:eastAsia="Arial" w:hAnsi="Arial"/>
                <w:sz w:val="13"/>
                <w:szCs w:val="13"/>
                <w:b w:val="1"/>
                <w:bCs w:val="1"/>
                <w:color w:val="auto"/>
                <w:w w:val="93"/>
              </w:rPr>
              <w:t>Three Months Ended December 31,</w:t>
            </w:r>
          </w:p>
        </w:tc>
        <w:tc>
          <w:tcPr>
            <w:tcW w:w="0" w:type="dxa"/>
            <w:vAlign w:val="bottom"/>
          </w:tcPr>
          <w:p>
            <w:pPr>
              <w:spacing w:after="0"/>
              <w:rPr>
                <w:sz w:val="1"/>
                <w:szCs w:val="1"/>
                <w:color w:val="auto"/>
              </w:rPr>
            </w:pPr>
          </w:p>
        </w:tc>
      </w:tr>
      <w:tr>
        <w:trPr>
          <w:trHeight w:val="142"/>
        </w:trPr>
        <w:tc>
          <w:tcPr>
            <w:tcW w:w="89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3"/>
                <w:szCs w:val="13"/>
                <w:b w:val="1"/>
                <w:bCs w:val="1"/>
                <w:color w:val="auto"/>
              </w:rPr>
              <w:t>2013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9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960" w:type="dxa"/>
            <w:vAlign w:val="bottom"/>
          </w:tcPr>
          <w:p>
            <w:pPr>
              <w:ind w:left="440"/>
              <w:spacing w:after="0"/>
              <w:rPr>
                <w:sz w:val="20"/>
                <w:szCs w:val="20"/>
                <w:color w:val="auto"/>
              </w:rPr>
            </w:pPr>
            <w:r>
              <w:rPr>
                <w:rFonts w:ascii="Arial" w:cs="Arial" w:eastAsia="Arial" w:hAnsi="Arial"/>
                <w:sz w:val="13"/>
                <w:szCs w:val="13"/>
                <w:color w:val="auto"/>
              </w:rPr>
              <w:t>Net increase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438,202</w:t>
            </w: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6,056,781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9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Adjustments to reconcile net increase in net assets resulting from operations to net cash provided (used) by operating activities:</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60" w:type="dxa"/>
            <w:vAlign w:val="bottom"/>
          </w:tcPr>
          <w:p>
            <w:pPr>
              <w:ind w:left="880"/>
              <w:spacing w:after="0"/>
              <w:rPr>
                <w:sz w:val="20"/>
                <w:szCs w:val="20"/>
                <w:color w:val="auto"/>
              </w:rPr>
            </w:pPr>
            <w:r>
              <w:rPr>
                <w:rFonts w:ascii="Arial" w:cs="Arial" w:eastAsia="Arial" w:hAnsi="Arial"/>
                <w:sz w:val="13"/>
                <w:szCs w:val="13"/>
                <w:color w:val="auto"/>
              </w:rPr>
              <w:t>Net change in unrealized depreciation (appreciation) on investments</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4,897,130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(2,234,791)</w:t>
            </w:r>
          </w:p>
        </w:tc>
        <w:tc>
          <w:tcPr>
            <w:tcW w:w="0" w:type="dxa"/>
            <w:vAlign w:val="bottom"/>
          </w:tcPr>
          <w:p>
            <w:pPr>
              <w:spacing w:after="0"/>
              <w:rPr>
                <w:sz w:val="1"/>
                <w:szCs w:val="1"/>
                <w:color w:val="auto"/>
              </w:rPr>
            </w:pPr>
          </w:p>
        </w:tc>
      </w:tr>
      <w:tr>
        <w:trPr>
          <w:trHeight w:val="148"/>
        </w:trPr>
        <w:tc>
          <w:tcPr>
            <w:tcW w:w="8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Net change in unrealized appreciation on Credit Facility</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(40,875)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960" w:type="dxa"/>
            <w:vAlign w:val="bottom"/>
          </w:tcPr>
          <w:p>
            <w:pPr>
              <w:ind w:left="880"/>
              <w:spacing w:after="0"/>
              <w:rPr>
                <w:sz w:val="20"/>
                <w:szCs w:val="20"/>
                <w:color w:val="auto"/>
              </w:rPr>
            </w:pPr>
            <w:r>
              <w:rPr>
                <w:rFonts w:ascii="Arial" w:cs="Arial" w:eastAsia="Arial" w:hAnsi="Arial"/>
                <w:sz w:val="13"/>
                <w:szCs w:val="13"/>
                <w:color w:val="auto"/>
              </w:rPr>
              <w:t>Net realized loss (gain) on investments</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173,989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(594,057)</w:t>
            </w:r>
          </w:p>
        </w:tc>
        <w:tc>
          <w:tcPr>
            <w:tcW w:w="0" w:type="dxa"/>
            <w:vAlign w:val="bottom"/>
          </w:tcPr>
          <w:p>
            <w:pPr>
              <w:spacing w:after="0"/>
              <w:rPr>
                <w:sz w:val="1"/>
                <w:szCs w:val="1"/>
                <w:color w:val="auto"/>
              </w:rPr>
            </w:pPr>
          </w:p>
        </w:tc>
      </w:tr>
      <w:tr>
        <w:trPr>
          <w:trHeight w:val="148"/>
        </w:trPr>
        <w:tc>
          <w:tcPr>
            <w:tcW w:w="8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Net accretion of discount and amortization of premium</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(292,312)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(301,795)</w:t>
            </w:r>
          </w:p>
        </w:tc>
        <w:tc>
          <w:tcPr>
            <w:tcW w:w="0" w:type="dxa"/>
            <w:vAlign w:val="bottom"/>
          </w:tcPr>
          <w:p>
            <w:pPr>
              <w:spacing w:after="0"/>
              <w:rPr>
                <w:sz w:val="1"/>
                <w:szCs w:val="1"/>
                <w:color w:val="auto"/>
              </w:rPr>
            </w:pPr>
          </w:p>
        </w:tc>
      </w:tr>
      <w:tr>
        <w:trPr>
          <w:trHeight w:val="149"/>
        </w:trPr>
        <w:tc>
          <w:tcPr>
            <w:tcW w:w="8960" w:type="dxa"/>
            <w:vAlign w:val="bottom"/>
          </w:tcPr>
          <w:p>
            <w:pPr>
              <w:ind w:left="880"/>
              <w:spacing w:after="0"/>
              <w:rPr>
                <w:sz w:val="20"/>
                <w:szCs w:val="20"/>
                <w:color w:val="auto"/>
              </w:rPr>
            </w:pPr>
            <w:r>
              <w:rPr>
                <w:rFonts w:ascii="Arial" w:cs="Arial" w:eastAsia="Arial" w:hAnsi="Arial"/>
                <w:sz w:val="13"/>
                <w:szCs w:val="13"/>
                <w:color w:val="auto"/>
              </w:rPr>
              <w:t>Purchases of investments</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(46,998,949)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(103,914,361)</w:t>
            </w:r>
          </w:p>
        </w:tc>
        <w:tc>
          <w:tcPr>
            <w:tcW w:w="0" w:type="dxa"/>
            <w:vAlign w:val="bottom"/>
          </w:tcPr>
          <w:p>
            <w:pPr>
              <w:spacing w:after="0"/>
              <w:rPr>
                <w:sz w:val="1"/>
                <w:szCs w:val="1"/>
                <w:color w:val="auto"/>
              </w:rPr>
            </w:pPr>
          </w:p>
        </w:tc>
      </w:tr>
      <w:tr>
        <w:trPr>
          <w:trHeight w:val="148"/>
        </w:trPr>
        <w:tc>
          <w:tcPr>
            <w:tcW w:w="8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Payment-in-kind interest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(168,128)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(51,042)</w:t>
            </w:r>
          </w:p>
        </w:tc>
        <w:tc>
          <w:tcPr>
            <w:tcW w:w="0" w:type="dxa"/>
            <w:vAlign w:val="bottom"/>
          </w:tcPr>
          <w:p>
            <w:pPr>
              <w:spacing w:after="0"/>
              <w:rPr>
                <w:sz w:val="1"/>
                <w:szCs w:val="1"/>
                <w:color w:val="auto"/>
              </w:rPr>
            </w:pPr>
          </w:p>
        </w:tc>
      </w:tr>
      <w:tr>
        <w:trPr>
          <w:trHeight w:val="148"/>
        </w:trPr>
        <w:tc>
          <w:tcPr>
            <w:tcW w:w="8960" w:type="dxa"/>
            <w:vAlign w:val="bottom"/>
          </w:tcPr>
          <w:p>
            <w:pPr>
              <w:ind w:left="880"/>
              <w:spacing w:after="0"/>
              <w:rPr>
                <w:sz w:val="20"/>
                <w:szCs w:val="20"/>
                <w:color w:val="auto"/>
              </w:rPr>
            </w:pPr>
            <w:r>
              <w:rPr>
                <w:rFonts w:ascii="Arial" w:cs="Arial" w:eastAsia="Arial" w:hAnsi="Arial"/>
                <w:sz w:val="13"/>
                <w:szCs w:val="13"/>
                <w:color w:val="auto"/>
              </w:rPr>
              <w:t>Proceeds from dispositions of investments</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44,916,238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55,416,308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(Increase) decrease in interest receivable</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(388,891)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232,643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60" w:type="dxa"/>
            <w:vAlign w:val="bottom"/>
          </w:tcPr>
          <w:p>
            <w:pPr>
              <w:ind w:left="880"/>
              <w:spacing w:after="0"/>
              <w:rPr>
                <w:sz w:val="20"/>
                <w:szCs w:val="20"/>
                <w:color w:val="auto"/>
              </w:rPr>
            </w:pPr>
            <w:r>
              <w:rPr>
                <w:rFonts w:ascii="Arial" w:cs="Arial" w:eastAsia="Arial" w:hAnsi="Arial"/>
                <w:sz w:val="13"/>
                <w:szCs w:val="13"/>
                <w:color w:val="auto"/>
              </w:rPr>
              <w:t>Decrease (increase) in receivable for investments sold</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9,001,938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(2,699,174)</w:t>
            </w:r>
          </w:p>
        </w:tc>
        <w:tc>
          <w:tcPr>
            <w:tcW w:w="0" w:type="dxa"/>
            <w:vAlign w:val="bottom"/>
          </w:tcPr>
          <w:p>
            <w:pPr>
              <w:spacing w:after="0"/>
              <w:rPr>
                <w:sz w:val="1"/>
                <w:szCs w:val="1"/>
                <w:color w:val="auto"/>
              </w:rPr>
            </w:pPr>
          </w:p>
        </w:tc>
      </w:tr>
      <w:tr>
        <w:trPr>
          <w:trHeight w:val="149"/>
        </w:trPr>
        <w:tc>
          <w:tcPr>
            <w:tcW w:w="8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Decrease in prepaid expenses and other assets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53,631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60" w:type="dxa"/>
            <w:vAlign w:val="bottom"/>
          </w:tcPr>
          <w:p>
            <w:pPr>
              <w:ind w:left="880"/>
              <w:spacing w:after="0"/>
              <w:rPr>
                <w:sz w:val="20"/>
                <w:szCs w:val="20"/>
                <w:color w:val="auto"/>
              </w:rPr>
            </w:pPr>
            <w:r>
              <w:rPr>
                <w:rFonts w:ascii="Arial" w:cs="Arial" w:eastAsia="Arial" w:hAnsi="Arial"/>
                <w:sz w:val="13"/>
                <w:szCs w:val="13"/>
                <w:color w:val="auto"/>
              </w:rPr>
              <w:t>Increase in payable for investments purchased</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1,738,000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12,613,912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(Decrease) increase in interest payable on Credit Facility</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(1,264)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88,983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60" w:type="dxa"/>
            <w:vAlign w:val="bottom"/>
          </w:tcPr>
          <w:p>
            <w:pPr>
              <w:ind w:left="880"/>
              <w:spacing w:after="0"/>
              <w:rPr>
                <w:sz w:val="20"/>
                <w:szCs w:val="20"/>
                <w:color w:val="auto"/>
              </w:rPr>
            </w:pPr>
            <w:r>
              <w:rPr>
                <w:rFonts w:ascii="Arial" w:cs="Arial" w:eastAsia="Arial" w:hAnsi="Arial"/>
                <w:sz w:val="13"/>
                <w:szCs w:val="13"/>
                <w:color w:val="auto"/>
              </w:rPr>
              <w:t>(Decrease) increase in management fee payable</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(31,608)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150,168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(Decrease) increase in performance-based incentive fee payable</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(1,350,865)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182,943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60" w:type="dxa"/>
            <w:vAlign w:val="bottom"/>
          </w:tcPr>
          <w:p>
            <w:pPr>
              <w:ind w:left="880"/>
              <w:spacing w:after="0"/>
              <w:rPr>
                <w:sz w:val="20"/>
                <w:szCs w:val="20"/>
                <w:color w:val="auto"/>
              </w:rPr>
            </w:pPr>
            <w:r>
              <w:rPr>
                <w:rFonts w:ascii="Arial" w:cs="Arial" w:eastAsia="Arial" w:hAnsi="Arial"/>
                <w:sz w:val="13"/>
                <w:szCs w:val="13"/>
                <w:color w:val="auto"/>
              </w:rPr>
              <w:t>Increase in accrued other expenses</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247,912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39,882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96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Net cash provided (used) by operating activities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12,194,148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(34,915,242)</w:t>
            </w:r>
          </w:p>
        </w:tc>
        <w:tc>
          <w:tcPr>
            <w:tcW w:w="0" w:type="dxa"/>
            <w:vAlign w:val="bottom"/>
          </w:tcPr>
          <w:p>
            <w:pPr>
              <w:spacing w:after="0"/>
              <w:rPr>
                <w:sz w:val="1"/>
                <w:szCs w:val="1"/>
                <w:color w:val="auto"/>
              </w:rPr>
            </w:pPr>
          </w:p>
        </w:tc>
      </w:tr>
      <w:tr>
        <w:trPr>
          <w:trHeight w:val="156"/>
        </w:trPr>
        <w:tc>
          <w:tcPr>
            <w:tcW w:w="896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Distributions paid to stockholders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(4,022,475)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(3,947,985)</w:t>
            </w:r>
          </w:p>
        </w:tc>
        <w:tc>
          <w:tcPr>
            <w:tcW w:w="0" w:type="dxa"/>
            <w:vAlign w:val="bottom"/>
          </w:tcPr>
          <w:p>
            <w:pPr>
              <w:spacing w:after="0"/>
              <w:rPr>
                <w:sz w:val="1"/>
                <w:szCs w:val="1"/>
                <w:color w:val="auto"/>
              </w:rPr>
            </w:pPr>
          </w:p>
        </w:tc>
      </w:tr>
      <w:tr>
        <w:trPr>
          <w:trHeight w:val="148"/>
        </w:trPr>
        <w:tc>
          <w:tcPr>
            <w:tcW w:w="8960" w:type="dxa"/>
            <w:vAlign w:val="bottom"/>
          </w:tcPr>
          <w:p>
            <w:pPr>
              <w:ind w:left="880"/>
              <w:spacing w:after="0"/>
              <w:rPr>
                <w:sz w:val="20"/>
                <w:szCs w:val="20"/>
                <w:color w:val="auto"/>
              </w:rPr>
            </w:pPr>
            <w:r>
              <w:rPr>
                <w:rFonts w:ascii="Arial" w:cs="Arial" w:eastAsia="Arial" w:hAnsi="Arial"/>
                <w:sz w:val="13"/>
                <w:szCs w:val="13"/>
                <w:color w:val="auto"/>
              </w:rPr>
              <w:t>Borrowings under Credit Facility (See Notes 5 and 9)</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34,300,000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54,800,000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Repayments under Credit Facility (See Notes 5 and 9)</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(45,200,000)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(15,200,000)</w:t>
            </w:r>
          </w:p>
        </w:tc>
        <w:tc>
          <w:tcPr>
            <w:tcW w:w="0" w:type="dxa"/>
            <w:vAlign w:val="bottom"/>
          </w:tcPr>
          <w:p>
            <w:pPr>
              <w:spacing w:after="0"/>
              <w:rPr>
                <w:sz w:val="1"/>
                <w:szCs w:val="1"/>
                <w:color w:val="auto"/>
              </w:rPr>
            </w:pPr>
          </w:p>
        </w:tc>
      </w:tr>
      <w:tr>
        <w:trPr>
          <w:trHeight w:val="20"/>
        </w:trPr>
        <w:tc>
          <w:tcPr>
            <w:tcW w:w="8960" w:type="dxa"/>
            <w:vAlign w:val="bottom"/>
            <w:vMerge w:val="restart"/>
          </w:tcPr>
          <w:p>
            <w:pPr>
              <w:ind w:left="1300"/>
              <w:spacing w:after="0"/>
              <w:rPr>
                <w:sz w:val="20"/>
                <w:szCs w:val="20"/>
                <w:color w:val="auto"/>
              </w:rPr>
            </w:pPr>
            <w:r>
              <w:rPr>
                <w:rFonts w:ascii="Arial" w:cs="Arial" w:eastAsia="Arial" w:hAnsi="Arial"/>
                <w:sz w:val="13"/>
                <w:szCs w:val="13"/>
                <w:color w:val="auto"/>
              </w:rPr>
              <w:t>Net cash (used) provided by financing activities</w:t>
            </w: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(14,922,475)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35,652,015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(decrease) increase in cash equivalents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(2,728,327)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736,773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960" w:type="dxa"/>
            <w:vAlign w:val="bottom"/>
          </w:tcPr>
          <w:p>
            <w:pPr>
              <w:spacing w:after="0"/>
              <w:rPr>
                <w:sz w:val="20"/>
                <w:szCs w:val="20"/>
                <w:color w:val="auto"/>
              </w:rPr>
            </w:pPr>
            <w:r>
              <w:rPr>
                <w:rFonts w:ascii="Arial" w:cs="Arial" w:eastAsia="Arial" w:hAnsi="Arial"/>
                <w:sz w:val="13"/>
                <w:szCs w:val="13"/>
                <w:b w:val="1"/>
                <w:bCs w:val="1"/>
                <w:color w:val="auto"/>
              </w:rPr>
              <w:t>Cash equivalents, beginning of period</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13,113,817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4,578,249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10,385,490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5,315,022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852,022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647,454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960" w:type="dxa"/>
            <w:vAlign w:val="bottom"/>
            <w:vMerge w:val="restart"/>
          </w:tcPr>
          <w:p>
            <w:pPr>
              <w:ind w:left="440"/>
              <w:spacing w:after="0"/>
              <w:rPr>
                <w:sz w:val="20"/>
                <w:szCs w:val="20"/>
                <w:color w:val="auto"/>
              </w:rPr>
            </w:pPr>
            <w:r>
              <w:rPr>
                <w:rFonts w:ascii="Arial" w:cs="Arial" w:eastAsia="Arial" w:hAnsi="Arial"/>
                <w:sz w:val="13"/>
                <w:szCs w:val="13"/>
                <w:color w:val="auto"/>
              </w:rPr>
              <w:t>Conversions and non-cash exchanges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96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3" w:lineRule="exact"/>
              <w:rPr>
                <w:sz w:val="20"/>
                <w:szCs w:val="20"/>
                <w:color w:val="auto"/>
              </w:rPr>
            </w:pPr>
            <w:r>
              <w:rPr>
                <w:rFonts w:ascii="Arial" w:cs="Arial" w:eastAsia="Arial" w:hAnsi="Arial"/>
                <w:sz w:val="13"/>
                <w:szCs w:val="13"/>
                <w:color w:val="auto"/>
              </w:rPr>
              <w:t>5,952,277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jc w:val="center"/>
              <w:ind w:right="98"/>
              <w:spacing w:after="0"/>
              <w:rPr>
                <w:sz w:val="20"/>
                <w:szCs w:val="20"/>
                <w:color w:val="auto"/>
              </w:rPr>
            </w:pPr>
            <w:r>
              <w:rPr>
                <w:rFonts w:ascii="Arial" w:cs="Arial" w:eastAsia="Arial" w:hAnsi="Arial"/>
                <w:sz w:val="11"/>
                <w:szCs w:val="11"/>
                <w:b w:val="1"/>
                <w:bCs w:val="1"/>
                <w:color w:val="auto"/>
                <w:w w:val="86"/>
              </w:rPr>
              <w:t>Basis Point</w:t>
            </w: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jc w:val="center"/>
              <w:ind w:right="98"/>
              <w:spacing w:after="0" w:line="122" w:lineRule="exact"/>
              <w:rPr>
                <w:sz w:val="20"/>
                <w:szCs w:val="20"/>
                <w:color w:val="auto"/>
              </w:rPr>
            </w:pPr>
            <w:r>
              <w:rPr>
                <w:rFonts w:ascii="Arial" w:cs="Arial" w:eastAsia="Arial" w:hAnsi="Arial"/>
                <w:sz w:val="11"/>
                <w:szCs w:val="11"/>
                <w:b w:val="1"/>
                <w:bCs w:val="1"/>
                <w:color w:val="auto"/>
                <w:w w:val="85"/>
              </w:rPr>
              <w:t>Spread</w:t>
            </w: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60" w:type="dxa"/>
            <w:vAlign w:val="bottom"/>
            <w:vMerge w:val="restart"/>
          </w:tcPr>
          <w:p>
            <w:pPr>
              <w:spacing w:after="0"/>
              <w:rPr>
                <w:sz w:val="20"/>
                <w:szCs w:val="20"/>
                <w:color w:val="auto"/>
              </w:rPr>
            </w:pPr>
            <w:r>
              <w:rPr>
                <w:rFonts w:ascii="Arial" w:cs="Arial" w:eastAsia="Arial" w:hAnsi="Arial"/>
                <w:sz w:val="11"/>
                <w:szCs w:val="11"/>
                <w:b w:val="1"/>
                <w:bCs w:val="1"/>
                <w:color w:val="auto"/>
              </w:rPr>
              <w:t>Issuer Name</w:t>
            </w:r>
          </w:p>
        </w:tc>
        <w:tc>
          <w:tcPr>
            <w:tcW w:w="15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20" w:type="dxa"/>
            <w:vAlign w:val="bottom"/>
          </w:tcPr>
          <w:p>
            <w:pPr>
              <w:jc w:val="right"/>
              <w:ind w:right="197"/>
              <w:spacing w:after="0" w:line="122" w:lineRule="exact"/>
              <w:rPr>
                <w:sz w:val="20"/>
                <w:szCs w:val="20"/>
                <w:color w:val="auto"/>
              </w:rPr>
            </w:pPr>
            <w:r>
              <w:rPr>
                <w:rFonts w:ascii="Arial" w:cs="Arial" w:eastAsia="Arial" w:hAnsi="Arial"/>
                <w:sz w:val="11"/>
                <w:szCs w:val="11"/>
                <w:b w:val="1"/>
                <w:bCs w:val="1"/>
                <w:color w:val="auto"/>
              </w:rPr>
              <w:t>Current</w:t>
            </w:r>
          </w:p>
        </w:tc>
        <w:tc>
          <w:tcPr>
            <w:tcW w:w="960" w:type="dxa"/>
            <w:vAlign w:val="bottom"/>
          </w:tcPr>
          <w:p>
            <w:pPr>
              <w:jc w:val="center"/>
              <w:ind w:right="78"/>
              <w:spacing w:after="0" w:line="122" w:lineRule="exact"/>
              <w:rPr>
                <w:sz w:val="20"/>
                <w:szCs w:val="20"/>
                <w:color w:val="auto"/>
              </w:rPr>
            </w:pPr>
            <w:r>
              <w:rPr>
                <w:rFonts w:ascii="Arial" w:cs="Arial" w:eastAsia="Arial" w:hAnsi="Arial"/>
                <w:sz w:val="11"/>
                <w:szCs w:val="11"/>
                <w:b w:val="1"/>
                <w:bCs w:val="1"/>
                <w:color w:val="auto"/>
                <w:w w:val="89"/>
              </w:rPr>
              <w:t>Above</w:t>
            </w:r>
          </w:p>
        </w:tc>
        <w:tc>
          <w:tcPr>
            <w:tcW w:w="900" w:type="dxa"/>
            <w:vAlign w:val="bottom"/>
          </w:tcPr>
          <w:p>
            <w:pPr>
              <w:jc w:val="right"/>
              <w:ind w:right="317"/>
              <w:spacing w:after="0" w:line="122" w:lineRule="exact"/>
              <w:rPr>
                <w:sz w:val="20"/>
                <w:szCs w:val="20"/>
                <w:color w:val="auto"/>
              </w:rPr>
            </w:pPr>
            <w:r>
              <w:rPr>
                <w:rFonts w:ascii="Arial" w:cs="Arial" w:eastAsia="Arial" w:hAnsi="Arial"/>
                <w:sz w:val="11"/>
                <w:szCs w:val="11"/>
                <w:b w:val="1"/>
                <w:bCs w:val="1"/>
                <w:color w:val="auto"/>
              </w:rPr>
              <w:t>Par /</w:t>
            </w: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auto"/>
            </w:tcBorders>
            <w:vMerge w:val="continue"/>
          </w:tcPr>
          <w:p>
            <w:pPr>
              <w:spacing w:after="0"/>
              <w:rPr>
                <w:sz w:val="11"/>
                <w:szCs w:val="11"/>
                <w:color w:val="auto"/>
              </w:rPr>
            </w:pPr>
          </w:p>
        </w:tc>
        <w:tc>
          <w:tcPr>
            <w:tcW w:w="1520" w:type="dxa"/>
            <w:vAlign w:val="bottom"/>
            <w:tcBorders>
              <w:bottom w:val="single" w:sz="8" w:color="auto"/>
            </w:tcBorders>
          </w:tcPr>
          <w:p>
            <w:pPr>
              <w:jc w:val="center"/>
              <w:ind w:left="277"/>
              <w:spacing w:after="0"/>
              <w:rPr>
                <w:sz w:val="20"/>
                <w:szCs w:val="20"/>
                <w:color w:val="auto"/>
              </w:rPr>
            </w:pPr>
            <w:r>
              <w:rPr>
                <w:rFonts w:ascii="Arial" w:cs="Arial" w:eastAsia="Arial" w:hAnsi="Arial"/>
                <w:sz w:val="11"/>
                <w:szCs w:val="11"/>
                <w:b w:val="1"/>
                <w:bCs w:val="1"/>
                <w:color w:val="auto"/>
                <w:w w:val="98"/>
              </w:rPr>
              <w:t>Maturity</w:t>
            </w:r>
          </w:p>
        </w:tc>
        <w:tc>
          <w:tcPr>
            <w:tcW w:w="1900" w:type="dxa"/>
            <w:vAlign w:val="bottom"/>
            <w:tcBorders>
              <w:bottom w:val="single" w:sz="8" w:color="auto"/>
            </w:tcBorders>
          </w:tcPr>
          <w:p>
            <w:pPr>
              <w:jc w:val="center"/>
              <w:ind w:right="77"/>
              <w:spacing w:after="0"/>
              <w:rPr>
                <w:sz w:val="20"/>
                <w:szCs w:val="20"/>
                <w:color w:val="auto"/>
              </w:rPr>
            </w:pPr>
            <w:r>
              <w:rPr>
                <w:rFonts w:ascii="Arial" w:cs="Arial" w:eastAsia="Arial" w:hAnsi="Arial"/>
                <w:sz w:val="11"/>
                <w:szCs w:val="11"/>
                <w:b w:val="1"/>
                <w:bCs w:val="1"/>
                <w:color w:val="auto"/>
                <w:w w:val="92"/>
              </w:rPr>
              <w:t>Industry</w:t>
            </w: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1"/>
                <w:szCs w:val="11"/>
                <w:b w:val="1"/>
                <w:bCs w:val="1"/>
                <w:color w:val="auto"/>
              </w:rPr>
              <w:t>Coupon</w:t>
            </w: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b w:val="1"/>
                <w:bCs w:val="1"/>
                <w:color w:val="auto"/>
              </w:rPr>
              <w:t>Shares</w:t>
            </w: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Cost</w:t>
            </w:r>
          </w:p>
        </w:tc>
        <w:tc>
          <w:tcPr>
            <w:tcW w:w="1020" w:type="dxa"/>
            <w:vAlign w:val="bottom"/>
            <w:tcBorders>
              <w:bottom w:val="single" w:sz="8" w:color="auto"/>
            </w:tcBorders>
          </w:tcPr>
          <w:p>
            <w:pPr>
              <w:jc w:val="right"/>
              <w:ind w:right="97"/>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48"/>
        </w:trPr>
        <w:tc>
          <w:tcPr>
            <w:tcW w:w="30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458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w w:val="90"/>
              </w:rPr>
              <w:t xml:space="preserve">Investments in Non-Controlled, Non-Affiliated Portfolio Companies—162.7% </w:t>
            </w:r>
            <w:r>
              <w:rPr>
                <w:rFonts w:ascii="Arial" w:cs="Arial" w:eastAsia="Arial" w:hAnsi="Arial"/>
                <w:sz w:val="10"/>
                <w:szCs w:val="10"/>
                <w:b w:val="1"/>
                <w:bCs w:val="1"/>
                <w:color w:val="auto"/>
                <w:w w:val="90"/>
              </w:rPr>
              <w:t>(3), (4)</w:t>
            </w:r>
          </w:p>
        </w:tc>
        <w:tc>
          <w:tcPr>
            <w:tcW w:w="19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Debt—136.8%</w:t>
            </w:r>
          </w:p>
        </w:tc>
        <w:tc>
          <w:tcPr>
            <w:tcW w:w="15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04/02/2018</w:t>
            </w:r>
          </w:p>
        </w:tc>
        <w:tc>
          <w:tcPr>
            <w:tcW w:w="19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0"/>
              </w:rPr>
              <w:t>Retail</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11.92%</w:t>
            </w:r>
          </w:p>
        </w:tc>
        <w:tc>
          <w:tcPr>
            <w:tcW w:w="960" w:type="dxa"/>
            <w:vAlign w:val="bottom"/>
          </w:tcPr>
          <w:p>
            <w:pPr>
              <w:jc w:val="right"/>
              <w:ind w:right="98"/>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(9)</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8,944,758</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  8,764,459</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  9,035,782</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(10)</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04/02/2018</w:t>
            </w:r>
          </w:p>
        </w:tc>
        <w:tc>
          <w:tcPr>
            <w:tcW w:w="190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90"/>
              </w:rPr>
              <w:t>Retail</w:t>
            </w:r>
          </w:p>
        </w:tc>
        <w:tc>
          <w:tcPr>
            <w:tcW w:w="8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2,000,000</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ALG USA Holdings, LLC</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02/28/2019</w:t>
            </w:r>
          </w:p>
        </w:tc>
        <w:tc>
          <w:tcPr>
            <w:tcW w:w="190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7"/>
              </w:rPr>
              <w:t>Hotel, Gaming and Leisure</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L+575</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7,315,907</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7,274,571</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7,242,748</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Ancile Solutions, Inc.</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07/16/2018</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7"/>
              </w:rPr>
              <w:t>High Tech Industries</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6.25%</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4,276,316</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4,245,305</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4,233,553</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12/21/2020</w:t>
            </w:r>
          </w:p>
        </w:tc>
        <w:tc>
          <w:tcPr>
            <w:tcW w:w="190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7"/>
              </w:rPr>
              <w:t>Hotel, Gaming and Leisure</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9.25%</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L+825</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1,386,000</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1,348,528</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1,379,070</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ARC Automotive Group, Inc.</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10/12/2020</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92"/>
              </w:rPr>
              <w:t>Automotive</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4,000,000</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3,960,637</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3,940,000</w:t>
            </w:r>
          </w:p>
        </w:tc>
        <w:tc>
          <w:tcPr>
            <w:tcW w:w="0" w:type="dxa"/>
            <w:vAlign w:val="bottom"/>
          </w:tcPr>
          <w:p>
            <w:pPr>
              <w:spacing w:after="0"/>
              <w:rPr>
                <w:sz w:val="1"/>
                <w:szCs w:val="1"/>
                <w:color w:val="auto"/>
              </w:rPr>
            </w:pPr>
          </w:p>
        </w:tc>
      </w:tr>
      <w:tr>
        <w:trPr>
          <w:trHeight w:val="121"/>
        </w:trPr>
        <w:tc>
          <w:tcPr>
            <w:tcW w:w="3060" w:type="dxa"/>
            <w:vAlign w:val="bottom"/>
          </w:tcPr>
          <w:p>
            <w:pPr>
              <w:spacing w:after="0" w:line="121" w:lineRule="exact"/>
              <w:rPr>
                <w:sz w:val="20"/>
                <w:szCs w:val="20"/>
                <w:color w:val="auto"/>
              </w:rPr>
            </w:pPr>
            <w:r>
              <w:rPr>
                <w:rFonts w:ascii="Arial" w:cs="Arial" w:eastAsia="Arial" w:hAnsi="Arial"/>
                <w:sz w:val="13"/>
                <w:szCs w:val="13"/>
                <w:color w:val="auto"/>
              </w:rPr>
              <w:t>Ascend Learning, LLC</w:t>
            </w:r>
          </w:p>
        </w:tc>
        <w:tc>
          <w:tcPr>
            <w:tcW w:w="1520" w:type="dxa"/>
            <w:vAlign w:val="bottom"/>
          </w:tcPr>
          <w:p>
            <w:pPr>
              <w:jc w:val="center"/>
              <w:ind w:left="277"/>
              <w:spacing w:after="0" w:line="121" w:lineRule="exact"/>
              <w:rPr>
                <w:sz w:val="20"/>
                <w:szCs w:val="20"/>
                <w:color w:val="auto"/>
              </w:rPr>
            </w:pPr>
            <w:r>
              <w:rPr>
                <w:rFonts w:ascii="Arial" w:cs="Arial" w:eastAsia="Arial" w:hAnsi="Arial"/>
                <w:sz w:val="13"/>
                <w:szCs w:val="13"/>
                <w:color w:val="auto"/>
                <w:w w:val="89"/>
              </w:rPr>
              <w:t>07/31/2019</w:t>
            </w:r>
          </w:p>
        </w:tc>
        <w:tc>
          <w:tcPr>
            <w:tcW w:w="1900" w:type="dxa"/>
            <w:vAlign w:val="bottom"/>
          </w:tcPr>
          <w:p>
            <w:pPr>
              <w:jc w:val="center"/>
              <w:ind w:right="77"/>
              <w:spacing w:after="0" w:line="121" w:lineRule="exact"/>
              <w:rPr>
                <w:sz w:val="20"/>
                <w:szCs w:val="20"/>
                <w:color w:val="auto"/>
              </w:rPr>
            </w:pPr>
            <w:r>
              <w:rPr>
                <w:rFonts w:ascii="Arial" w:cs="Arial" w:eastAsia="Arial" w:hAnsi="Arial"/>
                <w:sz w:val="13"/>
                <w:szCs w:val="13"/>
                <w:color w:val="auto"/>
                <w:w w:val="88"/>
              </w:rPr>
              <w:t>Media: Broadcasting and</w:t>
            </w:r>
          </w:p>
        </w:tc>
        <w:tc>
          <w:tcPr>
            <w:tcW w:w="820" w:type="dxa"/>
            <w:vAlign w:val="bottom"/>
          </w:tcPr>
          <w:p>
            <w:pPr>
              <w:jc w:val="right"/>
              <w:ind w:right="57"/>
              <w:spacing w:after="0" w:line="121"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218"/>
              <w:spacing w:after="0" w:line="121" w:lineRule="exact"/>
              <w:rPr>
                <w:sz w:val="20"/>
                <w:szCs w:val="20"/>
                <w:color w:val="auto"/>
              </w:rPr>
            </w:pPr>
            <w:r>
              <w:rPr>
                <w:rFonts w:ascii="Arial" w:cs="Arial" w:eastAsia="Arial" w:hAnsi="Arial"/>
                <w:sz w:val="13"/>
                <w:szCs w:val="13"/>
                <w:color w:val="auto"/>
              </w:rPr>
              <w:t>L+500</w:t>
            </w:r>
          </w:p>
        </w:tc>
        <w:tc>
          <w:tcPr>
            <w:tcW w:w="90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3,476,244</w:t>
            </w:r>
          </w:p>
        </w:tc>
        <w:tc>
          <w:tcPr>
            <w:tcW w:w="10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3,463,334</w:t>
            </w:r>
          </w:p>
        </w:tc>
        <w:tc>
          <w:tcPr>
            <w:tcW w:w="10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3,443,218</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00" w:type="dxa"/>
            <w:vAlign w:val="bottom"/>
          </w:tcPr>
          <w:p>
            <w:pPr>
              <w:jc w:val="center"/>
              <w:ind w:right="77"/>
              <w:spacing w:after="0"/>
              <w:rPr>
                <w:sz w:val="20"/>
                <w:szCs w:val="20"/>
                <w:color w:val="auto"/>
              </w:rPr>
            </w:pPr>
            <w:r>
              <w:rPr>
                <w:rFonts w:ascii="Arial" w:cs="Arial" w:eastAsia="Arial" w:hAnsi="Arial"/>
                <w:sz w:val="13"/>
                <w:szCs w:val="13"/>
                <w:color w:val="auto"/>
                <w:w w:val="89"/>
              </w:rPr>
              <w:t>Subscription</w:t>
            </w: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Aspen Dental Management, Inc.</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10/06/2016</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4"/>
              </w:rPr>
              <w:t>Consumer Services</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2,910,000</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2,895,082</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2,906,363</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Azure Midstream Energy LLC</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11/15/2018</w:t>
            </w:r>
          </w:p>
        </w:tc>
        <w:tc>
          <w:tcPr>
            <w:tcW w:w="190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8"/>
              </w:rPr>
              <w:t>Energy: Oil and Gas</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L+550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5,225,000</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5,161,611</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4,650,250</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Blue Bird Body Company</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06/29/2020</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92"/>
              </w:rPr>
              <w:t>Automotive</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5,000,000</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4,930,141</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4,950,000</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Bowlmor AMF, Corp.</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09/17/2021</w:t>
            </w:r>
          </w:p>
        </w:tc>
        <w:tc>
          <w:tcPr>
            <w:tcW w:w="19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0"/>
              </w:rPr>
              <w:t>Retail</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L+625</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7,980,000</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7,864,024</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7,820,400</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07/02/2020</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7"/>
              </w:rPr>
              <w:t>Hotel, Gaming and Leisure</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8.25%</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L+700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5,000,000</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4,959,522</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4,925,000</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12/24/2019</w:t>
            </w:r>
          </w:p>
        </w:tc>
        <w:tc>
          <w:tcPr>
            <w:tcW w:w="19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0"/>
              </w:rPr>
              <w:t>Retail</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L+800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4,466,250</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4,407,915</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4,388,091</w:t>
            </w:r>
          </w:p>
        </w:tc>
        <w:tc>
          <w:tcPr>
            <w:tcW w:w="0" w:type="dxa"/>
            <w:vAlign w:val="bottom"/>
          </w:tcPr>
          <w:p>
            <w:pPr>
              <w:spacing w:after="0"/>
              <w:rPr>
                <w:sz w:val="1"/>
                <w:szCs w:val="1"/>
                <w:color w:val="auto"/>
              </w:rPr>
            </w:pPr>
          </w:p>
        </w:tc>
      </w:tr>
      <w:tr>
        <w:trPr>
          <w:trHeight w:val="121"/>
        </w:trPr>
        <w:tc>
          <w:tcPr>
            <w:tcW w:w="30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520" w:type="dxa"/>
            <w:vAlign w:val="bottom"/>
            <w:shd w:val="clear" w:color="auto" w:fill="CCEEFF"/>
          </w:tcPr>
          <w:p>
            <w:pPr>
              <w:jc w:val="center"/>
              <w:ind w:left="277"/>
              <w:spacing w:after="0" w:line="121" w:lineRule="exact"/>
              <w:rPr>
                <w:sz w:val="20"/>
                <w:szCs w:val="20"/>
                <w:color w:val="auto"/>
              </w:rPr>
            </w:pPr>
            <w:r>
              <w:rPr>
                <w:rFonts w:ascii="Arial" w:cs="Arial" w:eastAsia="Arial" w:hAnsi="Arial"/>
                <w:sz w:val="13"/>
                <w:szCs w:val="13"/>
                <w:color w:val="auto"/>
                <w:w w:val="89"/>
              </w:rPr>
              <w:t>01/08/2019</w:t>
            </w:r>
          </w:p>
        </w:tc>
        <w:tc>
          <w:tcPr>
            <w:tcW w:w="190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0"/>
              </w:rPr>
              <w:t>Media: Advertising, Printing and</w:t>
            </w:r>
          </w:p>
        </w:tc>
        <w:tc>
          <w:tcPr>
            <w:tcW w:w="82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218"/>
              <w:spacing w:after="0" w:line="121" w:lineRule="exact"/>
              <w:rPr>
                <w:sz w:val="20"/>
                <w:szCs w:val="20"/>
                <w:color w:val="auto"/>
              </w:rPr>
            </w:pPr>
            <w:r>
              <w:rPr>
                <w:rFonts w:ascii="Arial" w:cs="Arial" w:eastAsia="Arial" w:hAnsi="Arial"/>
                <w:sz w:val="13"/>
                <w:szCs w:val="13"/>
                <w:color w:val="auto"/>
              </w:rPr>
              <w:t>L+600</w:t>
            </w:r>
          </w:p>
        </w:tc>
        <w:tc>
          <w:tcPr>
            <w:tcW w:w="90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4,975,000</w:t>
            </w:r>
          </w:p>
        </w:tc>
        <w:tc>
          <w:tcPr>
            <w:tcW w:w="106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4,930,756</w:t>
            </w:r>
          </w:p>
        </w:tc>
        <w:tc>
          <w:tcPr>
            <w:tcW w:w="10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4,975,000</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9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9"/>
              </w:rPr>
              <w:t>Publishing</w:t>
            </w:r>
          </w:p>
        </w:tc>
        <w:tc>
          <w:tcPr>
            <w:tcW w:w="8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60" w:type="dxa"/>
            <w:vAlign w:val="bottom"/>
          </w:tcPr>
          <w:p>
            <w:pPr>
              <w:spacing w:after="0" w:line="121" w:lineRule="exact"/>
              <w:rPr>
                <w:sz w:val="20"/>
                <w:szCs w:val="20"/>
                <w:color w:val="auto"/>
              </w:rPr>
            </w:pPr>
            <w:r>
              <w:rPr>
                <w:rFonts w:ascii="Arial" w:cs="Arial" w:eastAsia="Arial" w:hAnsi="Arial"/>
                <w:sz w:val="13"/>
                <w:szCs w:val="13"/>
                <w:color w:val="auto"/>
              </w:rPr>
              <w:t>Creative Circle, LLC</w:t>
            </w:r>
          </w:p>
        </w:tc>
        <w:tc>
          <w:tcPr>
            <w:tcW w:w="1520" w:type="dxa"/>
            <w:vAlign w:val="bottom"/>
          </w:tcPr>
          <w:p>
            <w:pPr>
              <w:jc w:val="center"/>
              <w:ind w:left="277"/>
              <w:spacing w:after="0" w:line="121" w:lineRule="exact"/>
              <w:rPr>
                <w:sz w:val="20"/>
                <w:szCs w:val="20"/>
                <w:color w:val="auto"/>
              </w:rPr>
            </w:pPr>
            <w:r>
              <w:rPr>
                <w:rFonts w:ascii="Arial" w:cs="Arial" w:eastAsia="Arial" w:hAnsi="Arial"/>
                <w:sz w:val="13"/>
                <w:szCs w:val="13"/>
                <w:color w:val="auto"/>
                <w:w w:val="89"/>
              </w:rPr>
              <w:t>06/25/2020</w:t>
            </w:r>
          </w:p>
        </w:tc>
        <w:tc>
          <w:tcPr>
            <w:tcW w:w="190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0"/>
              </w:rPr>
              <w:t>Media: Advertising, Printing and</w:t>
            </w:r>
          </w:p>
        </w:tc>
        <w:tc>
          <w:tcPr>
            <w:tcW w:w="820" w:type="dxa"/>
            <w:vAlign w:val="bottom"/>
          </w:tcPr>
          <w:p>
            <w:pPr>
              <w:jc w:val="right"/>
              <w:ind w:right="57"/>
              <w:spacing w:after="0" w:line="121"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218"/>
              <w:spacing w:after="0" w:line="121" w:lineRule="exact"/>
              <w:rPr>
                <w:sz w:val="20"/>
                <w:szCs w:val="20"/>
                <w:color w:val="auto"/>
              </w:rPr>
            </w:pPr>
            <w:r>
              <w:rPr>
                <w:rFonts w:ascii="Arial" w:cs="Arial" w:eastAsia="Arial" w:hAnsi="Arial"/>
                <w:sz w:val="13"/>
                <w:szCs w:val="13"/>
                <w:color w:val="auto"/>
              </w:rPr>
              <w:t>L+450</w:t>
            </w:r>
          </w:p>
        </w:tc>
        <w:tc>
          <w:tcPr>
            <w:tcW w:w="90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5,480,000</w:t>
            </w:r>
          </w:p>
        </w:tc>
        <w:tc>
          <w:tcPr>
            <w:tcW w:w="10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5,429,268</w:t>
            </w:r>
          </w:p>
        </w:tc>
        <w:tc>
          <w:tcPr>
            <w:tcW w:w="10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5,411,500</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00" w:type="dxa"/>
            <w:vAlign w:val="bottom"/>
          </w:tcPr>
          <w:p>
            <w:pPr>
              <w:jc w:val="center"/>
              <w:ind w:right="57"/>
              <w:spacing w:after="0"/>
              <w:rPr>
                <w:sz w:val="20"/>
                <w:szCs w:val="20"/>
                <w:color w:val="auto"/>
              </w:rPr>
            </w:pPr>
            <w:r>
              <w:rPr>
                <w:rFonts w:ascii="Arial" w:cs="Arial" w:eastAsia="Arial" w:hAnsi="Arial"/>
                <w:sz w:val="13"/>
                <w:szCs w:val="13"/>
                <w:color w:val="auto"/>
                <w:w w:val="89"/>
              </w:rPr>
              <w:t>Publishing</w:t>
            </w: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CRGT Inc.</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12/21/2020</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7"/>
              </w:rPr>
              <w:t>High Tech Industries</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L+650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5,000,000</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4,900,000</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4,900,000</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Curo Health Services, LLC</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06/08/2020</w:t>
            </w:r>
          </w:p>
        </w:tc>
        <w:tc>
          <w:tcPr>
            <w:tcW w:w="190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5"/>
              </w:rPr>
              <w:t>Healthcare and Pharmaceuticals</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L+475</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1,990,000</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1,944,071</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1,980,050</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DCS Business Services, Inc.</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03/19/2018</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6"/>
              </w:rPr>
              <w:t>Business Services</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L+575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3,245,401</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3,213,228</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3,245,401</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DISA Global Solutions, Inc.</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12/09/2020</w:t>
            </w:r>
          </w:p>
        </w:tc>
        <w:tc>
          <w:tcPr>
            <w:tcW w:w="190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6"/>
              </w:rPr>
              <w:t>Business Services</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P+325</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5,000,000</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4,950,645</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4,950,000</w:t>
            </w:r>
          </w:p>
        </w:tc>
        <w:tc>
          <w:tcPr>
            <w:tcW w:w="0" w:type="dxa"/>
            <w:vAlign w:val="bottom"/>
          </w:tcPr>
          <w:p>
            <w:pPr>
              <w:spacing w:after="0"/>
              <w:rPr>
                <w:sz w:val="1"/>
                <w:szCs w:val="1"/>
                <w:color w:val="auto"/>
              </w:rPr>
            </w:pPr>
          </w:p>
        </w:tc>
      </w:tr>
      <w:tr>
        <w:trPr>
          <w:trHeight w:val="121"/>
        </w:trPr>
        <w:tc>
          <w:tcPr>
            <w:tcW w:w="30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Edmentum, Inc.</w:t>
            </w:r>
          </w:p>
        </w:tc>
        <w:tc>
          <w:tcPr>
            <w:tcW w:w="1520" w:type="dxa"/>
            <w:vAlign w:val="bottom"/>
            <w:shd w:val="clear" w:color="auto" w:fill="CCEEFF"/>
          </w:tcPr>
          <w:p>
            <w:pPr>
              <w:jc w:val="center"/>
              <w:ind w:left="277"/>
              <w:spacing w:after="0" w:line="121" w:lineRule="exact"/>
              <w:rPr>
                <w:sz w:val="20"/>
                <w:szCs w:val="20"/>
                <w:color w:val="auto"/>
              </w:rPr>
            </w:pPr>
            <w:r>
              <w:rPr>
                <w:rFonts w:ascii="Arial" w:cs="Arial" w:eastAsia="Arial" w:hAnsi="Arial"/>
                <w:sz w:val="13"/>
                <w:szCs w:val="13"/>
                <w:color w:val="auto"/>
                <w:w w:val="89"/>
              </w:rPr>
              <w:t>05/17/2018</w:t>
            </w:r>
          </w:p>
        </w:tc>
        <w:tc>
          <w:tcPr>
            <w:tcW w:w="1900" w:type="dxa"/>
            <w:vAlign w:val="bottom"/>
            <w:shd w:val="clear" w:color="auto" w:fill="CCEEFF"/>
          </w:tcPr>
          <w:p>
            <w:pPr>
              <w:jc w:val="center"/>
              <w:ind w:right="77"/>
              <w:spacing w:after="0" w:line="121" w:lineRule="exact"/>
              <w:rPr>
                <w:sz w:val="20"/>
                <w:szCs w:val="20"/>
                <w:color w:val="auto"/>
              </w:rPr>
            </w:pPr>
            <w:r>
              <w:rPr>
                <w:rFonts w:ascii="Arial" w:cs="Arial" w:eastAsia="Arial" w:hAnsi="Arial"/>
                <w:sz w:val="13"/>
                <w:szCs w:val="13"/>
                <w:color w:val="auto"/>
                <w:w w:val="88"/>
              </w:rPr>
              <w:t>Media: Broadcasting and</w:t>
            </w:r>
          </w:p>
        </w:tc>
        <w:tc>
          <w:tcPr>
            <w:tcW w:w="82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218"/>
              <w:spacing w:after="0" w:line="121" w:lineRule="exact"/>
              <w:rPr>
                <w:sz w:val="20"/>
                <w:szCs w:val="20"/>
                <w:color w:val="auto"/>
              </w:rPr>
            </w:pPr>
            <w:r>
              <w:rPr>
                <w:rFonts w:ascii="Arial" w:cs="Arial" w:eastAsia="Arial" w:hAnsi="Arial"/>
                <w:sz w:val="13"/>
                <w:szCs w:val="13"/>
                <w:color w:val="auto"/>
              </w:rPr>
              <w:t>L+450</w:t>
            </w:r>
          </w:p>
        </w:tc>
        <w:tc>
          <w:tcPr>
            <w:tcW w:w="90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922,646</w:t>
            </w:r>
          </w:p>
        </w:tc>
        <w:tc>
          <w:tcPr>
            <w:tcW w:w="106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922,646</w:t>
            </w:r>
          </w:p>
        </w:tc>
        <w:tc>
          <w:tcPr>
            <w:tcW w:w="10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881,127</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90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9"/>
              </w:rPr>
              <w:t>Subscription</w:t>
            </w:r>
          </w:p>
        </w:tc>
        <w:tc>
          <w:tcPr>
            <w:tcW w:w="8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eResearchTechnology, Inc.</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05/02/2018</w:t>
            </w:r>
          </w:p>
        </w:tc>
        <w:tc>
          <w:tcPr>
            <w:tcW w:w="190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5"/>
              </w:rPr>
              <w:t>Healthcare and Pharmaceuticals</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L+475</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2,858,864</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2,848,585</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2,837,423</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e-Rewards, Inc.</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10/29/2018</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7"/>
              </w:rPr>
              <w:t>High Tech Industries</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9,750,000</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9,595,049</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9,603,750</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Fishnet Security, Inc.</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11/30/2017</w:t>
            </w:r>
          </w:p>
        </w:tc>
        <w:tc>
          <w:tcPr>
            <w:tcW w:w="190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7"/>
              </w:rPr>
              <w:t>High Tech Industries</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6.25%</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L+500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3,601,500</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3,581,865</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3,587,994</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GlobalLogic Holdings, Inc.</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05/31/2019</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7"/>
              </w:rPr>
              <w:t>High Tech Industries</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6.25%</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L+525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3,960,000</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3,926,945</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3,900,600</w:t>
            </w:r>
          </w:p>
        </w:tc>
        <w:tc>
          <w:tcPr>
            <w:tcW w:w="0" w:type="dxa"/>
            <w:vAlign w:val="bottom"/>
          </w:tcPr>
          <w:p>
            <w:pPr>
              <w:spacing w:after="0"/>
              <w:rPr>
                <w:sz w:val="1"/>
                <w:szCs w:val="1"/>
                <w:color w:val="auto"/>
              </w:rPr>
            </w:pPr>
          </w:p>
        </w:tc>
      </w:tr>
      <w:tr>
        <w:trPr>
          <w:trHeight w:val="121"/>
        </w:trPr>
        <w:tc>
          <w:tcPr>
            <w:tcW w:w="3060" w:type="dxa"/>
            <w:vAlign w:val="bottom"/>
          </w:tcPr>
          <w:p>
            <w:pPr>
              <w:spacing w:after="0" w:line="121" w:lineRule="exact"/>
              <w:rPr>
                <w:sz w:val="20"/>
                <w:szCs w:val="20"/>
                <w:color w:val="auto"/>
              </w:rPr>
            </w:pPr>
            <w:r>
              <w:rPr>
                <w:rFonts w:ascii="Arial" w:cs="Arial" w:eastAsia="Arial" w:hAnsi="Arial"/>
                <w:sz w:val="13"/>
                <w:szCs w:val="13"/>
                <w:color w:val="auto"/>
              </w:rPr>
              <w:t>Granite Broadcasting Corporation</w:t>
            </w:r>
          </w:p>
        </w:tc>
        <w:tc>
          <w:tcPr>
            <w:tcW w:w="1520" w:type="dxa"/>
            <w:vAlign w:val="bottom"/>
          </w:tcPr>
          <w:p>
            <w:pPr>
              <w:jc w:val="center"/>
              <w:ind w:left="277"/>
              <w:spacing w:after="0" w:line="121" w:lineRule="exact"/>
              <w:rPr>
                <w:sz w:val="20"/>
                <w:szCs w:val="20"/>
                <w:color w:val="auto"/>
              </w:rPr>
            </w:pPr>
            <w:r>
              <w:rPr>
                <w:rFonts w:ascii="Arial" w:cs="Arial" w:eastAsia="Arial" w:hAnsi="Arial"/>
                <w:sz w:val="13"/>
                <w:szCs w:val="13"/>
                <w:color w:val="auto"/>
                <w:w w:val="89"/>
              </w:rPr>
              <w:t>05/23/2018</w:t>
            </w:r>
          </w:p>
        </w:tc>
        <w:tc>
          <w:tcPr>
            <w:tcW w:w="1900" w:type="dxa"/>
            <w:vAlign w:val="bottom"/>
          </w:tcPr>
          <w:p>
            <w:pPr>
              <w:jc w:val="center"/>
              <w:ind w:right="77"/>
              <w:spacing w:after="0" w:line="121" w:lineRule="exact"/>
              <w:rPr>
                <w:sz w:val="20"/>
                <w:szCs w:val="20"/>
                <w:color w:val="auto"/>
              </w:rPr>
            </w:pPr>
            <w:r>
              <w:rPr>
                <w:rFonts w:ascii="Arial" w:cs="Arial" w:eastAsia="Arial" w:hAnsi="Arial"/>
                <w:sz w:val="13"/>
                <w:szCs w:val="13"/>
                <w:color w:val="auto"/>
                <w:w w:val="88"/>
              </w:rPr>
              <w:t>Media: Broadcasting and</w:t>
            </w:r>
          </w:p>
        </w:tc>
        <w:tc>
          <w:tcPr>
            <w:tcW w:w="820" w:type="dxa"/>
            <w:vAlign w:val="bottom"/>
          </w:tcPr>
          <w:p>
            <w:pPr>
              <w:jc w:val="right"/>
              <w:ind w:right="57"/>
              <w:spacing w:after="0" w:line="121" w:lineRule="exact"/>
              <w:rPr>
                <w:sz w:val="20"/>
                <w:szCs w:val="20"/>
                <w:color w:val="auto"/>
              </w:rPr>
            </w:pPr>
            <w:r>
              <w:rPr>
                <w:rFonts w:ascii="Arial" w:cs="Arial" w:eastAsia="Arial" w:hAnsi="Arial"/>
                <w:sz w:val="13"/>
                <w:szCs w:val="13"/>
                <w:color w:val="auto"/>
              </w:rPr>
              <w:t>6.75%</w:t>
            </w:r>
          </w:p>
        </w:tc>
        <w:tc>
          <w:tcPr>
            <w:tcW w:w="960" w:type="dxa"/>
            <w:vAlign w:val="bottom"/>
          </w:tcPr>
          <w:p>
            <w:pPr>
              <w:jc w:val="right"/>
              <w:ind w:right="218"/>
              <w:spacing w:after="0" w:line="121" w:lineRule="exact"/>
              <w:rPr>
                <w:sz w:val="20"/>
                <w:szCs w:val="20"/>
                <w:color w:val="auto"/>
              </w:rPr>
            </w:pPr>
            <w:r>
              <w:rPr>
                <w:rFonts w:ascii="Arial" w:cs="Arial" w:eastAsia="Arial" w:hAnsi="Arial"/>
                <w:sz w:val="13"/>
                <w:szCs w:val="13"/>
                <w:color w:val="auto"/>
              </w:rPr>
              <w:t>L+550</w:t>
            </w:r>
          </w:p>
        </w:tc>
        <w:tc>
          <w:tcPr>
            <w:tcW w:w="90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1,005,997</w:t>
            </w:r>
          </w:p>
        </w:tc>
        <w:tc>
          <w:tcPr>
            <w:tcW w:w="10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1,004,383</w:t>
            </w:r>
          </w:p>
        </w:tc>
        <w:tc>
          <w:tcPr>
            <w:tcW w:w="10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995,937</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00" w:type="dxa"/>
            <w:vAlign w:val="bottom"/>
          </w:tcPr>
          <w:p>
            <w:pPr>
              <w:jc w:val="center"/>
              <w:ind w:right="77"/>
              <w:spacing w:after="0"/>
              <w:rPr>
                <w:sz w:val="20"/>
                <w:szCs w:val="20"/>
                <w:color w:val="auto"/>
              </w:rPr>
            </w:pPr>
            <w:r>
              <w:rPr>
                <w:rFonts w:ascii="Arial" w:cs="Arial" w:eastAsia="Arial" w:hAnsi="Arial"/>
                <w:sz w:val="13"/>
                <w:szCs w:val="13"/>
                <w:color w:val="auto"/>
                <w:w w:val="89"/>
              </w:rPr>
              <w:t>Subscription</w:t>
            </w: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Greenway Health, LLC</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11/04/2020</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7"/>
              </w:rPr>
              <w:t>High Tech Industries</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6,930,000</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6,871,538</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6,860,700</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Help/Systems Holdings, Inc.</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06/28/2019</w:t>
            </w:r>
          </w:p>
        </w:tc>
        <w:tc>
          <w:tcPr>
            <w:tcW w:w="190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7"/>
              </w:rPr>
              <w:t>High Tech Industries</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L+450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4,937,500</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4,899,610</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4,863,437</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10/21/2020</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7"/>
              </w:rPr>
              <w:t>Consumer Goods: Non-Durable</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L+800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1,200,000</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1,182,236</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1,188,000</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Hostway Corporation</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12/13/2019</w:t>
            </w:r>
          </w:p>
        </w:tc>
        <w:tc>
          <w:tcPr>
            <w:tcW w:w="190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7"/>
              </w:rPr>
              <w:t>High Tech Industries</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L+475</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4,875,000</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4,833,566</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4,777,500</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Hunter Defense Technologies, Inc.</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08/05/2019</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6"/>
              </w:rPr>
              <w:t>Aerospace and Defense</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6,912,500</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6,848,137</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6,791,531</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11/04/2020</w:t>
            </w:r>
          </w:p>
        </w:tc>
        <w:tc>
          <w:tcPr>
            <w:tcW w:w="19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0"/>
              </w:rPr>
              <w:t>Construction and Building</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L+625</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7,000,000</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6,861,762</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6,860,000</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IDQ Holdings, Inc. </w:t>
            </w:r>
            <w:r>
              <w:rPr>
                <w:rFonts w:ascii="Arial" w:cs="Arial" w:eastAsia="Arial" w:hAnsi="Arial"/>
                <w:sz w:val="10"/>
                <w:szCs w:val="10"/>
                <w:color w:val="auto"/>
              </w:rPr>
              <w:t>(5), (8)</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03/30/2017</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92"/>
              </w:rPr>
              <w:t>Automotive</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11.50%</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2,000,000</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1,979,417</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2,120,000</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05/01/2019</w:t>
            </w:r>
          </w:p>
        </w:tc>
        <w:tc>
          <w:tcPr>
            <w:tcW w:w="190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6"/>
              </w:rPr>
              <w:t>Business Services</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L+600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12,054,858</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11,928,227</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10,849,372</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InfuSystem Holdings, Inc.</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11/30/2016</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5"/>
              </w:rPr>
              <w:t>Healthcare and Pharmaceuticals</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12.56%</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P+931</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1,500,000</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1,500,000</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1,531,986</w:t>
            </w:r>
          </w:p>
        </w:tc>
        <w:tc>
          <w:tcPr>
            <w:tcW w:w="0" w:type="dxa"/>
            <w:vAlign w:val="bottom"/>
          </w:tcPr>
          <w:p>
            <w:pPr>
              <w:spacing w:after="0"/>
              <w:rPr>
                <w:sz w:val="1"/>
                <w:szCs w:val="1"/>
                <w:color w:val="auto"/>
              </w:rPr>
            </w:pPr>
          </w:p>
        </w:tc>
      </w:tr>
      <w:tr>
        <w:trPr>
          <w:trHeight w:val="121"/>
        </w:trPr>
        <w:tc>
          <w:tcPr>
            <w:tcW w:w="3060" w:type="dxa"/>
            <w:vAlign w:val="bottom"/>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520" w:type="dxa"/>
            <w:vAlign w:val="bottom"/>
          </w:tcPr>
          <w:p>
            <w:pPr>
              <w:jc w:val="center"/>
              <w:ind w:left="277"/>
              <w:spacing w:after="0" w:line="121" w:lineRule="exact"/>
              <w:rPr>
                <w:sz w:val="20"/>
                <w:szCs w:val="20"/>
                <w:color w:val="auto"/>
              </w:rPr>
            </w:pPr>
            <w:r>
              <w:rPr>
                <w:rFonts w:ascii="Arial" w:cs="Arial" w:eastAsia="Arial" w:hAnsi="Arial"/>
                <w:sz w:val="13"/>
                <w:szCs w:val="13"/>
                <w:color w:val="auto"/>
                <w:w w:val="89"/>
              </w:rPr>
              <w:t>03/28/2019</w:t>
            </w:r>
          </w:p>
        </w:tc>
        <w:tc>
          <w:tcPr>
            <w:tcW w:w="190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0"/>
              </w:rPr>
              <w:t>Media: Advertising, Printing and</w:t>
            </w:r>
          </w:p>
        </w:tc>
        <w:tc>
          <w:tcPr>
            <w:tcW w:w="820" w:type="dxa"/>
            <w:vAlign w:val="bottom"/>
          </w:tcPr>
          <w:p>
            <w:pPr>
              <w:jc w:val="right"/>
              <w:ind w:right="57"/>
              <w:spacing w:after="0" w:line="121"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218"/>
              <w:spacing w:after="0" w:line="121" w:lineRule="exact"/>
              <w:rPr>
                <w:sz w:val="20"/>
                <w:szCs w:val="20"/>
                <w:color w:val="auto"/>
              </w:rPr>
            </w:pPr>
            <w:r>
              <w:rPr>
                <w:rFonts w:ascii="Arial" w:cs="Arial" w:eastAsia="Arial" w:hAnsi="Arial"/>
                <w:sz w:val="13"/>
                <w:szCs w:val="13"/>
                <w:color w:val="auto"/>
              </w:rPr>
              <w:t>L+450</w:t>
            </w:r>
          </w:p>
        </w:tc>
        <w:tc>
          <w:tcPr>
            <w:tcW w:w="90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5,430,929</w:t>
            </w:r>
          </w:p>
        </w:tc>
        <w:tc>
          <w:tcPr>
            <w:tcW w:w="10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5,359,391</w:t>
            </w:r>
          </w:p>
        </w:tc>
        <w:tc>
          <w:tcPr>
            <w:tcW w:w="10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5,430,929</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00" w:type="dxa"/>
            <w:vAlign w:val="bottom"/>
          </w:tcPr>
          <w:p>
            <w:pPr>
              <w:jc w:val="center"/>
              <w:ind w:right="57"/>
              <w:spacing w:after="0"/>
              <w:rPr>
                <w:sz w:val="20"/>
                <w:szCs w:val="20"/>
                <w:color w:val="auto"/>
              </w:rPr>
            </w:pPr>
            <w:r>
              <w:rPr>
                <w:rFonts w:ascii="Arial" w:cs="Arial" w:eastAsia="Arial" w:hAnsi="Arial"/>
                <w:sz w:val="13"/>
                <w:szCs w:val="13"/>
                <w:color w:val="auto"/>
                <w:w w:val="89"/>
              </w:rPr>
              <w:t>Publishing</w:t>
            </w: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520" w:type="dxa"/>
            <w:vAlign w:val="bottom"/>
            <w:shd w:val="clear" w:color="auto" w:fill="CCEEFF"/>
          </w:tcPr>
          <w:p>
            <w:pPr>
              <w:jc w:val="center"/>
              <w:ind w:left="277"/>
              <w:spacing w:after="0" w:line="121" w:lineRule="exact"/>
              <w:rPr>
                <w:sz w:val="20"/>
                <w:szCs w:val="20"/>
                <w:color w:val="auto"/>
              </w:rPr>
            </w:pPr>
            <w:r>
              <w:rPr>
                <w:rFonts w:ascii="Arial" w:cs="Arial" w:eastAsia="Arial" w:hAnsi="Arial"/>
                <w:sz w:val="13"/>
                <w:szCs w:val="13"/>
                <w:color w:val="auto"/>
                <w:w w:val="89"/>
              </w:rPr>
              <w:t>03/28/2019</w:t>
            </w:r>
          </w:p>
        </w:tc>
        <w:tc>
          <w:tcPr>
            <w:tcW w:w="190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0"/>
              </w:rPr>
              <w:t>Media: Advertising, Printing and</w:t>
            </w:r>
          </w:p>
        </w:tc>
        <w:tc>
          <w:tcPr>
            <w:tcW w:w="82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12.00%</w:t>
            </w:r>
          </w:p>
        </w:tc>
        <w:tc>
          <w:tcPr>
            <w:tcW w:w="960" w:type="dxa"/>
            <w:vAlign w:val="bottom"/>
            <w:shd w:val="clear" w:color="auto" w:fill="CCEEFF"/>
          </w:tcPr>
          <w:p>
            <w:pPr>
              <w:jc w:val="right"/>
              <w:ind w:right="218"/>
              <w:spacing w:after="0" w:line="121" w:lineRule="exact"/>
              <w:rPr>
                <w:sz w:val="20"/>
                <w:szCs w:val="20"/>
                <w:color w:val="auto"/>
              </w:rPr>
            </w:pPr>
            <w:r>
              <w:rPr>
                <w:rFonts w:ascii="Arial" w:cs="Arial" w:eastAsia="Arial" w:hAnsi="Arial"/>
                <w:sz w:val="13"/>
                <w:szCs w:val="13"/>
                <w:color w:val="auto"/>
              </w:rPr>
              <w:t>L+1,100</w:t>
            </w:r>
          </w:p>
        </w:tc>
        <w:tc>
          <w:tcPr>
            <w:tcW w:w="90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4,500,000</w:t>
            </w:r>
          </w:p>
        </w:tc>
        <w:tc>
          <w:tcPr>
            <w:tcW w:w="106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4,438,581</w:t>
            </w:r>
          </w:p>
        </w:tc>
        <w:tc>
          <w:tcPr>
            <w:tcW w:w="10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9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9"/>
              </w:rPr>
              <w:t>Publishing</w:t>
            </w:r>
          </w:p>
        </w:tc>
        <w:tc>
          <w:tcPr>
            <w:tcW w:w="8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Jackson Hewitt Tax Service Inc.</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10/16/2017</w:t>
            </w:r>
          </w:p>
        </w:tc>
        <w:tc>
          <w:tcPr>
            <w:tcW w:w="190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4"/>
              </w:rPr>
              <w:t>Consumer Services</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L+850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5,140,179</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5,064,210</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5,114,478</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08/19/2019</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6"/>
              </w:rPr>
              <w:t>Chemicals, Plastics and Rubber</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10.00%</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L+900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6,080,677</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5,978,159</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5,830,762</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Lanyon Solutions, Inc.</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11/13/2020</w:t>
            </w:r>
          </w:p>
        </w:tc>
        <w:tc>
          <w:tcPr>
            <w:tcW w:w="190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7"/>
              </w:rPr>
              <w:t>High Tech Industries</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L+450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1,980,006</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1,971,921</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1,933,812</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11/30/2018</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5"/>
              </w:rPr>
              <w:t>Healthcare and Pharmaceuticals</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L+525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5,910,000</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5,840,885</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5,722,830</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Meritas Schools Holdings, LLC</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06/25/2019</w:t>
            </w:r>
          </w:p>
        </w:tc>
        <w:tc>
          <w:tcPr>
            <w:tcW w:w="190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4"/>
              </w:rPr>
              <w:t>Consumer Services</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L+575</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2,498,943</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2,479,596</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2,480,201</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New Trident HoldCorp, Inc.</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07/31/2019</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5"/>
              </w:rPr>
              <w:t>Healthcare and Pharmaceuticals</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L+525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8,992,647</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8,922,130</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8,799,305</w:t>
            </w:r>
          </w:p>
        </w:tc>
        <w:tc>
          <w:tcPr>
            <w:tcW w:w="0" w:type="dxa"/>
            <w:vAlign w:val="bottom"/>
          </w:tcPr>
          <w:p>
            <w:pPr>
              <w:spacing w:after="0"/>
              <w:rPr>
                <w:sz w:val="1"/>
                <w:szCs w:val="1"/>
                <w:color w:val="auto"/>
              </w:rPr>
            </w:pPr>
          </w:p>
        </w:tc>
      </w:tr>
      <w:tr>
        <w:trPr>
          <w:trHeight w:val="121"/>
        </w:trPr>
        <w:tc>
          <w:tcPr>
            <w:tcW w:w="3060" w:type="dxa"/>
            <w:vAlign w:val="bottom"/>
          </w:tcPr>
          <w:p>
            <w:pPr>
              <w:spacing w:after="0" w:line="121" w:lineRule="exact"/>
              <w:rPr>
                <w:sz w:val="20"/>
                <w:szCs w:val="20"/>
                <w:color w:val="auto"/>
              </w:rPr>
            </w:pPr>
            <w:r>
              <w:rPr>
                <w:rFonts w:ascii="Arial" w:cs="Arial" w:eastAsia="Arial" w:hAnsi="Arial"/>
                <w:sz w:val="13"/>
                <w:szCs w:val="13"/>
                <w:color w:val="auto"/>
              </w:rPr>
              <w:t>Patriot National, Inc.</w:t>
            </w:r>
          </w:p>
        </w:tc>
        <w:tc>
          <w:tcPr>
            <w:tcW w:w="1520" w:type="dxa"/>
            <w:vAlign w:val="bottom"/>
          </w:tcPr>
          <w:p>
            <w:pPr>
              <w:jc w:val="center"/>
              <w:ind w:left="277"/>
              <w:spacing w:after="0" w:line="121" w:lineRule="exact"/>
              <w:rPr>
                <w:sz w:val="20"/>
                <w:szCs w:val="20"/>
                <w:color w:val="auto"/>
              </w:rPr>
            </w:pPr>
            <w:r>
              <w:rPr>
                <w:rFonts w:ascii="Arial" w:cs="Arial" w:eastAsia="Arial" w:hAnsi="Arial"/>
                <w:sz w:val="13"/>
                <w:szCs w:val="13"/>
                <w:color w:val="auto"/>
                <w:w w:val="89"/>
              </w:rPr>
              <w:t>11/27/2018</w:t>
            </w:r>
          </w:p>
        </w:tc>
        <w:tc>
          <w:tcPr>
            <w:tcW w:w="1900" w:type="dxa"/>
            <w:vAlign w:val="bottom"/>
          </w:tcPr>
          <w:p>
            <w:pPr>
              <w:jc w:val="center"/>
              <w:ind w:right="77"/>
              <w:spacing w:after="0" w:line="121" w:lineRule="exact"/>
              <w:rPr>
                <w:sz w:val="20"/>
                <w:szCs w:val="20"/>
                <w:color w:val="auto"/>
              </w:rPr>
            </w:pPr>
            <w:r>
              <w:rPr>
                <w:rFonts w:ascii="Arial" w:cs="Arial" w:eastAsia="Arial" w:hAnsi="Arial"/>
                <w:sz w:val="13"/>
                <w:szCs w:val="13"/>
                <w:color w:val="auto"/>
                <w:w w:val="86"/>
              </w:rPr>
              <w:t>Banking, Finance, Insurance and</w:t>
            </w:r>
          </w:p>
        </w:tc>
        <w:tc>
          <w:tcPr>
            <w:tcW w:w="82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12.50%</w:t>
            </w:r>
          </w:p>
        </w:tc>
        <w:tc>
          <w:tcPr>
            <w:tcW w:w="960" w:type="dxa"/>
            <w:vAlign w:val="bottom"/>
          </w:tcPr>
          <w:p>
            <w:pPr>
              <w:jc w:val="right"/>
              <w:ind w:right="218"/>
              <w:spacing w:after="0" w:line="121" w:lineRule="exact"/>
              <w:rPr>
                <w:sz w:val="20"/>
                <w:szCs w:val="20"/>
                <w:color w:val="auto"/>
              </w:rPr>
            </w:pPr>
            <w:r>
              <w:rPr>
                <w:rFonts w:ascii="Arial" w:cs="Arial" w:eastAsia="Arial" w:hAnsi="Arial"/>
                <w:sz w:val="13"/>
                <w:szCs w:val="13"/>
                <w:color w:val="auto"/>
              </w:rPr>
              <w:t>L+1,150</w:t>
            </w:r>
          </w:p>
        </w:tc>
        <w:tc>
          <w:tcPr>
            <w:tcW w:w="90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12,657,115</w:t>
            </w:r>
          </w:p>
        </w:tc>
        <w:tc>
          <w:tcPr>
            <w:tcW w:w="10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12,125,854</w:t>
            </w:r>
          </w:p>
        </w:tc>
        <w:tc>
          <w:tcPr>
            <w:tcW w:w="10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13,036,829</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00" w:type="dxa"/>
            <w:vAlign w:val="bottom"/>
          </w:tcPr>
          <w:p>
            <w:pPr>
              <w:jc w:val="center"/>
              <w:ind w:right="77"/>
              <w:spacing w:after="0"/>
              <w:rPr>
                <w:sz w:val="20"/>
                <w:szCs w:val="20"/>
                <w:color w:val="auto"/>
              </w:rPr>
            </w:pPr>
            <w:r>
              <w:rPr>
                <w:rFonts w:ascii="Arial" w:cs="Arial" w:eastAsia="Arial" w:hAnsi="Arial"/>
                <w:sz w:val="13"/>
                <w:szCs w:val="13"/>
                <w:color w:val="auto"/>
                <w:w w:val="83"/>
              </w:rPr>
              <w:t>Real Estate</w:t>
            </w: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Polyconcept Finance B.V.</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06/28/2019</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7"/>
              </w:rPr>
              <w:t>Consumer Goods: Non-Durable</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L+475</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7,697,766</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7,637,544</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7,630,411</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Premier Dental Services, Inc.</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11/01/2018</w:t>
            </w:r>
          </w:p>
        </w:tc>
        <w:tc>
          <w:tcPr>
            <w:tcW w:w="190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4"/>
              </w:rPr>
              <w:t>Consumer Services</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L+500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8,282,346</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8,171,652</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7,868,228</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Quality Home Brands Holdings LLC</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12/17/2018</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7"/>
              </w:rPr>
              <w:t>Consumer Goods: Durable</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7.75%</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L+650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4,962,500</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4,920,518</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4,883,944</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152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06/18/2019</w:t>
            </w:r>
          </w:p>
        </w:tc>
        <w:tc>
          <w:tcPr>
            <w:tcW w:w="190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7"/>
              </w:rPr>
              <w:t>Consumer Goods: Durable</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L+750</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3,630,947</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3,601,036</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3,612,123</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 (Revolver)</w:t>
            </w:r>
          </w:p>
        </w:tc>
        <w:tc>
          <w:tcPr>
            <w:tcW w:w="152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06/18/2019</w:t>
            </w:r>
          </w:p>
        </w:tc>
        <w:tc>
          <w:tcPr>
            <w:tcW w:w="190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7"/>
              </w:rPr>
              <w:t>Consumer Goods: Durable</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L+750</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112,941</w:t>
            </w:r>
          </w:p>
        </w:tc>
        <w:tc>
          <w:tcPr>
            <w:tcW w:w="10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112,941</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112,351</w:t>
            </w:r>
          </w:p>
        </w:tc>
        <w:tc>
          <w:tcPr>
            <w:tcW w:w="0" w:type="dxa"/>
            <w:vAlign w:val="bottom"/>
          </w:tcPr>
          <w:p>
            <w:pPr>
              <w:spacing w:after="0"/>
              <w:rPr>
                <w:sz w:val="1"/>
                <w:szCs w:val="1"/>
                <w:color w:val="auto"/>
              </w:rPr>
            </w:pPr>
          </w:p>
        </w:tc>
      </w:tr>
      <w:tr>
        <w:trPr>
          <w:trHeight w:val="160"/>
        </w:trPr>
        <w:tc>
          <w:tcPr>
            <w:tcW w:w="3060" w:type="dxa"/>
            <w:vAlign w:val="bottom"/>
          </w:tcPr>
          <w:p>
            <w:pPr>
              <w:spacing w:after="0"/>
              <w:rPr>
                <w:sz w:val="20"/>
                <w:szCs w:val="20"/>
                <w:color w:val="auto"/>
              </w:rPr>
            </w:pPr>
            <w:r>
              <w:rPr>
                <w:rFonts w:ascii="Arial" w:cs="Arial" w:eastAsia="Arial" w:hAnsi="Arial"/>
                <w:sz w:val="13"/>
                <w:szCs w:val="13"/>
                <w:color w:val="auto"/>
              </w:rPr>
              <w:t xml:space="preserve">Robertshaw US Holding Corp. (Revolver) </w:t>
            </w:r>
            <w:r>
              <w:rPr>
                <w:rFonts w:ascii="Arial" w:cs="Arial" w:eastAsia="Arial" w:hAnsi="Arial"/>
                <w:sz w:val="10"/>
                <w:szCs w:val="10"/>
                <w:color w:val="auto"/>
              </w:rPr>
              <w:t>(10)</w:t>
            </w:r>
          </w:p>
        </w:tc>
        <w:tc>
          <w:tcPr>
            <w:tcW w:w="1520" w:type="dxa"/>
            <w:vAlign w:val="bottom"/>
          </w:tcPr>
          <w:p>
            <w:pPr>
              <w:jc w:val="center"/>
              <w:ind w:left="277"/>
              <w:spacing w:after="0"/>
              <w:rPr>
                <w:sz w:val="20"/>
                <w:szCs w:val="20"/>
                <w:color w:val="auto"/>
              </w:rPr>
            </w:pPr>
            <w:r>
              <w:rPr>
                <w:rFonts w:ascii="Arial" w:cs="Arial" w:eastAsia="Arial" w:hAnsi="Arial"/>
                <w:sz w:val="13"/>
                <w:szCs w:val="13"/>
                <w:color w:val="auto"/>
                <w:w w:val="89"/>
              </w:rPr>
              <w:t>06/18/2019</w:t>
            </w:r>
          </w:p>
        </w:tc>
        <w:tc>
          <w:tcPr>
            <w:tcW w:w="1900" w:type="dxa"/>
            <w:vAlign w:val="bottom"/>
          </w:tcPr>
          <w:p>
            <w:pPr>
              <w:jc w:val="center"/>
              <w:ind w:right="77"/>
              <w:spacing w:after="0"/>
              <w:rPr>
                <w:sz w:val="20"/>
                <w:szCs w:val="20"/>
                <w:color w:val="auto"/>
              </w:rPr>
            </w:pPr>
            <w:r>
              <w:rPr>
                <w:rFonts w:ascii="Arial" w:cs="Arial" w:eastAsia="Arial" w:hAnsi="Arial"/>
                <w:sz w:val="13"/>
                <w:szCs w:val="13"/>
                <w:color w:val="auto"/>
                <w:w w:val="87"/>
              </w:rPr>
              <w:t>Consumer Goods: Durable</w:t>
            </w:r>
          </w:p>
        </w:tc>
        <w:tc>
          <w:tcPr>
            <w:tcW w:w="8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592,941</w:t>
            </w:r>
          </w:p>
        </w:tc>
        <w:tc>
          <w:tcPr>
            <w:tcW w:w="10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(3,101)</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6"/>
              </w:rPr>
              <w:t>Basis Point</w:t>
            </w: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Spread</w:t>
            </w: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Issuer Name</w:t>
            </w: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2"/>
              </w:rPr>
              <w:t>Industry</w:t>
            </w:r>
          </w:p>
        </w:tc>
        <w:tc>
          <w:tcPr>
            <w:tcW w:w="96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Current</w:t>
            </w:r>
          </w:p>
        </w:tc>
        <w:tc>
          <w:tcPr>
            <w:tcW w:w="8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Above</w:t>
            </w:r>
          </w:p>
        </w:tc>
        <w:tc>
          <w:tcPr>
            <w:tcW w:w="920" w:type="dxa"/>
            <w:vAlign w:val="bottom"/>
            <w:gridSpan w:val="2"/>
          </w:tcPr>
          <w:p>
            <w:pPr>
              <w:jc w:val="right"/>
              <w:ind w:right="500"/>
              <w:spacing w:after="0" w:line="122" w:lineRule="exact"/>
              <w:rPr>
                <w:sz w:val="20"/>
                <w:szCs w:val="20"/>
                <w:color w:val="auto"/>
              </w:rPr>
            </w:pPr>
            <w:r>
              <w:rPr>
                <w:rFonts w:ascii="Arial" w:cs="Arial" w:eastAsia="Arial" w:hAnsi="Arial"/>
                <w:sz w:val="11"/>
                <w:szCs w:val="11"/>
                <w:b w:val="1"/>
                <w:bCs w:val="1"/>
                <w:color w:val="auto"/>
              </w:rPr>
              <w:t>Par /</w:t>
            </w: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40" w:type="dxa"/>
            <w:vAlign w:val="bottom"/>
            <w:gridSpan w:val="2"/>
            <w:vMerge w:val="continue"/>
          </w:tcPr>
          <w:p>
            <w:pPr>
              <w:spacing w:after="0"/>
              <w:rPr>
                <w:sz w:val="11"/>
                <w:szCs w:val="11"/>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Maturity</w:t>
            </w:r>
          </w:p>
        </w:tc>
        <w:tc>
          <w:tcPr>
            <w:tcW w:w="2200" w:type="dxa"/>
            <w:vAlign w:val="bottom"/>
            <w:gridSpan w:val="2"/>
            <w:vMerge w:val="continue"/>
          </w:tcPr>
          <w:p>
            <w:pPr>
              <w:spacing w:after="0"/>
              <w:rPr>
                <w:sz w:val="11"/>
                <w:szCs w:val="11"/>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Coupon</w:t>
            </w:r>
          </w:p>
        </w:tc>
        <w:tc>
          <w:tcPr>
            <w:tcW w:w="8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92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Shares</w:t>
            </w:r>
          </w:p>
        </w:tc>
        <w:tc>
          <w:tcPr>
            <w:tcW w:w="8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8"/>
        </w:trPr>
        <w:tc>
          <w:tcPr>
            <w:tcW w:w="33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SCE Partners, LLC</w:t>
            </w: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08/14/2019</w:t>
            </w:r>
          </w:p>
        </w:tc>
        <w:tc>
          <w:tcPr>
            <w:tcW w:w="38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Hotel, Gaming and Leisure</w:t>
            </w:r>
          </w:p>
        </w:tc>
        <w:tc>
          <w:tcPr>
            <w:tcW w:w="2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8.25</w:t>
            </w:r>
          </w:p>
        </w:tc>
        <w:tc>
          <w:tcPr>
            <w:tcW w:w="360" w:type="dxa"/>
            <w:vAlign w:val="bottom"/>
            <w:tcBorders>
              <w:top w:val="single" w:sz="8" w:color="CCEEFF"/>
            </w:tcBorders>
            <w:shd w:val="clear" w:color="auto" w:fill="CCEEFF"/>
          </w:tcPr>
          <w:p>
            <w:pPr>
              <w:jc w:val="right"/>
              <w:ind w:right="202"/>
              <w:spacing w:after="0" w:line="129" w:lineRule="exact"/>
              <w:rPr>
                <w:sz w:val="20"/>
                <w:szCs w:val="20"/>
                <w:color w:val="auto"/>
              </w:rPr>
            </w:pPr>
            <w:r>
              <w:rPr>
                <w:rFonts w:ascii="Arial" w:cs="Arial" w:eastAsia="Arial" w:hAnsi="Arial"/>
                <w:sz w:val="12"/>
                <w:szCs w:val="12"/>
                <w:color w:val="auto"/>
                <w:w w:val="74"/>
              </w:rPr>
              <w:t>%</w:t>
            </w:r>
          </w:p>
        </w:tc>
        <w:tc>
          <w:tcPr>
            <w:tcW w:w="520" w:type="dxa"/>
            <w:vAlign w:val="bottom"/>
            <w:tcBorders>
              <w:top w:val="single" w:sz="8" w:color="auto"/>
            </w:tcBorders>
            <w:shd w:val="clear" w:color="auto" w:fill="CCEEFF"/>
          </w:tcPr>
          <w:p>
            <w:pPr>
              <w:ind w:left="200"/>
              <w:spacing w:after="0" w:line="129" w:lineRule="exact"/>
              <w:rPr>
                <w:sz w:val="20"/>
                <w:szCs w:val="20"/>
                <w:color w:val="auto"/>
              </w:rPr>
            </w:pPr>
            <w:r>
              <w:rPr>
                <w:rFonts w:ascii="Arial" w:cs="Arial" w:eastAsia="Arial" w:hAnsi="Arial"/>
                <w:sz w:val="13"/>
                <w:szCs w:val="13"/>
                <w:color w:val="auto"/>
                <w:w w:val="82"/>
              </w:rPr>
              <w:t>L+725</w:t>
            </w:r>
          </w:p>
        </w:tc>
        <w:tc>
          <w:tcPr>
            <w:tcW w:w="3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11,970,000</w:t>
            </w:r>
          </w:p>
        </w:tc>
        <w:tc>
          <w:tcPr>
            <w:tcW w:w="3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$ 11,872,150</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$ 11,970,000</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04/21/2017</w:t>
            </w:r>
          </w:p>
        </w:tc>
        <w:tc>
          <w:tcPr>
            <w:tcW w:w="380" w:type="dxa"/>
            <w:vAlign w:val="bottom"/>
          </w:tcPr>
          <w:p>
            <w:pPr>
              <w:spacing w:after="0"/>
              <w:rPr>
                <w:sz w:val="11"/>
                <w:szCs w:val="11"/>
                <w:color w:val="auto"/>
              </w:rPr>
            </w:pPr>
          </w:p>
        </w:tc>
        <w:tc>
          <w:tcPr>
            <w:tcW w:w="22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6"/>
              </w:rPr>
              <w:t>Aerospace and Defense</w:t>
            </w:r>
          </w:p>
        </w:tc>
        <w:tc>
          <w:tcPr>
            <w:tcW w:w="960" w:type="dxa"/>
            <w:vAlign w:val="bottom"/>
            <w:gridSpan w:val="2"/>
          </w:tcPr>
          <w:p>
            <w:pPr>
              <w:jc w:val="right"/>
              <w:ind w:right="202"/>
              <w:spacing w:after="0" w:line="135" w:lineRule="exact"/>
              <w:rPr>
                <w:sz w:val="20"/>
                <w:szCs w:val="20"/>
                <w:color w:val="auto"/>
              </w:rPr>
            </w:pPr>
            <w:r>
              <w:rPr>
                <w:rFonts w:ascii="Arial" w:cs="Arial" w:eastAsia="Arial" w:hAnsi="Arial"/>
                <w:sz w:val="13"/>
                <w:szCs w:val="13"/>
                <w:color w:val="auto"/>
              </w:rPr>
              <w:t>9.00%</w:t>
            </w:r>
          </w:p>
        </w:tc>
        <w:tc>
          <w:tcPr>
            <w:tcW w:w="8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L+750</w:t>
            </w: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6,598,671</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6,360,526</w:t>
            </w:r>
          </w:p>
        </w:tc>
        <w:tc>
          <w:tcPr>
            <w:tcW w:w="9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5,938,804</w:t>
            </w: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St. George’s University Scholastic Services LLC </w:t>
            </w:r>
            <w:r>
              <w:rPr>
                <w:rFonts w:ascii="Arial" w:cs="Arial" w:eastAsia="Arial" w:hAnsi="Arial"/>
                <w:sz w:val="10"/>
                <w:szCs w:val="10"/>
                <w:color w:val="auto"/>
              </w:rPr>
              <w:t>(6), (11)</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08/09/2021</w:t>
            </w:r>
          </w:p>
        </w:tc>
        <w:tc>
          <w:tcPr>
            <w:tcW w:w="38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6"/>
              </w:rPr>
              <w:t>Consumer Services</w:t>
            </w:r>
          </w:p>
        </w:tc>
        <w:tc>
          <w:tcPr>
            <w:tcW w:w="960" w:type="dxa"/>
            <w:vAlign w:val="bottom"/>
            <w:gridSpan w:val="2"/>
            <w:shd w:val="clear" w:color="auto" w:fill="CCEEFF"/>
          </w:tcPr>
          <w:p>
            <w:pPr>
              <w:jc w:val="right"/>
              <w:ind w:right="202"/>
              <w:spacing w:after="0" w:line="135" w:lineRule="exact"/>
              <w:rPr>
                <w:sz w:val="20"/>
                <w:szCs w:val="20"/>
                <w:color w:val="auto"/>
              </w:rPr>
            </w:pPr>
            <w:r>
              <w:rPr>
                <w:rFonts w:ascii="Arial" w:cs="Arial" w:eastAsia="Arial" w:hAnsi="Arial"/>
                <w:sz w:val="13"/>
                <w:szCs w:val="13"/>
                <w:color w:val="auto"/>
              </w:rPr>
              <w:t>5.75%</w:t>
            </w:r>
          </w:p>
        </w:tc>
        <w:tc>
          <w:tcPr>
            <w:tcW w:w="8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L+475</w:t>
            </w: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1,595,000</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1,587,066</w:t>
            </w:r>
          </w:p>
        </w:tc>
        <w:tc>
          <w:tcPr>
            <w:tcW w:w="9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1,575,062</w:t>
            </w: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Surgical Specialties Corporation (US), Inc.</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08/22/2018</w:t>
            </w:r>
          </w:p>
        </w:tc>
        <w:tc>
          <w:tcPr>
            <w:tcW w:w="380" w:type="dxa"/>
            <w:vAlign w:val="bottom"/>
          </w:tcPr>
          <w:p>
            <w:pPr>
              <w:spacing w:after="0"/>
              <w:rPr>
                <w:sz w:val="11"/>
                <w:szCs w:val="11"/>
                <w:color w:val="auto"/>
              </w:rPr>
            </w:pPr>
          </w:p>
        </w:tc>
        <w:tc>
          <w:tcPr>
            <w:tcW w:w="220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60" w:type="dxa"/>
            <w:vAlign w:val="bottom"/>
            <w:gridSpan w:val="2"/>
          </w:tcPr>
          <w:p>
            <w:pPr>
              <w:jc w:val="right"/>
              <w:ind w:right="202"/>
              <w:spacing w:after="0" w:line="135" w:lineRule="exact"/>
              <w:rPr>
                <w:sz w:val="20"/>
                <w:szCs w:val="20"/>
                <w:color w:val="auto"/>
              </w:rPr>
            </w:pPr>
            <w:r>
              <w:rPr>
                <w:rFonts w:ascii="Arial" w:cs="Arial" w:eastAsia="Arial" w:hAnsi="Arial"/>
                <w:sz w:val="13"/>
                <w:szCs w:val="13"/>
                <w:color w:val="auto"/>
              </w:rPr>
              <w:t>7.25%</w:t>
            </w:r>
          </w:p>
        </w:tc>
        <w:tc>
          <w:tcPr>
            <w:tcW w:w="8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L+575</w:t>
            </w: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3,330,000</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3,304,234</w:t>
            </w:r>
          </w:p>
        </w:tc>
        <w:tc>
          <w:tcPr>
            <w:tcW w:w="9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3,238,758</w:t>
            </w: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12/16/2020</w:t>
            </w:r>
          </w:p>
        </w:tc>
        <w:tc>
          <w:tcPr>
            <w:tcW w:w="38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4"/>
              </w:rPr>
              <w:t>Business Services</w:t>
            </w:r>
          </w:p>
        </w:tc>
        <w:tc>
          <w:tcPr>
            <w:tcW w:w="960" w:type="dxa"/>
            <w:vAlign w:val="bottom"/>
            <w:gridSpan w:val="2"/>
            <w:shd w:val="clear" w:color="auto" w:fill="CCEEFF"/>
          </w:tcPr>
          <w:p>
            <w:pPr>
              <w:jc w:val="right"/>
              <w:ind w:right="202"/>
              <w:spacing w:after="0" w:line="135" w:lineRule="exact"/>
              <w:rPr>
                <w:sz w:val="20"/>
                <w:szCs w:val="20"/>
                <w:color w:val="auto"/>
              </w:rPr>
            </w:pPr>
            <w:r>
              <w:rPr>
                <w:rFonts w:ascii="Arial" w:cs="Arial" w:eastAsia="Arial" w:hAnsi="Arial"/>
                <w:sz w:val="13"/>
                <w:szCs w:val="13"/>
                <w:color w:val="auto"/>
              </w:rPr>
              <w:t>6.00%</w:t>
            </w:r>
          </w:p>
        </w:tc>
        <w:tc>
          <w:tcPr>
            <w:tcW w:w="8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L+500</w:t>
            </w: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5,000,000</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4,950,428</w:t>
            </w:r>
          </w:p>
        </w:tc>
        <w:tc>
          <w:tcPr>
            <w:tcW w:w="9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4,937,500</w:t>
            </w: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10/18/2019</w:t>
            </w:r>
          </w:p>
        </w:tc>
        <w:tc>
          <w:tcPr>
            <w:tcW w:w="380" w:type="dxa"/>
            <w:vAlign w:val="bottom"/>
          </w:tcPr>
          <w:p>
            <w:pPr>
              <w:spacing w:after="0"/>
              <w:rPr>
                <w:sz w:val="11"/>
                <w:szCs w:val="11"/>
                <w:color w:val="auto"/>
              </w:rPr>
            </w:pPr>
          </w:p>
        </w:tc>
        <w:tc>
          <w:tcPr>
            <w:tcW w:w="220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8"/>
              </w:rPr>
              <w:t>High Tech Industries</w:t>
            </w:r>
          </w:p>
        </w:tc>
        <w:tc>
          <w:tcPr>
            <w:tcW w:w="960" w:type="dxa"/>
            <w:vAlign w:val="bottom"/>
            <w:gridSpan w:val="2"/>
          </w:tcPr>
          <w:p>
            <w:pPr>
              <w:jc w:val="right"/>
              <w:ind w:right="202"/>
              <w:spacing w:after="0" w:line="135" w:lineRule="exact"/>
              <w:rPr>
                <w:sz w:val="20"/>
                <w:szCs w:val="20"/>
                <w:color w:val="auto"/>
              </w:rPr>
            </w:pPr>
            <w:r>
              <w:rPr>
                <w:rFonts w:ascii="Arial" w:cs="Arial" w:eastAsia="Arial" w:hAnsi="Arial"/>
                <w:sz w:val="13"/>
                <w:szCs w:val="13"/>
                <w:color w:val="auto"/>
              </w:rPr>
              <w:t>5.00%</w:t>
            </w:r>
          </w:p>
        </w:tc>
        <w:tc>
          <w:tcPr>
            <w:tcW w:w="8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L+400</w:t>
            </w: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5,940,000</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5,915,264</w:t>
            </w:r>
          </w:p>
        </w:tc>
        <w:tc>
          <w:tcPr>
            <w:tcW w:w="9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5,895,450</w:t>
            </w: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Tensar Corporation</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07/09/2021</w:t>
            </w:r>
          </w:p>
        </w:tc>
        <w:tc>
          <w:tcPr>
            <w:tcW w:w="38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90"/>
              </w:rPr>
              <w:t>Construction and Building</w:t>
            </w:r>
          </w:p>
        </w:tc>
        <w:tc>
          <w:tcPr>
            <w:tcW w:w="960" w:type="dxa"/>
            <w:vAlign w:val="bottom"/>
            <w:gridSpan w:val="2"/>
            <w:shd w:val="clear" w:color="auto" w:fill="CCEEFF"/>
          </w:tcPr>
          <w:p>
            <w:pPr>
              <w:jc w:val="right"/>
              <w:ind w:right="202"/>
              <w:spacing w:after="0" w:line="135" w:lineRule="exact"/>
              <w:rPr>
                <w:sz w:val="20"/>
                <w:szCs w:val="20"/>
                <w:color w:val="auto"/>
              </w:rPr>
            </w:pPr>
            <w:r>
              <w:rPr>
                <w:rFonts w:ascii="Arial" w:cs="Arial" w:eastAsia="Arial" w:hAnsi="Arial"/>
                <w:sz w:val="13"/>
                <w:szCs w:val="13"/>
                <w:color w:val="auto"/>
              </w:rPr>
              <w:t>5.75%</w:t>
            </w:r>
          </w:p>
        </w:tc>
        <w:tc>
          <w:tcPr>
            <w:tcW w:w="8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L+475</w:t>
            </w: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4,987,500</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4,939,009</w:t>
            </w:r>
          </w:p>
        </w:tc>
        <w:tc>
          <w:tcPr>
            <w:tcW w:w="9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4,463,813</w:t>
            </w: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Therakos, Inc.</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12/27/2017</w:t>
            </w:r>
          </w:p>
        </w:tc>
        <w:tc>
          <w:tcPr>
            <w:tcW w:w="380" w:type="dxa"/>
            <w:vAlign w:val="bottom"/>
          </w:tcPr>
          <w:p>
            <w:pPr>
              <w:spacing w:after="0"/>
              <w:rPr>
                <w:sz w:val="11"/>
                <w:szCs w:val="11"/>
                <w:color w:val="auto"/>
              </w:rPr>
            </w:pPr>
          </w:p>
        </w:tc>
        <w:tc>
          <w:tcPr>
            <w:tcW w:w="220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60" w:type="dxa"/>
            <w:vAlign w:val="bottom"/>
            <w:gridSpan w:val="2"/>
          </w:tcPr>
          <w:p>
            <w:pPr>
              <w:jc w:val="right"/>
              <w:ind w:right="202"/>
              <w:spacing w:after="0" w:line="135" w:lineRule="exact"/>
              <w:rPr>
                <w:sz w:val="20"/>
                <w:szCs w:val="20"/>
                <w:color w:val="auto"/>
              </w:rPr>
            </w:pPr>
            <w:r>
              <w:rPr>
                <w:rFonts w:ascii="Arial" w:cs="Arial" w:eastAsia="Arial" w:hAnsi="Arial"/>
                <w:sz w:val="13"/>
                <w:szCs w:val="13"/>
                <w:color w:val="auto"/>
              </w:rPr>
              <w:t>7.00%</w:t>
            </w:r>
          </w:p>
        </w:tc>
        <w:tc>
          <w:tcPr>
            <w:tcW w:w="8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L+575</w:t>
            </w: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4,843,177</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4,778,408</w:t>
            </w:r>
          </w:p>
        </w:tc>
        <w:tc>
          <w:tcPr>
            <w:tcW w:w="9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4,800,800</w:t>
            </w: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TOMS Shoes, LLC</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11/02/2020</w:t>
            </w:r>
          </w:p>
        </w:tc>
        <w:tc>
          <w:tcPr>
            <w:tcW w:w="38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7"/>
              </w:rPr>
              <w:t>Consumer Goods: Non-Durable</w:t>
            </w:r>
          </w:p>
        </w:tc>
        <w:tc>
          <w:tcPr>
            <w:tcW w:w="960" w:type="dxa"/>
            <w:vAlign w:val="bottom"/>
            <w:gridSpan w:val="2"/>
            <w:shd w:val="clear" w:color="auto" w:fill="CCEEFF"/>
          </w:tcPr>
          <w:p>
            <w:pPr>
              <w:jc w:val="right"/>
              <w:ind w:right="202"/>
              <w:spacing w:after="0" w:line="135" w:lineRule="exact"/>
              <w:rPr>
                <w:sz w:val="20"/>
                <w:szCs w:val="20"/>
                <w:color w:val="auto"/>
              </w:rPr>
            </w:pPr>
            <w:r>
              <w:rPr>
                <w:rFonts w:ascii="Arial" w:cs="Arial" w:eastAsia="Arial" w:hAnsi="Arial"/>
                <w:sz w:val="13"/>
                <w:szCs w:val="13"/>
                <w:color w:val="auto"/>
              </w:rPr>
              <w:t>6.50%</w:t>
            </w:r>
          </w:p>
        </w:tc>
        <w:tc>
          <w:tcPr>
            <w:tcW w:w="8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L+550</w:t>
            </w: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2,000,000</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1,803,711</w:t>
            </w:r>
          </w:p>
        </w:tc>
        <w:tc>
          <w:tcPr>
            <w:tcW w:w="9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1,840,000</w:t>
            </w:r>
          </w:p>
        </w:tc>
        <w:tc>
          <w:tcPr>
            <w:tcW w:w="0" w:type="dxa"/>
            <w:vAlign w:val="bottom"/>
          </w:tcPr>
          <w:p>
            <w:pPr>
              <w:spacing w:after="0"/>
              <w:rPr>
                <w:sz w:val="1"/>
                <w:szCs w:val="1"/>
                <w:color w:val="auto"/>
              </w:rPr>
            </w:pPr>
          </w:p>
        </w:tc>
      </w:tr>
      <w:tr>
        <w:trPr>
          <w:trHeight w:val="121"/>
        </w:trPr>
        <w:tc>
          <w:tcPr>
            <w:tcW w:w="354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620" w:type="dxa"/>
            <w:vAlign w:val="bottom"/>
          </w:tcPr>
          <w:p>
            <w:pPr>
              <w:jc w:val="right"/>
              <w:spacing w:after="0" w:line="121" w:lineRule="exact"/>
              <w:rPr>
                <w:sz w:val="20"/>
                <w:szCs w:val="20"/>
                <w:color w:val="auto"/>
              </w:rPr>
            </w:pPr>
            <w:r>
              <w:rPr>
                <w:rFonts w:ascii="Arial" w:cs="Arial" w:eastAsia="Arial" w:hAnsi="Arial"/>
                <w:sz w:val="13"/>
                <w:szCs w:val="13"/>
                <w:color w:val="auto"/>
                <w:w w:val="92"/>
              </w:rPr>
              <w:t>01/21/2015</w:t>
            </w:r>
          </w:p>
        </w:tc>
        <w:tc>
          <w:tcPr>
            <w:tcW w:w="380" w:type="dxa"/>
            <w:vAlign w:val="bottom"/>
          </w:tcPr>
          <w:p>
            <w:pPr>
              <w:spacing w:after="0"/>
              <w:rPr>
                <w:sz w:val="10"/>
                <w:szCs w:val="10"/>
                <w:color w:val="auto"/>
              </w:rPr>
            </w:pPr>
          </w:p>
        </w:tc>
        <w:tc>
          <w:tcPr>
            <w:tcW w:w="2200" w:type="dxa"/>
            <w:vAlign w:val="bottom"/>
            <w:gridSpan w:val="2"/>
          </w:tcPr>
          <w:p>
            <w:pPr>
              <w:jc w:val="center"/>
              <w:ind w:right="240"/>
              <w:spacing w:after="0" w:line="121" w:lineRule="exact"/>
              <w:rPr>
                <w:sz w:val="20"/>
                <w:szCs w:val="20"/>
                <w:color w:val="auto"/>
              </w:rPr>
            </w:pPr>
            <w:r>
              <w:rPr>
                <w:rFonts w:ascii="Arial" w:cs="Arial" w:eastAsia="Arial" w:hAnsi="Arial"/>
                <w:sz w:val="13"/>
                <w:szCs w:val="13"/>
                <w:color w:val="auto"/>
                <w:w w:val="87"/>
              </w:rPr>
              <w:t>Telecommunications</w:t>
            </w:r>
          </w:p>
        </w:tc>
        <w:tc>
          <w:tcPr>
            <w:tcW w:w="960" w:type="dxa"/>
            <w:vAlign w:val="bottom"/>
            <w:gridSpan w:val="2"/>
          </w:tcPr>
          <w:p>
            <w:pPr>
              <w:jc w:val="right"/>
              <w:ind w:right="202"/>
              <w:spacing w:after="0" w:line="121" w:lineRule="exact"/>
              <w:rPr>
                <w:sz w:val="20"/>
                <w:szCs w:val="20"/>
                <w:color w:val="auto"/>
              </w:rPr>
            </w:pPr>
            <w:r>
              <w:rPr>
                <w:rFonts w:ascii="Arial" w:cs="Arial" w:eastAsia="Arial" w:hAnsi="Arial"/>
                <w:sz w:val="13"/>
                <w:szCs w:val="13"/>
                <w:color w:val="auto"/>
              </w:rPr>
              <w:t>9.50%</w:t>
            </w:r>
          </w:p>
        </w:tc>
        <w:tc>
          <w:tcPr>
            <w:tcW w:w="8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L+850</w:t>
            </w:r>
          </w:p>
        </w:tc>
        <w:tc>
          <w:tcPr>
            <w:tcW w:w="92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182,094</w:t>
            </w:r>
          </w:p>
        </w:tc>
        <w:tc>
          <w:tcPr>
            <w:tcW w:w="8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182,094</w:t>
            </w:r>
          </w:p>
        </w:tc>
        <w:tc>
          <w:tcPr>
            <w:tcW w:w="92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182,094</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color w:val="auto"/>
              </w:rPr>
              <w:t>(PIK 1.00%)</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5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2"/>
              </w:rPr>
              <w:t>01/21/2015</w:t>
            </w:r>
          </w:p>
        </w:tc>
        <w:tc>
          <w:tcPr>
            <w:tcW w:w="38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240"/>
              <w:spacing w:after="0" w:line="136" w:lineRule="exact"/>
              <w:rPr>
                <w:sz w:val="20"/>
                <w:szCs w:val="20"/>
                <w:color w:val="auto"/>
              </w:rPr>
            </w:pPr>
            <w:r>
              <w:rPr>
                <w:rFonts w:ascii="Arial" w:cs="Arial" w:eastAsia="Arial" w:hAnsi="Arial"/>
                <w:sz w:val="13"/>
                <w:szCs w:val="13"/>
                <w:color w:val="auto"/>
                <w:w w:val="87"/>
              </w:rPr>
              <w:t>Telecommunications</w:t>
            </w:r>
          </w:p>
        </w:tc>
        <w:tc>
          <w:tcPr>
            <w:tcW w:w="960" w:type="dxa"/>
            <w:vAlign w:val="bottom"/>
            <w:gridSpan w:val="2"/>
            <w:shd w:val="clear" w:color="auto" w:fill="CCEEFF"/>
          </w:tcPr>
          <w:p>
            <w:pPr>
              <w:jc w:val="right"/>
              <w:ind w:right="302"/>
              <w:spacing w:after="0" w:line="13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3"/>
                <w:szCs w:val="13"/>
                <w:color w:val="auto"/>
              </w:rPr>
              <w:t>443,344</w:t>
            </w:r>
          </w:p>
        </w:tc>
        <w:tc>
          <w:tcPr>
            <w:tcW w:w="8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54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620" w:type="dxa"/>
            <w:vAlign w:val="bottom"/>
          </w:tcPr>
          <w:p>
            <w:pPr>
              <w:jc w:val="right"/>
              <w:spacing w:after="0" w:line="121" w:lineRule="exact"/>
              <w:rPr>
                <w:sz w:val="20"/>
                <w:szCs w:val="20"/>
                <w:color w:val="auto"/>
              </w:rPr>
            </w:pPr>
            <w:r>
              <w:rPr>
                <w:rFonts w:ascii="Arial" w:cs="Arial" w:eastAsia="Arial" w:hAnsi="Arial"/>
                <w:sz w:val="13"/>
                <w:szCs w:val="13"/>
                <w:color w:val="auto"/>
                <w:w w:val="92"/>
              </w:rPr>
              <w:t>04/15/2016</w:t>
            </w:r>
          </w:p>
        </w:tc>
        <w:tc>
          <w:tcPr>
            <w:tcW w:w="380" w:type="dxa"/>
            <w:vAlign w:val="bottom"/>
          </w:tcPr>
          <w:p>
            <w:pPr>
              <w:spacing w:after="0"/>
              <w:rPr>
                <w:sz w:val="10"/>
                <w:szCs w:val="10"/>
                <w:color w:val="auto"/>
              </w:rPr>
            </w:pPr>
          </w:p>
        </w:tc>
        <w:tc>
          <w:tcPr>
            <w:tcW w:w="2200" w:type="dxa"/>
            <w:vAlign w:val="bottom"/>
            <w:gridSpan w:val="2"/>
          </w:tcPr>
          <w:p>
            <w:pPr>
              <w:jc w:val="center"/>
              <w:ind w:right="240"/>
              <w:spacing w:after="0" w:line="121" w:lineRule="exact"/>
              <w:rPr>
                <w:sz w:val="20"/>
                <w:szCs w:val="20"/>
                <w:color w:val="auto"/>
              </w:rPr>
            </w:pPr>
            <w:r>
              <w:rPr>
                <w:rFonts w:ascii="Arial" w:cs="Arial" w:eastAsia="Arial" w:hAnsi="Arial"/>
                <w:sz w:val="13"/>
                <w:szCs w:val="13"/>
                <w:color w:val="auto"/>
                <w:w w:val="87"/>
              </w:rPr>
              <w:t>Telecommunications</w:t>
            </w:r>
          </w:p>
        </w:tc>
        <w:tc>
          <w:tcPr>
            <w:tcW w:w="960" w:type="dxa"/>
            <w:vAlign w:val="bottom"/>
            <w:gridSpan w:val="2"/>
          </w:tcPr>
          <w:p>
            <w:pPr>
              <w:jc w:val="right"/>
              <w:ind w:right="202"/>
              <w:spacing w:after="0" w:line="121" w:lineRule="exact"/>
              <w:rPr>
                <w:sz w:val="20"/>
                <w:szCs w:val="20"/>
                <w:color w:val="auto"/>
              </w:rPr>
            </w:pPr>
            <w:r>
              <w:rPr>
                <w:rFonts w:ascii="Arial" w:cs="Arial" w:eastAsia="Arial" w:hAnsi="Arial"/>
                <w:sz w:val="13"/>
                <w:szCs w:val="13"/>
                <w:color w:val="auto"/>
              </w:rPr>
              <w:t>10.25%</w:t>
            </w:r>
          </w:p>
        </w:tc>
        <w:tc>
          <w:tcPr>
            <w:tcW w:w="8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L+925</w:t>
            </w:r>
          </w:p>
        </w:tc>
        <w:tc>
          <w:tcPr>
            <w:tcW w:w="92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137,899</w:t>
            </w:r>
          </w:p>
        </w:tc>
        <w:tc>
          <w:tcPr>
            <w:tcW w:w="8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137,899</w:t>
            </w:r>
          </w:p>
        </w:tc>
        <w:tc>
          <w:tcPr>
            <w:tcW w:w="92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137,899</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color w:val="auto"/>
              </w:rPr>
              <w:t>(PIK 5.25%)</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5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UniTek Global Services, Inc.</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2"/>
              </w:rPr>
              <w:t>04/16/2018</w:t>
            </w:r>
          </w:p>
        </w:tc>
        <w:tc>
          <w:tcPr>
            <w:tcW w:w="38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240"/>
              <w:spacing w:after="0" w:line="136" w:lineRule="exact"/>
              <w:rPr>
                <w:sz w:val="20"/>
                <w:szCs w:val="20"/>
                <w:color w:val="auto"/>
              </w:rPr>
            </w:pPr>
            <w:r>
              <w:rPr>
                <w:rFonts w:ascii="Arial" w:cs="Arial" w:eastAsia="Arial" w:hAnsi="Arial"/>
                <w:sz w:val="13"/>
                <w:szCs w:val="13"/>
                <w:color w:val="auto"/>
                <w:w w:val="87"/>
              </w:rPr>
              <w:t>Telecommunications</w:t>
            </w:r>
          </w:p>
        </w:tc>
        <w:tc>
          <w:tcPr>
            <w:tcW w:w="96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84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3"/>
                <w:szCs w:val="13"/>
                <w:color w:val="auto"/>
              </w:rPr>
              <w:t>2,343,960</w:t>
            </w:r>
          </w:p>
        </w:tc>
        <w:tc>
          <w:tcPr>
            <w:tcW w:w="8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2,310,515</w:t>
            </w:r>
          </w:p>
        </w:tc>
        <w:tc>
          <w:tcPr>
            <w:tcW w:w="92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1,523,574</w:t>
            </w: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Virtual Radiologic Corporation </w:t>
            </w:r>
            <w:r>
              <w:rPr>
                <w:rFonts w:ascii="Arial" w:cs="Arial" w:eastAsia="Arial" w:hAnsi="Arial"/>
                <w:sz w:val="10"/>
                <w:szCs w:val="10"/>
                <w:color w:val="auto"/>
              </w:rPr>
              <w:t>(8)</w:t>
            </w: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w w:val="92"/>
              </w:rPr>
              <w:t>12/22/2016</w:t>
            </w:r>
          </w:p>
        </w:tc>
        <w:tc>
          <w:tcPr>
            <w:tcW w:w="220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4"/>
              </w:rPr>
              <w:t>Business Services</w:t>
            </w:r>
          </w:p>
        </w:tc>
        <w:tc>
          <w:tcPr>
            <w:tcW w:w="960" w:type="dxa"/>
            <w:vAlign w:val="bottom"/>
            <w:gridSpan w:val="2"/>
          </w:tcPr>
          <w:p>
            <w:pPr>
              <w:jc w:val="right"/>
              <w:ind w:right="202"/>
              <w:spacing w:after="0" w:line="135" w:lineRule="exact"/>
              <w:rPr>
                <w:sz w:val="20"/>
                <w:szCs w:val="20"/>
                <w:color w:val="auto"/>
              </w:rPr>
            </w:pPr>
            <w:r>
              <w:rPr>
                <w:rFonts w:ascii="Arial" w:cs="Arial" w:eastAsia="Arial" w:hAnsi="Arial"/>
                <w:sz w:val="13"/>
                <w:szCs w:val="13"/>
                <w:color w:val="auto"/>
              </w:rPr>
              <w:t>7.25%</w:t>
            </w:r>
          </w:p>
        </w:tc>
        <w:tc>
          <w:tcPr>
            <w:tcW w:w="8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L+550</w:t>
            </w: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2,918,163</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2,909,632</w:t>
            </w:r>
          </w:p>
        </w:tc>
        <w:tc>
          <w:tcPr>
            <w:tcW w:w="9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2,184,975</w:t>
            </w: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Wilton Brands, LLC</w:t>
            </w:r>
          </w:p>
        </w:tc>
        <w:tc>
          <w:tcPr>
            <w:tcW w:w="10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w w:val="92"/>
              </w:rPr>
              <w:t>08/30/2018</w:t>
            </w:r>
          </w:p>
        </w:tc>
        <w:tc>
          <w:tcPr>
            <w:tcW w:w="22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7"/>
              </w:rPr>
              <w:t>Consumer Goods: Non-Durable</w:t>
            </w:r>
          </w:p>
        </w:tc>
        <w:tc>
          <w:tcPr>
            <w:tcW w:w="960" w:type="dxa"/>
            <w:vAlign w:val="bottom"/>
            <w:gridSpan w:val="2"/>
            <w:shd w:val="clear" w:color="auto" w:fill="CCEEFF"/>
          </w:tcPr>
          <w:p>
            <w:pPr>
              <w:jc w:val="right"/>
              <w:ind w:right="202"/>
              <w:spacing w:after="0" w:line="135" w:lineRule="exact"/>
              <w:rPr>
                <w:sz w:val="20"/>
                <w:szCs w:val="20"/>
                <w:color w:val="auto"/>
              </w:rPr>
            </w:pPr>
            <w:r>
              <w:rPr>
                <w:rFonts w:ascii="Arial" w:cs="Arial" w:eastAsia="Arial" w:hAnsi="Arial"/>
                <w:sz w:val="13"/>
                <w:szCs w:val="13"/>
                <w:color w:val="auto"/>
              </w:rPr>
              <w:t>7.50%</w:t>
            </w:r>
          </w:p>
        </w:tc>
        <w:tc>
          <w:tcPr>
            <w:tcW w:w="8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L+625</w:t>
            </w: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2,975,153</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2,936,566</w:t>
            </w:r>
          </w:p>
        </w:tc>
        <w:tc>
          <w:tcPr>
            <w:tcW w:w="9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2,766,892</w:t>
            </w:r>
          </w:p>
        </w:tc>
        <w:tc>
          <w:tcPr>
            <w:tcW w:w="0" w:type="dxa"/>
            <w:vAlign w:val="bottom"/>
          </w:tcPr>
          <w:p>
            <w:pPr>
              <w:spacing w:after="0"/>
              <w:rPr>
                <w:sz w:val="1"/>
                <w:szCs w:val="1"/>
                <w:color w:val="auto"/>
              </w:rPr>
            </w:pPr>
          </w:p>
        </w:tc>
      </w:tr>
      <w:tr>
        <w:trPr>
          <w:trHeight w:val="121"/>
        </w:trPr>
        <w:tc>
          <w:tcPr>
            <w:tcW w:w="3540" w:type="dxa"/>
            <w:vAlign w:val="bottom"/>
            <w:gridSpan w:val="2"/>
          </w:tcPr>
          <w:p>
            <w:pPr>
              <w:spacing w:after="0" w:line="121" w:lineRule="exact"/>
              <w:rPr>
                <w:sz w:val="20"/>
                <w:szCs w:val="20"/>
                <w:color w:val="auto"/>
              </w:rPr>
            </w:pPr>
            <w:r>
              <w:rPr>
                <w:rFonts w:ascii="Arial" w:cs="Arial" w:eastAsia="Arial" w:hAnsi="Arial"/>
                <w:sz w:val="13"/>
                <w:szCs w:val="13"/>
                <w:color w:val="auto"/>
              </w:rPr>
              <w:t>Worley Claims Services, LLC</w:t>
            </w:r>
          </w:p>
        </w:tc>
        <w:tc>
          <w:tcPr>
            <w:tcW w:w="100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w w:val="92"/>
              </w:rPr>
              <w:t>10/30/2020</w:t>
            </w:r>
          </w:p>
        </w:tc>
        <w:tc>
          <w:tcPr>
            <w:tcW w:w="2200" w:type="dxa"/>
            <w:vAlign w:val="bottom"/>
            <w:gridSpan w:val="2"/>
          </w:tcPr>
          <w:p>
            <w:pPr>
              <w:jc w:val="center"/>
              <w:ind w:right="240"/>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960" w:type="dxa"/>
            <w:vAlign w:val="bottom"/>
            <w:gridSpan w:val="2"/>
          </w:tcPr>
          <w:p>
            <w:pPr>
              <w:jc w:val="right"/>
              <w:ind w:right="202"/>
              <w:spacing w:after="0" w:line="121" w:lineRule="exact"/>
              <w:rPr>
                <w:sz w:val="20"/>
                <w:szCs w:val="20"/>
                <w:color w:val="auto"/>
              </w:rPr>
            </w:pPr>
            <w:r>
              <w:rPr>
                <w:rFonts w:ascii="Arial" w:cs="Arial" w:eastAsia="Arial" w:hAnsi="Arial"/>
                <w:sz w:val="13"/>
                <w:szCs w:val="13"/>
                <w:color w:val="auto"/>
              </w:rPr>
              <w:t>9.00%</w:t>
            </w:r>
          </w:p>
        </w:tc>
        <w:tc>
          <w:tcPr>
            <w:tcW w:w="8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L+800</w:t>
            </w:r>
          </w:p>
        </w:tc>
        <w:tc>
          <w:tcPr>
            <w:tcW w:w="92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3,600,000</w:t>
            </w:r>
          </w:p>
        </w:tc>
        <w:tc>
          <w:tcPr>
            <w:tcW w:w="8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3,564,003</w:t>
            </w:r>
          </w:p>
        </w:tc>
        <w:tc>
          <w:tcPr>
            <w:tcW w:w="92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3,600,000</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3"/>
                <w:szCs w:val="13"/>
                <w:color w:val="auto"/>
                <w:w w:val="86"/>
              </w:rPr>
              <w:t>Estate</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YP LLC</w:t>
            </w:r>
          </w:p>
        </w:tc>
        <w:tc>
          <w:tcPr>
            <w:tcW w:w="100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w w:val="92"/>
              </w:rPr>
              <w:t>06/04/2018</w:t>
            </w:r>
          </w:p>
        </w:tc>
        <w:tc>
          <w:tcPr>
            <w:tcW w:w="2200" w:type="dxa"/>
            <w:vAlign w:val="bottom"/>
            <w:gridSpan w:val="2"/>
            <w:shd w:val="clear" w:color="auto" w:fill="CCEEFF"/>
          </w:tcPr>
          <w:p>
            <w:pPr>
              <w:jc w:val="center"/>
              <w:ind w:right="260"/>
              <w:spacing w:after="0" w:line="121" w:lineRule="exact"/>
              <w:rPr>
                <w:sz w:val="20"/>
                <w:szCs w:val="20"/>
                <w:color w:val="auto"/>
              </w:rPr>
            </w:pPr>
            <w:r>
              <w:rPr>
                <w:rFonts w:ascii="Arial" w:cs="Arial" w:eastAsia="Arial" w:hAnsi="Arial"/>
                <w:sz w:val="13"/>
                <w:szCs w:val="13"/>
                <w:color w:val="auto"/>
                <w:w w:val="90"/>
              </w:rPr>
              <w:t>Media: Advertising, Printing and</w:t>
            </w:r>
          </w:p>
        </w:tc>
        <w:tc>
          <w:tcPr>
            <w:tcW w:w="960" w:type="dxa"/>
            <w:vAlign w:val="bottom"/>
            <w:gridSpan w:val="2"/>
            <w:shd w:val="clear" w:color="auto" w:fill="CCEEFF"/>
          </w:tcPr>
          <w:p>
            <w:pPr>
              <w:jc w:val="right"/>
              <w:ind w:right="202"/>
              <w:spacing w:after="0" w:line="121" w:lineRule="exact"/>
              <w:rPr>
                <w:sz w:val="20"/>
                <w:szCs w:val="20"/>
                <w:color w:val="auto"/>
              </w:rPr>
            </w:pPr>
            <w:r>
              <w:rPr>
                <w:rFonts w:ascii="Arial" w:cs="Arial" w:eastAsia="Arial" w:hAnsi="Arial"/>
                <w:sz w:val="13"/>
                <w:szCs w:val="13"/>
                <w:color w:val="auto"/>
              </w:rPr>
              <w:t>8.00%</w:t>
            </w:r>
          </w:p>
        </w:tc>
        <w:tc>
          <w:tcPr>
            <w:tcW w:w="8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L+675</w:t>
            </w:r>
          </w:p>
        </w:tc>
        <w:tc>
          <w:tcPr>
            <w:tcW w:w="92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2,678,261</w:t>
            </w:r>
          </w:p>
        </w:tc>
        <w:tc>
          <w:tcPr>
            <w:tcW w:w="8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2,628,492</w:t>
            </w:r>
          </w:p>
        </w:tc>
        <w:tc>
          <w:tcPr>
            <w:tcW w:w="92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2,681,609</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89"/>
              </w:rPr>
              <w:t>Publishing</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Zest Holdings, LLC</w:t>
            </w: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w w:val="92"/>
              </w:rPr>
              <w:t>08/17/2020</w:t>
            </w:r>
          </w:p>
        </w:tc>
        <w:tc>
          <w:tcPr>
            <w:tcW w:w="220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60" w:type="dxa"/>
            <w:vAlign w:val="bottom"/>
            <w:gridSpan w:val="2"/>
          </w:tcPr>
          <w:p>
            <w:pPr>
              <w:jc w:val="right"/>
              <w:ind w:right="202"/>
              <w:spacing w:after="0" w:line="135" w:lineRule="exact"/>
              <w:rPr>
                <w:sz w:val="20"/>
                <w:szCs w:val="20"/>
                <w:color w:val="auto"/>
              </w:rPr>
            </w:pPr>
            <w:r>
              <w:rPr>
                <w:rFonts w:ascii="Arial" w:cs="Arial" w:eastAsia="Arial" w:hAnsi="Arial"/>
                <w:sz w:val="13"/>
                <w:szCs w:val="13"/>
                <w:color w:val="auto"/>
              </w:rPr>
              <w:t>5.25%</w:t>
            </w:r>
          </w:p>
        </w:tc>
        <w:tc>
          <w:tcPr>
            <w:tcW w:w="8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L+425</w:t>
            </w: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1,905,381</w:t>
            </w: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1,905,381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1,895,854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4"/>
              </w:rPr>
              <w:t>292,136,859</w:t>
            </w:r>
          </w:p>
        </w:tc>
        <w:tc>
          <w:tcPr>
            <w:tcW w:w="9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288,611,969</w:t>
            </w:r>
          </w:p>
        </w:tc>
        <w:tc>
          <w:tcPr>
            <w:tcW w:w="0" w:type="dxa"/>
            <w:vAlign w:val="bottom"/>
          </w:tcPr>
          <w:p>
            <w:pPr>
              <w:spacing w:after="0"/>
              <w:rPr>
                <w:sz w:val="1"/>
                <w:szCs w:val="1"/>
                <w:color w:val="auto"/>
              </w:rPr>
            </w:pPr>
          </w:p>
        </w:tc>
      </w:tr>
      <w:tr>
        <w:trPr>
          <w:trHeight w:val="142"/>
        </w:trPr>
        <w:tc>
          <w:tcPr>
            <w:tcW w:w="35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Second Lien Secured Debt—21.6%</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09/01/2017</w:t>
            </w:r>
          </w:p>
        </w:tc>
        <w:tc>
          <w:tcPr>
            <w:tcW w:w="38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90"/>
              </w:rPr>
              <w:t>Metals and Mining</w:t>
            </w:r>
          </w:p>
        </w:tc>
        <w:tc>
          <w:tcPr>
            <w:tcW w:w="960" w:type="dxa"/>
            <w:vAlign w:val="bottom"/>
            <w:gridSpan w:val="2"/>
            <w:shd w:val="clear" w:color="auto" w:fill="CCEEFF"/>
          </w:tcPr>
          <w:p>
            <w:pPr>
              <w:jc w:val="right"/>
              <w:ind w:right="202"/>
              <w:spacing w:after="0" w:line="135" w:lineRule="exact"/>
              <w:rPr>
                <w:sz w:val="20"/>
                <w:szCs w:val="20"/>
                <w:color w:val="auto"/>
              </w:rPr>
            </w:pPr>
            <w:r>
              <w:rPr>
                <w:rFonts w:ascii="Arial" w:cs="Arial" w:eastAsia="Arial" w:hAnsi="Arial"/>
                <w:sz w:val="13"/>
                <w:szCs w:val="13"/>
                <w:color w:val="auto"/>
              </w:rPr>
              <w:t>11.50%</w:t>
            </w:r>
          </w:p>
        </w:tc>
        <w:tc>
          <w:tcPr>
            <w:tcW w:w="8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1,000,000</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1,000,000</w:t>
            </w:r>
          </w:p>
        </w:tc>
        <w:tc>
          <w:tcPr>
            <w:tcW w:w="9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985,000</w:t>
            </w: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Cannery Casino Resorts, LLC </w:t>
            </w:r>
            <w:r>
              <w:rPr>
                <w:rFonts w:ascii="Arial" w:cs="Arial" w:eastAsia="Arial" w:hAnsi="Arial"/>
                <w:sz w:val="10"/>
                <w:szCs w:val="10"/>
                <w:color w:val="auto"/>
              </w:rPr>
              <w:t>(8)</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10/02/2019</w:t>
            </w:r>
          </w:p>
        </w:tc>
        <w:tc>
          <w:tcPr>
            <w:tcW w:w="380" w:type="dxa"/>
            <w:vAlign w:val="bottom"/>
          </w:tcPr>
          <w:p>
            <w:pPr>
              <w:spacing w:after="0"/>
              <w:rPr>
                <w:sz w:val="11"/>
                <w:szCs w:val="11"/>
                <w:color w:val="auto"/>
              </w:rPr>
            </w:pPr>
          </w:p>
        </w:tc>
        <w:tc>
          <w:tcPr>
            <w:tcW w:w="22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Hotel, Gaming and Leisure</w:t>
            </w:r>
          </w:p>
        </w:tc>
        <w:tc>
          <w:tcPr>
            <w:tcW w:w="960" w:type="dxa"/>
            <w:vAlign w:val="bottom"/>
            <w:gridSpan w:val="2"/>
          </w:tcPr>
          <w:p>
            <w:pPr>
              <w:jc w:val="right"/>
              <w:ind w:right="202"/>
              <w:spacing w:after="0" w:line="135" w:lineRule="exact"/>
              <w:rPr>
                <w:sz w:val="20"/>
                <w:szCs w:val="20"/>
                <w:color w:val="auto"/>
              </w:rPr>
            </w:pPr>
            <w:r>
              <w:rPr>
                <w:rFonts w:ascii="Arial" w:cs="Arial" w:eastAsia="Arial" w:hAnsi="Arial"/>
                <w:sz w:val="13"/>
                <w:szCs w:val="13"/>
                <w:color w:val="auto"/>
              </w:rPr>
              <w:t>10.00%</w:t>
            </w:r>
          </w:p>
        </w:tc>
        <w:tc>
          <w:tcPr>
            <w:tcW w:w="8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L+875</w:t>
            </w: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1,700,000</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1,675,292</w:t>
            </w:r>
          </w:p>
        </w:tc>
        <w:tc>
          <w:tcPr>
            <w:tcW w:w="9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1,310,071</w:t>
            </w: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Carolina Beverage Group, LLC </w:t>
            </w:r>
            <w:r>
              <w:rPr>
                <w:rFonts w:ascii="Arial" w:cs="Arial" w:eastAsia="Arial" w:hAnsi="Arial"/>
                <w:sz w:val="10"/>
                <w:szCs w:val="10"/>
                <w:color w:val="auto"/>
              </w:rPr>
              <w:t>(5), (8)</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08/01/2018</w:t>
            </w:r>
          </w:p>
        </w:tc>
        <w:tc>
          <w:tcPr>
            <w:tcW w:w="38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5"/>
              </w:rPr>
              <w:t>Beverage, Food and Tobacco</w:t>
            </w:r>
          </w:p>
        </w:tc>
        <w:tc>
          <w:tcPr>
            <w:tcW w:w="960" w:type="dxa"/>
            <w:vAlign w:val="bottom"/>
            <w:gridSpan w:val="2"/>
            <w:shd w:val="clear" w:color="auto" w:fill="CCEEFF"/>
          </w:tcPr>
          <w:p>
            <w:pPr>
              <w:jc w:val="right"/>
              <w:ind w:right="202"/>
              <w:spacing w:after="0" w:line="135" w:lineRule="exact"/>
              <w:rPr>
                <w:sz w:val="20"/>
                <w:szCs w:val="20"/>
                <w:color w:val="auto"/>
              </w:rPr>
            </w:pPr>
            <w:r>
              <w:rPr>
                <w:rFonts w:ascii="Arial" w:cs="Arial" w:eastAsia="Arial" w:hAnsi="Arial"/>
                <w:sz w:val="13"/>
                <w:szCs w:val="13"/>
                <w:color w:val="auto"/>
              </w:rPr>
              <w:t>10.63%</w:t>
            </w:r>
          </w:p>
        </w:tc>
        <w:tc>
          <w:tcPr>
            <w:tcW w:w="8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3,500,000</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3,500,000</w:t>
            </w:r>
          </w:p>
        </w:tc>
        <w:tc>
          <w:tcPr>
            <w:tcW w:w="9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3,465,000</w:t>
            </w: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Howard Berger Co. LLC</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09/30/2020</w:t>
            </w:r>
          </w:p>
        </w:tc>
        <w:tc>
          <w:tcPr>
            <w:tcW w:w="380" w:type="dxa"/>
            <w:vAlign w:val="bottom"/>
          </w:tcPr>
          <w:p>
            <w:pPr>
              <w:spacing w:after="0"/>
              <w:rPr>
                <w:sz w:val="11"/>
                <w:szCs w:val="11"/>
                <w:color w:val="auto"/>
              </w:rPr>
            </w:pPr>
          </w:p>
        </w:tc>
        <w:tc>
          <w:tcPr>
            <w:tcW w:w="22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5"/>
              </w:rPr>
              <w:t>Wholesale</w:t>
            </w:r>
          </w:p>
        </w:tc>
        <w:tc>
          <w:tcPr>
            <w:tcW w:w="960" w:type="dxa"/>
            <w:vAlign w:val="bottom"/>
            <w:gridSpan w:val="2"/>
          </w:tcPr>
          <w:p>
            <w:pPr>
              <w:jc w:val="right"/>
              <w:ind w:right="202"/>
              <w:spacing w:after="0" w:line="135" w:lineRule="exact"/>
              <w:rPr>
                <w:sz w:val="20"/>
                <w:szCs w:val="20"/>
                <w:color w:val="auto"/>
              </w:rPr>
            </w:pPr>
            <w:r>
              <w:rPr>
                <w:rFonts w:ascii="Arial" w:cs="Arial" w:eastAsia="Arial" w:hAnsi="Arial"/>
                <w:sz w:val="13"/>
                <w:szCs w:val="13"/>
                <w:color w:val="auto"/>
              </w:rPr>
              <w:t>11.00%</w:t>
            </w:r>
          </w:p>
        </w:tc>
        <w:tc>
          <w:tcPr>
            <w:tcW w:w="8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L+1,000</w:t>
            </w: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w w:val="89"/>
              </w:rPr>
              <w:t>11,000,000</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10,364,874</w:t>
            </w:r>
          </w:p>
        </w:tc>
        <w:tc>
          <w:tcPr>
            <w:tcW w:w="9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10,340,000</w:t>
            </w: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J.A. Cosmetics Holdings, Inc. </w:t>
            </w:r>
            <w:r>
              <w:rPr>
                <w:rFonts w:ascii="Arial" w:cs="Arial" w:eastAsia="Arial" w:hAnsi="Arial"/>
                <w:sz w:val="10"/>
                <w:szCs w:val="10"/>
                <w:color w:val="auto"/>
              </w:rPr>
              <w:t>(8)</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07/31/2019</w:t>
            </w:r>
          </w:p>
        </w:tc>
        <w:tc>
          <w:tcPr>
            <w:tcW w:w="38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7"/>
              </w:rPr>
              <w:t>Consumer Goods: Durable</w:t>
            </w:r>
          </w:p>
        </w:tc>
        <w:tc>
          <w:tcPr>
            <w:tcW w:w="960" w:type="dxa"/>
            <w:vAlign w:val="bottom"/>
            <w:gridSpan w:val="2"/>
            <w:shd w:val="clear" w:color="auto" w:fill="CCEEFF"/>
          </w:tcPr>
          <w:p>
            <w:pPr>
              <w:jc w:val="right"/>
              <w:ind w:right="202"/>
              <w:spacing w:after="0" w:line="135" w:lineRule="exact"/>
              <w:rPr>
                <w:sz w:val="20"/>
                <w:szCs w:val="20"/>
                <w:color w:val="auto"/>
              </w:rPr>
            </w:pPr>
            <w:r>
              <w:rPr>
                <w:rFonts w:ascii="Arial" w:cs="Arial" w:eastAsia="Arial" w:hAnsi="Arial"/>
                <w:sz w:val="13"/>
                <w:szCs w:val="13"/>
                <w:color w:val="auto"/>
              </w:rPr>
              <w:t>11.00%</w:t>
            </w:r>
          </w:p>
        </w:tc>
        <w:tc>
          <w:tcPr>
            <w:tcW w:w="8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L+1,000</w:t>
            </w: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4,000,000</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3,929,352</w:t>
            </w:r>
          </w:p>
        </w:tc>
        <w:tc>
          <w:tcPr>
            <w:tcW w:w="9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3,938,813</w:t>
            </w: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Language Line, LLC</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12/20/2016</w:t>
            </w:r>
          </w:p>
        </w:tc>
        <w:tc>
          <w:tcPr>
            <w:tcW w:w="380" w:type="dxa"/>
            <w:vAlign w:val="bottom"/>
          </w:tcPr>
          <w:p>
            <w:pPr>
              <w:spacing w:after="0"/>
              <w:rPr>
                <w:sz w:val="11"/>
                <w:szCs w:val="11"/>
                <w:color w:val="auto"/>
              </w:rPr>
            </w:pPr>
          </w:p>
        </w:tc>
        <w:tc>
          <w:tcPr>
            <w:tcW w:w="220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6"/>
              </w:rPr>
              <w:t>Consumer Services</w:t>
            </w:r>
          </w:p>
        </w:tc>
        <w:tc>
          <w:tcPr>
            <w:tcW w:w="960" w:type="dxa"/>
            <w:vAlign w:val="bottom"/>
            <w:gridSpan w:val="2"/>
          </w:tcPr>
          <w:p>
            <w:pPr>
              <w:jc w:val="right"/>
              <w:ind w:right="202"/>
              <w:spacing w:after="0" w:line="135" w:lineRule="exact"/>
              <w:rPr>
                <w:sz w:val="20"/>
                <w:szCs w:val="20"/>
                <w:color w:val="auto"/>
              </w:rPr>
            </w:pPr>
            <w:r>
              <w:rPr>
                <w:rFonts w:ascii="Arial" w:cs="Arial" w:eastAsia="Arial" w:hAnsi="Arial"/>
                <w:sz w:val="13"/>
                <w:szCs w:val="13"/>
                <w:color w:val="auto"/>
              </w:rPr>
              <w:t>10.50%</w:t>
            </w:r>
          </w:p>
        </w:tc>
        <w:tc>
          <w:tcPr>
            <w:tcW w:w="8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L+875</w:t>
            </w: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7,100,000</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7,027,544</w:t>
            </w:r>
          </w:p>
        </w:tc>
        <w:tc>
          <w:tcPr>
            <w:tcW w:w="9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6,993,500</w:t>
            </w: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07/07/2021</w:t>
            </w:r>
          </w:p>
        </w:tc>
        <w:tc>
          <w:tcPr>
            <w:tcW w:w="38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4"/>
              </w:rPr>
              <w:t>Business Services</w:t>
            </w:r>
          </w:p>
        </w:tc>
        <w:tc>
          <w:tcPr>
            <w:tcW w:w="960" w:type="dxa"/>
            <w:vAlign w:val="bottom"/>
            <w:gridSpan w:val="2"/>
            <w:shd w:val="clear" w:color="auto" w:fill="CCEEFF"/>
          </w:tcPr>
          <w:p>
            <w:pPr>
              <w:jc w:val="right"/>
              <w:ind w:right="202"/>
              <w:spacing w:after="0" w:line="135" w:lineRule="exact"/>
              <w:rPr>
                <w:sz w:val="20"/>
                <w:szCs w:val="20"/>
                <w:color w:val="auto"/>
              </w:rPr>
            </w:pPr>
            <w:r>
              <w:rPr>
                <w:rFonts w:ascii="Arial" w:cs="Arial" w:eastAsia="Arial" w:hAnsi="Arial"/>
                <w:sz w:val="13"/>
                <w:szCs w:val="13"/>
                <w:color w:val="auto"/>
              </w:rPr>
              <w:t>11.75%</w:t>
            </w:r>
          </w:p>
        </w:tc>
        <w:tc>
          <w:tcPr>
            <w:tcW w:w="8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L+1,050</w:t>
            </w: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89"/>
              </w:rPr>
              <w:t>11,000,000</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10,894,146</w:t>
            </w:r>
          </w:p>
        </w:tc>
        <w:tc>
          <w:tcPr>
            <w:tcW w:w="9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10,340,000</w:t>
            </w: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10/02/2020</w:t>
            </w:r>
          </w:p>
        </w:tc>
        <w:tc>
          <w:tcPr>
            <w:tcW w:w="380" w:type="dxa"/>
            <w:vAlign w:val="bottom"/>
          </w:tcPr>
          <w:p>
            <w:pPr>
              <w:spacing w:after="0"/>
              <w:rPr>
                <w:sz w:val="11"/>
                <w:szCs w:val="11"/>
                <w:color w:val="auto"/>
              </w:rPr>
            </w:pPr>
          </w:p>
        </w:tc>
        <w:tc>
          <w:tcPr>
            <w:tcW w:w="22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960" w:type="dxa"/>
            <w:vAlign w:val="bottom"/>
            <w:gridSpan w:val="2"/>
          </w:tcPr>
          <w:p>
            <w:pPr>
              <w:jc w:val="right"/>
              <w:ind w:right="202"/>
              <w:spacing w:after="0" w:line="135" w:lineRule="exact"/>
              <w:rPr>
                <w:sz w:val="20"/>
                <w:szCs w:val="20"/>
                <w:color w:val="auto"/>
              </w:rPr>
            </w:pPr>
            <w:r>
              <w:rPr>
                <w:rFonts w:ascii="Arial" w:cs="Arial" w:eastAsia="Arial" w:hAnsi="Arial"/>
                <w:sz w:val="13"/>
                <w:szCs w:val="13"/>
                <w:color w:val="auto"/>
              </w:rPr>
              <w:t>9.00%</w:t>
            </w:r>
          </w:p>
        </w:tc>
        <w:tc>
          <w:tcPr>
            <w:tcW w:w="8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L+775</w:t>
            </w: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5,600,000</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5,528,912</w:t>
            </w:r>
          </w:p>
        </w:tc>
        <w:tc>
          <w:tcPr>
            <w:tcW w:w="9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5,530,000</w:t>
            </w: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08/01/2017</w:t>
            </w:r>
          </w:p>
        </w:tc>
        <w:tc>
          <w:tcPr>
            <w:tcW w:w="38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8"/>
              </w:rPr>
              <w:t>Energy: Oil and Gas</w:t>
            </w:r>
          </w:p>
        </w:tc>
        <w:tc>
          <w:tcPr>
            <w:tcW w:w="960" w:type="dxa"/>
            <w:vAlign w:val="bottom"/>
            <w:gridSpan w:val="2"/>
            <w:shd w:val="clear" w:color="auto" w:fill="CCEEFF"/>
          </w:tcPr>
          <w:p>
            <w:pPr>
              <w:jc w:val="right"/>
              <w:ind w:right="202"/>
              <w:spacing w:after="0" w:line="135" w:lineRule="exact"/>
              <w:rPr>
                <w:sz w:val="20"/>
                <w:szCs w:val="20"/>
                <w:color w:val="auto"/>
              </w:rPr>
            </w:pPr>
            <w:r>
              <w:rPr>
                <w:rFonts w:ascii="Arial" w:cs="Arial" w:eastAsia="Arial" w:hAnsi="Arial"/>
                <w:sz w:val="13"/>
                <w:szCs w:val="13"/>
                <w:color w:val="auto"/>
              </w:rPr>
              <w:t>10.00%</w:t>
            </w:r>
          </w:p>
        </w:tc>
        <w:tc>
          <w:tcPr>
            <w:tcW w:w="8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2,812,500</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2,656,974</w:t>
            </w:r>
          </w:p>
        </w:tc>
        <w:tc>
          <w:tcPr>
            <w:tcW w:w="9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2,531,250</w:t>
            </w: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46,577,094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45,433,634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Subordinated Debt/Corporate Notes—3.1% </w:t>
            </w:r>
            <w:r>
              <w:rPr>
                <w:rFonts w:ascii="Arial" w:cs="Arial" w:eastAsia="Arial" w:hAnsi="Arial"/>
                <w:sz w:val="10"/>
                <w:szCs w:val="10"/>
                <w:b w:val="1"/>
                <w:bCs w:val="1"/>
                <w:color w:val="auto"/>
              </w:rPr>
              <w:t>(8)</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540" w:type="dxa"/>
            <w:vAlign w:val="bottom"/>
            <w:gridSpan w:val="2"/>
          </w:tcPr>
          <w:p>
            <w:pPr>
              <w:spacing w:after="0" w:line="121" w:lineRule="exact"/>
              <w:rPr>
                <w:sz w:val="20"/>
                <w:szCs w:val="20"/>
                <w:color w:val="auto"/>
              </w:rPr>
            </w:pPr>
            <w:r>
              <w:rPr>
                <w:rFonts w:ascii="Arial" w:cs="Arial" w:eastAsia="Arial" w:hAnsi="Arial"/>
                <w:sz w:val="13"/>
                <w:szCs w:val="13"/>
                <w:color w:val="auto"/>
              </w:rPr>
              <w:t>Affinion Group Holdings, Inc.</w:t>
            </w:r>
          </w:p>
        </w:tc>
        <w:tc>
          <w:tcPr>
            <w:tcW w:w="620" w:type="dxa"/>
            <w:vAlign w:val="bottom"/>
          </w:tcPr>
          <w:p>
            <w:pPr>
              <w:jc w:val="right"/>
              <w:spacing w:after="0" w:line="121" w:lineRule="exact"/>
              <w:rPr>
                <w:sz w:val="20"/>
                <w:szCs w:val="20"/>
                <w:color w:val="auto"/>
              </w:rPr>
            </w:pPr>
            <w:r>
              <w:rPr>
                <w:rFonts w:ascii="Arial" w:cs="Arial" w:eastAsia="Arial" w:hAnsi="Arial"/>
                <w:sz w:val="13"/>
                <w:szCs w:val="13"/>
                <w:color w:val="auto"/>
                <w:w w:val="92"/>
              </w:rPr>
              <w:t>09/14/2018</w:t>
            </w:r>
          </w:p>
        </w:tc>
        <w:tc>
          <w:tcPr>
            <w:tcW w:w="380" w:type="dxa"/>
            <w:vAlign w:val="bottom"/>
          </w:tcPr>
          <w:p>
            <w:pPr>
              <w:spacing w:after="0"/>
              <w:rPr>
                <w:sz w:val="10"/>
                <w:szCs w:val="10"/>
                <w:color w:val="auto"/>
              </w:rPr>
            </w:pPr>
          </w:p>
        </w:tc>
        <w:tc>
          <w:tcPr>
            <w:tcW w:w="2200" w:type="dxa"/>
            <w:vAlign w:val="bottom"/>
            <w:gridSpan w:val="2"/>
          </w:tcPr>
          <w:p>
            <w:pPr>
              <w:jc w:val="center"/>
              <w:ind w:right="240"/>
              <w:spacing w:after="0" w:line="121" w:lineRule="exact"/>
              <w:rPr>
                <w:sz w:val="20"/>
                <w:szCs w:val="20"/>
                <w:color w:val="auto"/>
              </w:rPr>
            </w:pPr>
            <w:r>
              <w:rPr>
                <w:rFonts w:ascii="Arial" w:cs="Arial" w:eastAsia="Arial" w:hAnsi="Arial"/>
                <w:sz w:val="13"/>
                <w:szCs w:val="13"/>
                <w:color w:val="auto"/>
                <w:w w:val="87"/>
              </w:rPr>
              <w:t>Consumer Goods: Durable</w:t>
            </w:r>
          </w:p>
        </w:tc>
        <w:tc>
          <w:tcPr>
            <w:tcW w:w="960" w:type="dxa"/>
            <w:vAlign w:val="bottom"/>
            <w:gridSpan w:val="2"/>
          </w:tcPr>
          <w:p>
            <w:pPr>
              <w:jc w:val="right"/>
              <w:ind w:right="202"/>
              <w:spacing w:after="0" w:line="121" w:lineRule="exact"/>
              <w:rPr>
                <w:sz w:val="20"/>
                <w:szCs w:val="20"/>
                <w:color w:val="auto"/>
              </w:rPr>
            </w:pPr>
            <w:r>
              <w:rPr>
                <w:rFonts w:ascii="Arial" w:cs="Arial" w:eastAsia="Arial" w:hAnsi="Arial"/>
                <w:sz w:val="13"/>
                <w:szCs w:val="13"/>
                <w:color w:val="auto"/>
              </w:rPr>
              <w:t>14.50%</w:t>
            </w:r>
          </w:p>
        </w:tc>
        <w:tc>
          <w:tcPr>
            <w:tcW w:w="8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4,161,233</w:t>
            </w:r>
          </w:p>
        </w:tc>
        <w:tc>
          <w:tcPr>
            <w:tcW w:w="8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3,664,069</w:t>
            </w:r>
          </w:p>
        </w:tc>
        <w:tc>
          <w:tcPr>
            <w:tcW w:w="92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3,370,599</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162"/>
              <w:spacing w:after="0"/>
              <w:rPr>
                <w:sz w:val="20"/>
                <w:szCs w:val="20"/>
                <w:color w:val="auto"/>
              </w:rPr>
            </w:pPr>
            <w:r>
              <w:rPr>
                <w:rFonts w:ascii="Arial" w:cs="Arial" w:eastAsia="Arial" w:hAnsi="Arial"/>
                <w:sz w:val="13"/>
                <w:szCs w:val="13"/>
                <w:color w:val="auto"/>
                <w:w w:val="93"/>
              </w:rPr>
              <w:t>(PIK 14.50%)</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5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Affinion Investments LLC</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2"/>
              </w:rPr>
              <w:t>08/15/2018</w:t>
            </w:r>
          </w:p>
        </w:tc>
        <w:tc>
          <w:tcPr>
            <w:tcW w:w="38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240"/>
              <w:spacing w:after="0" w:line="136" w:lineRule="exact"/>
              <w:rPr>
                <w:sz w:val="20"/>
                <w:szCs w:val="20"/>
                <w:color w:val="auto"/>
              </w:rPr>
            </w:pPr>
            <w:r>
              <w:rPr>
                <w:rFonts w:ascii="Arial" w:cs="Arial" w:eastAsia="Arial" w:hAnsi="Arial"/>
                <w:sz w:val="13"/>
                <w:szCs w:val="13"/>
                <w:color w:val="auto"/>
                <w:w w:val="87"/>
              </w:rPr>
              <w:t>Consumer Goods: Durable</w:t>
            </w:r>
          </w:p>
        </w:tc>
        <w:tc>
          <w:tcPr>
            <w:tcW w:w="960" w:type="dxa"/>
            <w:vAlign w:val="bottom"/>
            <w:gridSpan w:val="2"/>
            <w:shd w:val="clear" w:color="auto" w:fill="CCEEFF"/>
          </w:tcPr>
          <w:p>
            <w:pPr>
              <w:jc w:val="right"/>
              <w:ind w:right="202"/>
              <w:spacing w:after="0" w:line="136" w:lineRule="exact"/>
              <w:rPr>
                <w:sz w:val="20"/>
                <w:szCs w:val="20"/>
                <w:color w:val="auto"/>
              </w:rPr>
            </w:pPr>
            <w:r>
              <w:rPr>
                <w:rFonts w:ascii="Arial" w:cs="Arial" w:eastAsia="Arial" w:hAnsi="Arial"/>
                <w:sz w:val="13"/>
                <w:szCs w:val="13"/>
                <w:color w:val="auto"/>
              </w:rPr>
              <w:t>13.50%</w:t>
            </w:r>
          </w:p>
        </w:tc>
        <w:tc>
          <w:tcPr>
            <w:tcW w:w="84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3"/>
                <w:szCs w:val="13"/>
                <w:color w:val="auto"/>
              </w:rPr>
              <w:t>1,734,000</w:t>
            </w:r>
          </w:p>
        </w:tc>
        <w:tc>
          <w:tcPr>
            <w:tcW w:w="8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1,734,000</w:t>
            </w:r>
          </w:p>
        </w:tc>
        <w:tc>
          <w:tcPr>
            <w:tcW w:w="92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1,300,500</w:t>
            </w:r>
          </w:p>
        </w:tc>
        <w:tc>
          <w:tcPr>
            <w:tcW w:w="0" w:type="dxa"/>
            <w:vAlign w:val="bottom"/>
          </w:tcPr>
          <w:p>
            <w:pPr>
              <w:spacing w:after="0"/>
              <w:rPr>
                <w:sz w:val="1"/>
                <w:szCs w:val="1"/>
                <w:color w:val="auto"/>
              </w:rPr>
            </w:pPr>
          </w:p>
        </w:tc>
      </w:tr>
      <w:tr>
        <w:trPr>
          <w:trHeight w:val="121"/>
        </w:trPr>
        <w:tc>
          <w:tcPr>
            <w:tcW w:w="3540" w:type="dxa"/>
            <w:vAlign w:val="bottom"/>
            <w:gridSpan w:val="2"/>
          </w:tcPr>
          <w:p>
            <w:pPr>
              <w:spacing w:after="0" w:line="121" w:lineRule="exact"/>
              <w:rPr>
                <w:sz w:val="20"/>
                <w:szCs w:val="20"/>
                <w:color w:val="auto"/>
              </w:rPr>
            </w:pPr>
            <w:r>
              <w:rPr>
                <w:rFonts w:ascii="Arial" w:cs="Arial" w:eastAsia="Arial" w:hAnsi="Arial"/>
                <w:sz w:val="13"/>
                <w:szCs w:val="13"/>
                <w:color w:val="auto"/>
              </w:rPr>
              <w:t>Credit Infonet, Inc.</w:t>
            </w:r>
          </w:p>
        </w:tc>
        <w:tc>
          <w:tcPr>
            <w:tcW w:w="620" w:type="dxa"/>
            <w:vAlign w:val="bottom"/>
          </w:tcPr>
          <w:p>
            <w:pPr>
              <w:jc w:val="right"/>
              <w:spacing w:after="0" w:line="121" w:lineRule="exact"/>
              <w:rPr>
                <w:sz w:val="20"/>
                <w:szCs w:val="20"/>
                <w:color w:val="auto"/>
              </w:rPr>
            </w:pPr>
            <w:r>
              <w:rPr>
                <w:rFonts w:ascii="Arial" w:cs="Arial" w:eastAsia="Arial" w:hAnsi="Arial"/>
                <w:sz w:val="13"/>
                <w:szCs w:val="13"/>
                <w:color w:val="auto"/>
                <w:w w:val="92"/>
              </w:rPr>
              <w:t>10/26/2018</w:t>
            </w:r>
          </w:p>
        </w:tc>
        <w:tc>
          <w:tcPr>
            <w:tcW w:w="380" w:type="dxa"/>
            <w:vAlign w:val="bottom"/>
          </w:tcPr>
          <w:p>
            <w:pPr>
              <w:spacing w:after="0"/>
              <w:rPr>
                <w:sz w:val="10"/>
                <w:szCs w:val="10"/>
                <w:color w:val="auto"/>
              </w:rPr>
            </w:pPr>
          </w:p>
        </w:tc>
        <w:tc>
          <w:tcPr>
            <w:tcW w:w="2200" w:type="dxa"/>
            <w:vAlign w:val="bottom"/>
            <w:gridSpan w:val="2"/>
          </w:tcPr>
          <w:p>
            <w:pPr>
              <w:jc w:val="center"/>
              <w:ind w:right="260"/>
              <w:spacing w:after="0" w:line="121" w:lineRule="exact"/>
              <w:rPr>
                <w:sz w:val="20"/>
                <w:szCs w:val="20"/>
                <w:color w:val="auto"/>
              </w:rPr>
            </w:pPr>
            <w:r>
              <w:rPr>
                <w:rFonts w:ascii="Arial" w:cs="Arial" w:eastAsia="Arial" w:hAnsi="Arial"/>
                <w:sz w:val="13"/>
                <w:szCs w:val="13"/>
                <w:color w:val="auto"/>
                <w:w w:val="88"/>
              </w:rPr>
              <w:t>High Tech Industries</w:t>
            </w:r>
          </w:p>
        </w:tc>
        <w:tc>
          <w:tcPr>
            <w:tcW w:w="960" w:type="dxa"/>
            <w:vAlign w:val="bottom"/>
            <w:gridSpan w:val="2"/>
          </w:tcPr>
          <w:p>
            <w:pPr>
              <w:jc w:val="right"/>
              <w:ind w:right="202"/>
              <w:spacing w:after="0" w:line="121" w:lineRule="exact"/>
              <w:rPr>
                <w:sz w:val="20"/>
                <w:szCs w:val="20"/>
                <w:color w:val="auto"/>
              </w:rPr>
            </w:pPr>
            <w:r>
              <w:rPr>
                <w:rFonts w:ascii="Arial" w:cs="Arial" w:eastAsia="Arial" w:hAnsi="Arial"/>
                <w:sz w:val="13"/>
                <w:szCs w:val="13"/>
                <w:color w:val="auto"/>
              </w:rPr>
              <w:t>12.50%</w:t>
            </w:r>
          </w:p>
        </w:tc>
        <w:tc>
          <w:tcPr>
            <w:tcW w:w="8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2,000,044</w:t>
            </w:r>
          </w:p>
        </w:tc>
        <w:tc>
          <w:tcPr>
            <w:tcW w:w="8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1,969,852</w:t>
            </w:r>
          </w:p>
        </w:tc>
        <w:tc>
          <w:tcPr>
            <w:tcW w:w="92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1,882,084</w:t>
            </w:r>
          </w:p>
        </w:tc>
        <w:tc>
          <w:tcPr>
            <w:tcW w:w="0" w:type="dxa"/>
            <w:vAlign w:val="bottom"/>
          </w:tcPr>
          <w:p>
            <w:pPr>
              <w:spacing w:after="0"/>
              <w:rPr>
                <w:sz w:val="1"/>
                <w:szCs w:val="1"/>
                <w:color w:val="auto"/>
              </w:rPr>
            </w:pPr>
          </w:p>
        </w:tc>
      </w:tr>
      <w:tr>
        <w:trPr>
          <w:trHeight w:val="170"/>
        </w:trPr>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color w:val="auto"/>
              </w:rPr>
              <w:t>(PIK 1.25%)</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 Corporate Notes</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7,367,921</w:t>
            </w:r>
          </w:p>
        </w:tc>
        <w:tc>
          <w:tcPr>
            <w:tcW w:w="9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6,553,183</w:t>
            </w:r>
          </w:p>
        </w:tc>
        <w:tc>
          <w:tcPr>
            <w:tcW w:w="0" w:type="dxa"/>
            <w:vAlign w:val="bottom"/>
          </w:tcPr>
          <w:p>
            <w:pPr>
              <w:spacing w:after="0"/>
              <w:rPr>
                <w:sz w:val="1"/>
                <w:szCs w:val="1"/>
                <w:color w:val="auto"/>
              </w:rPr>
            </w:pPr>
          </w:p>
        </w:tc>
      </w:tr>
      <w:tr>
        <w:trPr>
          <w:trHeight w:val="142"/>
        </w:trPr>
        <w:tc>
          <w:tcPr>
            <w:tcW w:w="35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Preferred Equity—0.2% </w:t>
            </w:r>
            <w:r>
              <w:rPr>
                <w:rFonts w:ascii="Arial" w:cs="Arial" w:eastAsia="Arial" w:hAnsi="Arial"/>
                <w:sz w:val="10"/>
                <w:szCs w:val="10"/>
                <w:b w:val="1"/>
                <w:bCs w:val="1"/>
                <w:color w:val="auto"/>
              </w:rPr>
              <w:t>(7), (8)</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J.A. Cosmetics US, Inc.</w:t>
            </w:r>
          </w:p>
        </w:tc>
        <w:tc>
          <w:tcPr>
            <w:tcW w:w="1000" w:type="dxa"/>
            <w:vAlign w:val="bottom"/>
            <w:gridSpan w:val="2"/>
            <w:shd w:val="clear" w:color="auto" w:fill="CCEEFF"/>
          </w:tcPr>
          <w:p>
            <w:pPr>
              <w:jc w:val="right"/>
              <w:ind w:right="600"/>
              <w:spacing w:after="0" w:line="121" w:lineRule="exact"/>
              <w:rPr>
                <w:sz w:val="20"/>
                <w:szCs w:val="20"/>
                <w:color w:val="auto"/>
              </w:rPr>
            </w:pPr>
            <w:r>
              <w:rPr>
                <w:rFonts w:ascii="Arial" w:cs="Arial" w:eastAsia="Arial" w:hAnsi="Arial"/>
                <w:sz w:val="13"/>
                <w:szCs w:val="13"/>
                <w:color w:val="auto"/>
              </w:rPr>
              <w:t>—</w:t>
            </w:r>
          </w:p>
        </w:tc>
        <w:tc>
          <w:tcPr>
            <w:tcW w:w="2200" w:type="dxa"/>
            <w:vAlign w:val="bottom"/>
            <w:gridSpan w:val="2"/>
            <w:shd w:val="clear" w:color="auto" w:fill="CCEEFF"/>
          </w:tcPr>
          <w:p>
            <w:pPr>
              <w:jc w:val="center"/>
              <w:ind w:right="240"/>
              <w:spacing w:after="0" w:line="121" w:lineRule="exact"/>
              <w:rPr>
                <w:sz w:val="20"/>
                <w:szCs w:val="20"/>
                <w:color w:val="auto"/>
              </w:rPr>
            </w:pPr>
            <w:r>
              <w:rPr>
                <w:rFonts w:ascii="Arial" w:cs="Arial" w:eastAsia="Arial" w:hAnsi="Arial"/>
                <w:sz w:val="13"/>
                <w:szCs w:val="13"/>
                <w:color w:val="auto"/>
                <w:w w:val="87"/>
              </w:rPr>
              <w:t>Consumer Goods: Durable</w:t>
            </w:r>
          </w:p>
        </w:tc>
        <w:tc>
          <w:tcPr>
            <w:tcW w:w="960" w:type="dxa"/>
            <w:vAlign w:val="bottom"/>
            <w:gridSpan w:val="2"/>
            <w:shd w:val="clear" w:color="auto" w:fill="CCEEFF"/>
          </w:tcPr>
          <w:p>
            <w:pPr>
              <w:jc w:val="right"/>
              <w:ind w:right="202"/>
              <w:spacing w:after="0" w:line="121" w:lineRule="exact"/>
              <w:rPr>
                <w:sz w:val="20"/>
                <w:szCs w:val="20"/>
                <w:color w:val="auto"/>
              </w:rPr>
            </w:pPr>
            <w:r>
              <w:rPr>
                <w:rFonts w:ascii="Arial" w:cs="Arial" w:eastAsia="Arial" w:hAnsi="Arial"/>
                <w:sz w:val="13"/>
                <w:szCs w:val="13"/>
                <w:color w:val="auto"/>
              </w:rPr>
              <w:t>8.00%</w:t>
            </w:r>
          </w:p>
        </w:tc>
        <w:tc>
          <w:tcPr>
            <w:tcW w:w="8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400</w:t>
            </w:r>
          </w:p>
        </w:tc>
        <w:tc>
          <w:tcPr>
            <w:tcW w:w="8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399,704</w:t>
            </w:r>
          </w:p>
        </w:tc>
        <w:tc>
          <w:tcPr>
            <w:tcW w:w="92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421,665</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(J.A. Cosmetics Holdings, Inc.)</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Common Equity/Warrants—1.0% </w:t>
            </w:r>
            <w:r>
              <w:rPr>
                <w:rFonts w:ascii="Arial" w:cs="Arial" w:eastAsia="Arial" w:hAnsi="Arial"/>
                <w:sz w:val="10"/>
                <w:szCs w:val="10"/>
                <w:b w:val="1"/>
                <w:bCs w:val="1"/>
                <w:color w:val="auto"/>
              </w:rPr>
              <w:t>(7), (8)</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Affinion Group Holdings, Inc., Series A</w:t>
            </w:r>
          </w:p>
        </w:tc>
        <w:tc>
          <w:tcPr>
            <w:tcW w:w="100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w w:val="92"/>
              </w:rPr>
              <w:t>12/12/2023</w:t>
            </w:r>
          </w:p>
        </w:tc>
        <w:tc>
          <w:tcPr>
            <w:tcW w:w="2200" w:type="dxa"/>
            <w:vAlign w:val="bottom"/>
            <w:gridSpan w:val="2"/>
            <w:shd w:val="clear" w:color="auto" w:fill="CCEEFF"/>
          </w:tcPr>
          <w:p>
            <w:pPr>
              <w:jc w:val="center"/>
              <w:ind w:right="240"/>
              <w:spacing w:after="0" w:line="121" w:lineRule="exact"/>
              <w:rPr>
                <w:sz w:val="20"/>
                <w:szCs w:val="20"/>
                <w:color w:val="auto"/>
              </w:rPr>
            </w:pPr>
            <w:r>
              <w:rPr>
                <w:rFonts w:ascii="Arial" w:cs="Arial" w:eastAsia="Arial" w:hAnsi="Arial"/>
                <w:sz w:val="13"/>
                <w:szCs w:val="13"/>
                <w:color w:val="auto"/>
                <w:w w:val="87"/>
              </w:rPr>
              <w:t>Consumer Goods: Durable</w:t>
            </w:r>
          </w:p>
        </w:tc>
        <w:tc>
          <w:tcPr>
            <w:tcW w:w="960" w:type="dxa"/>
            <w:vAlign w:val="bottom"/>
            <w:gridSpan w:val="2"/>
            <w:shd w:val="clear" w:color="auto" w:fill="CCEEFF"/>
          </w:tcPr>
          <w:p>
            <w:pPr>
              <w:jc w:val="right"/>
              <w:ind w:right="302"/>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554,715</w:t>
            </w:r>
          </w:p>
        </w:tc>
        <w:tc>
          <w:tcPr>
            <w:tcW w:w="8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1,186,649</w:t>
            </w:r>
          </w:p>
        </w:tc>
        <w:tc>
          <w:tcPr>
            <w:tcW w:w="92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1,000,296</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(Warrants)</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40" w:type="dxa"/>
            <w:vAlign w:val="bottom"/>
            <w:gridSpan w:val="2"/>
          </w:tcPr>
          <w:p>
            <w:pPr>
              <w:spacing w:after="0" w:line="121" w:lineRule="exact"/>
              <w:rPr>
                <w:sz w:val="20"/>
                <w:szCs w:val="20"/>
                <w:color w:val="auto"/>
              </w:rPr>
            </w:pPr>
            <w:r>
              <w:rPr>
                <w:rFonts w:ascii="Arial" w:cs="Arial" w:eastAsia="Arial" w:hAnsi="Arial"/>
                <w:sz w:val="13"/>
                <w:szCs w:val="13"/>
                <w:color w:val="auto"/>
              </w:rPr>
              <w:t>Affinion Group Holdings, Inc., Series B</w:t>
            </w:r>
          </w:p>
        </w:tc>
        <w:tc>
          <w:tcPr>
            <w:tcW w:w="100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w w:val="92"/>
              </w:rPr>
              <w:t>12/12/2023</w:t>
            </w:r>
          </w:p>
        </w:tc>
        <w:tc>
          <w:tcPr>
            <w:tcW w:w="2200" w:type="dxa"/>
            <w:vAlign w:val="bottom"/>
            <w:gridSpan w:val="2"/>
          </w:tcPr>
          <w:p>
            <w:pPr>
              <w:jc w:val="center"/>
              <w:ind w:right="240"/>
              <w:spacing w:after="0" w:line="121" w:lineRule="exact"/>
              <w:rPr>
                <w:sz w:val="20"/>
                <w:szCs w:val="20"/>
                <w:color w:val="auto"/>
              </w:rPr>
            </w:pPr>
            <w:r>
              <w:rPr>
                <w:rFonts w:ascii="Arial" w:cs="Arial" w:eastAsia="Arial" w:hAnsi="Arial"/>
                <w:sz w:val="13"/>
                <w:szCs w:val="13"/>
                <w:color w:val="auto"/>
                <w:w w:val="87"/>
              </w:rPr>
              <w:t>Consumer Goods: Durable</w:t>
            </w:r>
          </w:p>
        </w:tc>
        <w:tc>
          <w:tcPr>
            <w:tcW w:w="960" w:type="dxa"/>
            <w:vAlign w:val="bottom"/>
            <w:gridSpan w:val="2"/>
          </w:tcPr>
          <w:p>
            <w:pPr>
              <w:jc w:val="right"/>
              <w:ind w:right="302"/>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1,135,743</w:t>
            </w:r>
          </w:p>
        </w:tc>
        <w:tc>
          <w:tcPr>
            <w:tcW w:w="8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6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540" w:type="dxa"/>
            <w:vAlign w:val="bottom"/>
            <w:gridSpan w:val="2"/>
          </w:tcPr>
          <w:p>
            <w:pPr>
              <w:ind w:left="140"/>
              <w:spacing w:after="0"/>
              <w:rPr>
                <w:sz w:val="20"/>
                <w:szCs w:val="20"/>
                <w:color w:val="auto"/>
              </w:rPr>
            </w:pPr>
            <w:r>
              <w:rPr>
                <w:rFonts w:ascii="Arial" w:cs="Arial" w:eastAsia="Arial" w:hAnsi="Arial"/>
                <w:sz w:val="13"/>
                <w:szCs w:val="13"/>
                <w:color w:val="auto"/>
              </w:rPr>
              <w:t>(Warrants)</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J.A. Cosmetics US, Inc.</w:t>
            </w:r>
          </w:p>
        </w:tc>
        <w:tc>
          <w:tcPr>
            <w:tcW w:w="100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2200" w:type="dxa"/>
            <w:vAlign w:val="bottom"/>
            <w:gridSpan w:val="2"/>
            <w:shd w:val="clear" w:color="auto" w:fill="CCEEFF"/>
          </w:tcPr>
          <w:p>
            <w:pPr>
              <w:jc w:val="center"/>
              <w:ind w:right="240"/>
              <w:spacing w:after="0" w:line="121" w:lineRule="exact"/>
              <w:rPr>
                <w:sz w:val="20"/>
                <w:szCs w:val="20"/>
                <w:color w:val="auto"/>
              </w:rPr>
            </w:pPr>
            <w:r>
              <w:rPr>
                <w:rFonts w:ascii="Arial" w:cs="Arial" w:eastAsia="Arial" w:hAnsi="Arial"/>
                <w:sz w:val="13"/>
                <w:szCs w:val="13"/>
                <w:color w:val="auto"/>
                <w:w w:val="87"/>
              </w:rPr>
              <w:t>Consumer Goods: Durable</w:t>
            </w:r>
          </w:p>
        </w:tc>
        <w:tc>
          <w:tcPr>
            <w:tcW w:w="960" w:type="dxa"/>
            <w:vAlign w:val="bottom"/>
            <w:gridSpan w:val="2"/>
            <w:shd w:val="clear" w:color="auto" w:fill="CCEEFF"/>
          </w:tcPr>
          <w:p>
            <w:pPr>
              <w:jc w:val="right"/>
              <w:ind w:right="302"/>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30</w:t>
            </w:r>
          </w:p>
        </w:tc>
        <w:tc>
          <w:tcPr>
            <w:tcW w:w="8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296</w:t>
            </w:r>
          </w:p>
        </w:tc>
        <w:tc>
          <w:tcPr>
            <w:tcW w:w="92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30,874</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(J.A. Cosmetics Holdings, Inc.)</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40" w:type="dxa"/>
            <w:vAlign w:val="bottom"/>
            <w:gridSpan w:val="2"/>
          </w:tcPr>
          <w:p>
            <w:pPr>
              <w:spacing w:after="0" w:line="121" w:lineRule="exact"/>
              <w:rPr>
                <w:sz w:val="20"/>
                <w:szCs w:val="20"/>
                <w:color w:val="auto"/>
              </w:rPr>
            </w:pPr>
            <w:r>
              <w:rPr>
                <w:rFonts w:ascii="Arial" w:cs="Arial" w:eastAsia="Arial" w:hAnsi="Arial"/>
                <w:sz w:val="13"/>
                <w:szCs w:val="13"/>
                <w:color w:val="auto"/>
              </w:rPr>
              <w:t>Patriot National, Inc. (Warrants)</w:t>
            </w:r>
          </w:p>
        </w:tc>
        <w:tc>
          <w:tcPr>
            <w:tcW w:w="100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w w:val="92"/>
              </w:rPr>
              <w:t>11/27/2023</w:t>
            </w:r>
          </w:p>
        </w:tc>
        <w:tc>
          <w:tcPr>
            <w:tcW w:w="2200" w:type="dxa"/>
            <w:vAlign w:val="bottom"/>
            <w:gridSpan w:val="2"/>
          </w:tcPr>
          <w:p>
            <w:pPr>
              <w:jc w:val="center"/>
              <w:ind w:right="240"/>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960" w:type="dxa"/>
            <w:vAlign w:val="bottom"/>
            <w:gridSpan w:val="2"/>
          </w:tcPr>
          <w:p>
            <w:pPr>
              <w:jc w:val="right"/>
              <w:ind w:right="302"/>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7,403</w:t>
            </w:r>
          </w:p>
        </w:tc>
        <w:tc>
          <w:tcPr>
            <w:tcW w:w="8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151,853</w:t>
            </w:r>
          </w:p>
        </w:tc>
        <w:tc>
          <w:tcPr>
            <w:tcW w:w="92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605,336</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3"/>
                <w:szCs w:val="13"/>
                <w:color w:val="auto"/>
                <w:w w:val="86"/>
              </w:rPr>
              <w:t>Estate</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 (Warrants)</w:t>
            </w:r>
          </w:p>
        </w:tc>
        <w:tc>
          <w:tcPr>
            <w:tcW w:w="10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22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7"/>
              </w:rPr>
              <w:t>Telecommunications</w:t>
            </w:r>
          </w:p>
        </w:tc>
        <w:tc>
          <w:tcPr>
            <w:tcW w:w="960" w:type="dxa"/>
            <w:vAlign w:val="bottom"/>
            <w:gridSpan w:val="2"/>
            <w:shd w:val="clear" w:color="auto" w:fill="CCEEFF"/>
          </w:tcPr>
          <w:p>
            <w:pPr>
              <w:jc w:val="right"/>
              <w:ind w:right="302"/>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56,717</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95,285</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3"/>
              </w:rPr>
              <w:t>Basis Point</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Spread</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Issuer Name</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w w:val="90"/>
              </w:rPr>
              <w:t>Current</w:t>
            </w:r>
          </w:p>
        </w:tc>
        <w:tc>
          <w:tcPr>
            <w:tcW w:w="8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Above</w:t>
            </w:r>
          </w:p>
        </w:tc>
        <w:tc>
          <w:tcPr>
            <w:tcW w:w="5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Par /</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360" w:type="dxa"/>
            <w:vAlign w:val="bottom"/>
            <w:gridSpan w:val="2"/>
            <w:vMerge w:val="continue"/>
          </w:tcPr>
          <w:p>
            <w:pPr>
              <w:spacing w:after="0"/>
              <w:rPr>
                <w:sz w:val="11"/>
                <w:szCs w:val="11"/>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Maturity</w:t>
            </w:r>
          </w:p>
        </w:tc>
        <w:tc>
          <w:tcPr>
            <w:tcW w:w="1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Industry</w:t>
            </w:r>
          </w:p>
        </w:tc>
        <w:tc>
          <w:tcPr>
            <w:tcW w:w="6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86"/>
              </w:rPr>
              <w:t>Coupon</w:t>
            </w:r>
          </w:p>
        </w:tc>
        <w:tc>
          <w:tcPr>
            <w:tcW w:w="8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52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Cost</w:t>
            </w:r>
          </w:p>
        </w:tc>
        <w:tc>
          <w:tcPr>
            <w:tcW w:w="140" w:type="dxa"/>
            <w:vAlign w:val="bottom"/>
          </w:tcPr>
          <w:p>
            <w:pPr>
              <w:spacing w:after="0"/>
              <w:rPr>
                <w:sz w:val="11"/>
                <w:szCs w:val="11"/>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14"/>
        </w:trPr>
        <w:tc>
          <w:tcPr>
            <w:tcW w:w="416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Vestcom Parent Holdings, Inc.</w:t>
            </w:r>
          </w:p>
        </w:tc>
        <w:tc>
          <w:tcPr>
            <w:tcW w:w="2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CCEEFF"/>
            </w:tcBorders>
            <w:shd w:val="clear" w:color="auto" w:fill="CCEEFF"/>
          </w:tcPr>
          <w:p>
            <w:pPr>
              <w:spacing w:after="0"/>
              <w:rPr>
                <w:sz w:val="9"/>
                <w:szCs w:val="9"/>
                <w:color w:val="auto"/>
              </w:rPr>
            </w:pPr>
          </w:p>
        </w:tc>
        <w:tc>
          <w:tcPr>
            <w:tcW w:w="168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90"/>
              </w:rPr>
              <w:t>Media: Advertising, Printing and</w:t>
            </w:r>
          </w:p>
        </w:tc>
        <w:tc>
          <w:tcPr>
            <w:tcW w:w="22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ind w:left="400"/>
              <w:spacing w:after="0" w:line="114" w:lineRule="exact"/>
              <w:rPr>
                <w:sz w:val="20"/>
                <w:szCs w:val="20"/>
                <w:color w:val="auto"/>
              </w:rPr>
            </w:pPr>
            <w:r>
              <w:rPr>
                <w:rFonts w:ascii="Arial" w:cs="Arial" w:eastAsia="Arial" w:hAnsi="Arial"/>
                <w:sz w:val="13"/>
                <w:szCs w:val="13"/>
                <w:color w:val="auto"/>
                <w:w w:val="91"/>
              </w:rPr>
              <w:t>—</w:t>
            </w:r>
          </w:p>
        </w:tc>
        <w:tc>
          <w:tcPr>
            <w:tcW w:w="2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ind w:left="40"/>
              <w:spacing w:after="0" w:line="114" w:lineRule="exact"/>
              <w:rPr>
                <w:sz w:val="20"/>
                <w:szCs w:val="20"/>
                <w:color w:val="auto"/>
              </w:rPr>
            </w:pPr>
            <w:r>
              <w:rPr>
                <w:rFonts w:ascii="Arial" w:cs="Arial" w:eastAsia="Arial" w:hAnsi="Arial"/>
                <w:sz w:val="13"/>
                <w:szCs w:val="13"/>
                <w:color w:val="auto"/>
                <w:w w:val="80"/>
              </w:rPr>
              <w:t>15,179</w:t>
            </w:r>
          </w:p>
        </w:tc>
        <w:tc>
          <w:tcPr>
            <w:tcW w:w="1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56,895</w:t>
            </w: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291,174</w:t>
            </w: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89"/>
              </w:rPr>
              <w:t>Publishing</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360" w:type="dxa"/>
            <w:vAlign w:val="bottom"/>
            <w:gridSpan w:val="2"/>
          </w:tcPr>
          <w:p>
            <w:pPr>
              <w:spacing w:after="0" w:line="121" w:lineRule="exact"/>
              <w:rPr>
                <w:sz w:val="20"/>
                <w:szCs w:val="20"/>
                <w:color w:val="auto"/>
              </w:rPr>
            </w:pPr>
            <w:r>
              <w:rPr>
                <w:rFonts w:ascii="Arial" w:cs="Arial" w:eastAsia="Arial" w:hAnsi="Arial"/>
                <w:sz w:val="13"/>
                <w:szCs w:val="13"/>
                <w:color w:val="auto"/>
              </w:rPr>
              <w:t>Z Wireless Holdings, Inc.</w:t>
            </w:r>
          </w:p>
        </w:tc>
        <w:tc>
          <w:tcPr>
            <w:tcW w:w="980" w:type="dxa"/>
            <w:vAlign w:val="bottom"/>
            <w:gridSpan w:val="2"/>
          </w:tcPr>
          <w:p>
            <w:pPr>
              <w:jc w:val="right"/>
              <w:ind w:right="360"/>
              <w:spacing w:after="0" w:line="121" w:lineRule="exact"/>
              <w:rPr>
                <w:sz w:val="20"/>
                <w:szCs w:val="20"/>
                <w:color w:val="auto"/>
              </w:rPr>
            </w:pPr>
            <w:r>
              <w:rPr>
                <w:rFonts w:ascii="Arial" w:cs="Arial" w:eastAsia="Arial" w:hAnsi="Arial"/>
                <w:sz w:val="13"/>
                <w:szCs w:val="13"/>
                <w:color w:val="auto"/>
                <w:w w:val="92"/>
              </w:rPr>
              <w:t>10/21/2021</w:t>
            </w:r>
          </w:p>
        </w:tc>
        <w:tc>
          <w:tcPr>
            <w:tcW w:w="190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90"/>
              </w:rPr>
              <w:t>Retail</w:t>
            </w:r>
          </w:p>
        </w:tc>
        <w:tc>
          <w:tcPr>
            <w:tcW w:w="66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w:t>
            </w:r>
          </w:p>
        </w:tc>
        <w:tc>
          <w:tcPr>
            <w:tcW w:w="820" w:type="dxa"/>
            <w:vAlign w:val="bottom"/>
            <w:gridSpan w:val="2"/>
          </w:tcPr>
          <w:p>
            <w:pPr>
              <w:ind w:left="400"/>
              <w:spacing w:after="0" w:line="121"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463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45,019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246,511</w:t>
            </w:r>
          </w:p>
        </w:tc>
        <w:tc>
          <w:tcPr>
            <w:tcW w:w="0" w:type="dxa"/>
            <w:vAlign w:val="bottom"/>
          </w:tcPr>
          <w:p>
            <w:pPr>
              <w:spacing w:after="0"/>
              <w:rPr>
                <w:sz w:val="1"/>
                <w:szCs w:val="1"/>
                <w:color w:val="auto"/>
              </w:rPr>
            </w:pPr>
          </w:p>
        </w:tc>
      </w:tr>
      <w:tr>
        <w:trPr>
          <w:trHeight w:val="156"/>
        </w:trPr>
        <w:tc>
          <w:tcPr>
            <w:tcW w:w="4360" w:type="dxa"/>
            <w:vAlign w:val="bottom"/>
            <w:gridSpan w:val="2"/>
          </w:tcPr>
          <w:p>
            <w:pPr>
              <w:ind w:left="140"/>
              <w:spacing w:after="0"/>
              <w:rPr>
                <w:sz w:val="20"/>
                <w:szCs w:val="20"/>
                <w:color w:val="auto"/>
              </w:rPr>
            </w:pPr>
            <w:r>
              <w:rPr>
                <w:rFonts w:ascii="Arial" w:cs="Arial" w:eastAsia="Arial" w:hAnsi="Arial"/>
                <w:sz w:val="13"/>
                <w:szCs w:val="13"/>
                <w:color w:val="auto"/>
              </w:rPr>
              <w:t>(AKA Diversified Holdings, Inc.) (Warrants)</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Equity/Warrants</w:t>
            </w: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1,535,997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2,174,191</w:t>
            </w:r>
          </w:p>
        </w:tc>
        <w:tc>
          <w:tcPr>
            <w:tcW w:w="0" w:type="dxa"/>
            <w:vAlign w:val="bottom"/>
          </w:tcPr>
          <w:p>
            <w:pPr>
              <w:spacing w:after="0"/>
              <w:rPr>
                <w:sz w:val="1"/>
                <w:szCs w:val="1"/>
                <w:color w:val="auto"/>
              </w:rPr>
            </w:pPr>
          </w:p>
        </w:tc>
      </w:tr>
      <w:tr>
        <w:trPr>
          <w:trHeight w:val="142"/>
        </w:trPr>
        <w:tc>
          <w:tcPr>
            <w:tcW w:w="43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97"/>
              </w:rPr>
              <w:t>Total Investments in Non-Controlled, Non-Affiliated Portfolio Companies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348,017,575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343,194,642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Equivalents—4.9%</w:t>
            </w: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gridSpan w:val="2"/>
          </w:tcPr>
          <w:p>
            <w:pPr>
              <w:spacing w:after="0" w:line="135" w:lineRule="exact"/>
              <w:rPr>
                <w:sz w:val="20"/>
                <w:szCs w:val="20"/>
                <w:color w:val="auto"/>
              </w:rPr>
            </w:pPr>
            <w:r>
              <w:rPr>
                <w:rFonts w:ascii="Arial" w:cs="Arial" w:eastAsia="Arial" w:hAnsi="Arial"/>
                <w:sz w:val="13"/>
                <w:szCs w:val="13"/>
                <w:color w:val="auto"/>
                <w:w w:val="98"/>
              </w:rPr>
              <w:t>BlackRock Liquidity Funds, Temp Cash and Temp Fund, Institutional Shares</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10,385,490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10,385,490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Equivalents—167.6%</w:t>
            </w: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5"/>
              </w:rPr>
              <w:t>358,403,065</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1"/>
              </w:rPr>
              <w:t>353,580,132</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Assets—(67.6)%</w:t>
            </w: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6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w w:val="81"/>
              </w:rPr>
              <w:t>(142,636,695)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1"/>
              </w:rPr>
              <w:t>210,943,437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102870</wp:posOffset>
            </wp:positionV>
            <wp:extent cx="12858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55" w:lineRule="exact"/>
        <w:rPr>
          <w:sz w:val="20"/>
          <w:szCs w:val="20"/>
          <w:color w:val="auto"/>
        </w:rPr>
      </w:pPr>
    </w:p>
    <w:p>
      <w:pPr>
        <w:ind w:left="360" w:right="140" w:hanging="352"/>
        <w:spacing w:after="0" w:line="273" w:lineRule="auto"/>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spacing w:after="0" w:line="37" w:lineRule="exact"/>
        <w:rPr>
          <w:rFonts w:ascii="Arial" w:cs="Arial" w:eastAsia="Arial" w:hAnsi="Arial"/>
          <w:sz w:val="12"/>
          <w:szCs w:val="12"/>
          <w:color w:val="auto"/>
        </w:rPr>
      </w:pPr>
    </w:p>
    <w:p>
      <w:pPr>
        <w:ind w:left="360" w:hanging="352"/>
        <w:spacing w:after="0"/>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spacing w:after="0" w:line="66" w:lineRule="exact"/>
        <w:rPr>
          <w:rFonts w:ascii="Arial" w:cs="Arial" w:eastAsia="Arial" w:hAnsi="Arial"/>
          <w:sz w:val="13"/>
          <w:szCs w:val="13"/>
          <w:color w:val="auto"/>
        </w:rPr>
      </w:pPr>
    </w:p>
    <w:p>
      <w:pPr>
        <w:ind w:left="360" w:right="160" w:hanging="352"/>
        <w:spacing w:after="0" w:line="236" w:lineRule="auto"/>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56" w:lineRule="exact"/>
        <w:rPr>
          <w:rFonts w:ascii="Arial" w:cs="Arial" w:eastAsia="Arial" w:hAnsi="Arial"/>
          <w:sz w:val="13"/>
          <w:szCs w:val="13"/>
          <w:color w:val="auto"/>
        </w:rPr>
      </w:pPr>
    </w:p>
    <w:p>
      <w:pPr>
        <w:ind w:left="360" w:right="160" w:hanging="352"/>
        <w:spacing w:after="0" w:line="236" w:lineRule="auto"/>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spacing w:after="0" w:line="56" w:lineRule="exact"/>
        <w:rPr>
          <w:rFonts w:ascii="Arial" w:cs="Arial" w:eastAsia="Arial" w:hAnsi="Arial"/>
          <w:sz w:val="13"/>
          <w:szCs w:val="13"/>
          <w:color w:val="auto"/>
        </w:rPr>
      </w:pPr>
    </w:p>
    <w:p>
      <w:pPr>
        <w:ind w:left="360" w:right="180" w:hanging="352"/>
        <w:spacing w:after="0" w:line="236" w:lineRule="auto"/>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56" w:lineRule="exact"/>
        <w:rPr>
          <w:rFonts w:ascii="Arial" w:cs="Arial" w:eastAsia="Arial" w:hAnsi="Arial"/>
          <w:sz w:val="13"/>
          <w:szCs w:val="13"/>
          <w:color w:val="auto"/>
        </w:rPr>
      </w:pPr>
    </w:p>
    <w:p>
      <w:pPr>
        <w:ind w:left="360" w:hanging="352"/>
        <w:spacing w:after="0"/>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spacing w:after="0" w:line="66" w:lineRule="exact"/>
        <w:rPr>
          <w:rFonts w:ascii="Arial" w:cs="Arial" w:eastAsia="Arial" w:hAnsi="Arial"/>
          <w:sz w:val="13"/>
          <w:szCs w:val="13"/>
          <w:color w:val="auto"/>
        </w:rPr>
      </w:pPr>
    </w:p>
    <w:p>
      <w:pPr>
        <w:ind w:left="360" w:hanging="352"/>
        <w:spacing w:after="0"/>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spacing w:after="0" w:line="66" w:lineRule="exact"/>
        <w:rPr>
          <w:rFonts w:ascii="Arial" w:cs="Arial" w:eastAsia="Arial" w:hAnsi="Arial"/>
          <w:sz w:val="13"/>
          <w:szCs w:val="13"/>
          <w:color w:val="auto"/>
        </w:rPr>
      </w:pPr>
    </w:p>
    <w:p>
      <w:pPr>
        <w:ind w:left="360" w:hanging="352"/>
        <w:spacing w:after="0"/>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spacing w:after="0" w:line="66" w:lineRule="exact"/>
        <w:rPr>
          <w:rFonts w:ascii="Arial" w:cs="Arial" w:eastAsia="Arial" w:hAnsi="Arial"/>
          <w:sz w:val="13"/>
          <w:szCs w:val="13"/>
          <w:color w:val="auto"/>
        </w:rPr>
      </w:pPr>
    </w:p>
    <w:p>
      <w:pPr>
        <w:ind w:left="360" w:hanging="352"/>
        <w:spacing w:after="0"/>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66" w:lineRule="exact"/>
        <w:rPr>
          <w:rFonts w:ascii="Arial" w:cs="Arial" w:eastAsia="Arial" w:hAnsi="Arial"/>
          <w:sz w:val="13"/>
          <w:szCs w:val="13"/>
          <w:color w:val="auto"/>
        </w:rPr>
      </w:pPr>
    </w:p>
    <w:p>
      <w:pPr>
        <w:ind w:left="360" w:hanging="352"/>
        <w:spacing w:after="0"/>
        <w:tabs>
          <w:tab w:leader="none" w:pos="360" w:val="left"/>
        </w:tabs>
        <w:numPr>
          <w:ilvl w:val="0"/>
          <w:numId w:val="3"/>
        </w:numPr>
        <w:rPr>
          <w:rFonts w:ascii="Arial" w:cs="Arial" w:eastAsia="Arial" w:hAnsi="Arial"/>
          <w:sz w:val="10"/>
          <w:szCs w:val="10"/>
          <w:color w:val="auto"/>
        </w:rPr>
      </w:pPr>
      <w:r>
        <w:rPr>
          <w:rFonts w:ascii="Arial" w:cs="Arial" w:eastAsia="Arial" w:hAnsi="Arial"/>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01" w:lineRule="exact"/>
        <w:rPr>
          <w:rFonts w:ascii="Arial" w:cs="Arial" w:eastAsia="Arial" w:hAnsi="Arial"/>
          <w:sz w:val="10"/>
          <w:szCs w:val="10"/>
          <w:color w:val="auto"/>
        </w:rPr>
      </w:pPr>
    </w:p>
    <w:p>
      <w:pPr>
        <w:ind w:left="360" w:right="80" w:hanging="352"/>
        <w:spacing w:after="0" w:line="236" w:lineRule="auto"/>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b w:val="1"/>
                <w:bCs w:val="1"/>
                <w:color w:val="auto"/>
                <w:w w:val="81"/>
              </w:rPr>
              <w:t>Basis Point</w:t>
            </w: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6"/>
              </w:rPr>
              <w:t>Spread</w:t>
            </w: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4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Current</w:t>
            </w:r>
          </w:p>
        </w:tc>
        <w:tc>
          <w:tcPr>
            <w:tcW w:w="10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5"/>
              </w:rPr>
              <w:t>Above</w:t>
            </w:r>
          </w:p>
        </w:tc>
        <w:tc>
          <w:tcPr>
            <w:tcW w:w="920" w:type="dxa"/>
            <w:vAlign w:val="bottom"/>
          </w:tcPr>
          <w:p>
            <w:pPr>
              <w:jc w:val="right"/>
              <w:ind w:right="317"/>
              <w:spacing w:after="0" w:line="135" w:lineRule="exact"/>
              <w:rPr>
                <w:sz w:val="20"/>
                <w:szCs w:val="20"/>
                <w:color w:val="auto"/>
              </w:rPr>
            </w:pPr>
            <w:r>
              <w:rPr>
                <w:rFonts w:ascii="Arial" w:cs="Arial" w:eastAsia="Arial" w:hAnsi="Arial"/>
                <w:sz w:val="13"/>
                <w:szCs w:val="13"/>
                <w:b w:val="1"/>
                <w:bCs w:val="1"/>
                <w:color w:val="auto"/>
              </w:rPr>
              <w:t>Par /</w:t>
            </w: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80" w:type="dxa"/>
            <w:vAlign w:val="bottom"/>
            <w:tcBorders>
              <w:bottom w:val="single" w:sz="8" w:color="auto"/>
            </w:tcBorders>
            <w:vMerge w:val="continue"/>
          </w:tcPr>
          <w:p>
            <w:pPr>
              <w:spacing w:after="0"/>
              <w:rPr>
                <w:sz w:val="13"/>
                <w:szCs w:val="13"/>
                <w:color w:val="auto"/>
              </w:rPr>
            </w:pPr>
          </w:p>
        </w:tc>
        <w:tc>
          <w:tcPr>
            <w:tcW w:w="1600" w:type="dxa"/>
            <w:vAlign w:val="bottom"/>
            <w:tcBorders>
              <w:bottom w:val="single" w:sz="8" w:color="auto"/>
            </w:tcBorders>
          </w:tcPr>
          <w:p>
            <w:pPr>
              <w:jc w:val="center"/>
              <w:ind w:left="417"/>
              <w:spacing w:after="0"/>
              <w:rPr>
                <w:sz w:val="20"/>
                <w:szCs w:val="20"/>
                <w:color w:val="auto"/>
              </w:rPr>
            </w:pPr>
            <w:r>
              <w:rPr>
                <w:rFonts w:ascii="Arial" w:cs="Arial" w:eastAsia="Arial" w:hAnsi="Arial"/>
                <w:sz w:val="13"/>
                <w:szCs w:val="13"/>
                <w:b w:val="1"/>
                <w:bCs w:val="1"/>
                <w:color w:val="auto"/>
                <w:w w:val="94"/>
              </w:rPr>
              <w:t>Maturity</w:t>
            </w:r>
          </w:p>
        </w:tc>
        <w:tc>
          <w:tcPr>
            <w:tcW w:w="18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Industry</w:t>
            </w: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Coupon</w:t>
            </w: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Shares</w:t>
            </w:r>
          </w:p>
        </w:tc>
        <w:tc>
          <w:tcPr>
            <w:tcW w:w="10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Cost</w:t>
            </w: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48"/>
        </w:trPr>
        <w:tc>
          <w:tcPr>
            <w:tcW w:w="29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458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w w:val="90"/>
              </w:rPr>
              <w:t xml:space="preserve">Investments in Non-Controlled, Non-Affiliated Portfolio Companies—162.4% </w:t>
            </w:r>
            <w:r>
              <w:rPr>
                <w:rFonts w:ascii="Arial" w:cs="Arial" w:eastAsia="Arial" w:hAnsi="Arial"/>
                <w:sz w:val="10"/>
                <w:szCs w:val="10"/>
                <w:b w:val="1"/>
                <w:bCs w:val="1"/>
                <w:color w:val="auto"/>
                <w:w w:val="90"/>
              </w:rPr>
              <w:t>(3), (4)</w:t>
            </w:r>
          </w:p>
        </w:tc>
        <w:tc>
          <w:tcPr>
            <w:tcW w:w="18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Debt—141.0%</w:t>
            </w:r>
          </w:p>
        </w:tc>
        <w:tc>
          <w:tcPr>
            <w:tcW w:w="16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04/02/2018</w:t>
            </w:r>
          </w:p>
        </w:tc>
        <w:tc>
          <w:tcPr>
            <w:tcW w:w="18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0"/>
              </w:rPr>
              <w:t>Retail</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11.92%</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(9)</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9,060,104</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$ 8,865,835</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   9,167,028</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w:t>
            </w:r>
            <w:r>
              <w:rPr>
                <w:rFonts w:ascii="Arial" w:cs="Arial" w:eastAsia="Arial" w:hAnsi="Arial"/>
                <w:sz w:val="10"/>
                <w:szCs w:val="10"/>
                <w:color w:val="auto"/>
              </w:rPr>
              <w:t>(10)</w:t>
            </w:r>
          </w:p>
        </w:tc>
        <w:tc>
          <w:tcPr>
            <w:tcW w:w="160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04/02/2018</w:t>
            </w:r>
          </w:p>
        </w:tc>
        <w:tc>
          <w:tcPr>
            <w:tcW w:w="186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90"/>
              </w:rPr>
              <w:t>Retail</w:t>
            </w:r>
          </w:p>
        </w:tc>
        <w:tc>
          <w:tcPr>
            <w:tcW w:w="84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2,000,000</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2,000,000</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2,023,603</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ALG USA Holdings, LLC</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02/28/2019</w:t>
            </w:r>
          </w:p>
        </w:tc>
        <w:tc>
          <w:tcPr>
            <w:tcW w:w="186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7"/>
              </w:rPr>
              <w:t>Hotel, Gaming and Leisure</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7.00%</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7,334,751</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7,289,756</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7,261,403</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Alvogen Pharma US, Inc.</w:t>
            </w:r>
          </w:p>
        </w:tc>
        <w:tc>
          <w:tcPr>
            <w:tcW w:w="160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05/23/2018</w:t>
            </w:r>
          </w:p>
        </w:tc>
        <w:tc>
          <w:tcPr>
            <w:tcW w:w="186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6"/>
              </w:rPr>
              <w:t>Healthcare and Pharmaceuticals</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7.00%</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2,764,276</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2,738,582</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2,781,553</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Ancile Solutions, Inc.</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07/16/2018</w:t>
            </w:r>
          </w:p>
        </w:tc>
        <w:tc>
          <w:tcPr>
            <w:tcW w:w="18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8"/>
              </w:rPr>
              <w:t>High Tech Industries</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6.25%</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4,333,333</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4,299,220</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4,327,917</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160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12/21/2020</w:t>
            </w:r>
          </w:p>
        </w:tc>
        <w:tc>
          <w:tcPr>
            <w:tcW w:w="18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87"/>
              </w:rPr>
              <w:t>Hotel, Gaming and Leisure</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9.25%</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L+825</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1,389,500</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1,351,463</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1,396,447</w:t>
            </w:r>
          </w:p>
        </w:tc>
        <w:tc>
          <w:tcPr>
            <w:tcW w:w="0" w:type="dxa"/>
            <w:vAlign w:val="bottom"/>
          </w:tcPr>
          <w:p>
            <w:pPr>
              <w:spacing w:after="0"/>
              <w:rPr>
                <w:sz w:val="1"/>
                <w:szCs w:val="1"/>
                <w:color w:val="auto"/>
              </w:rPr>
            </w:pPr>
          </w:p>
        </w:tc>
      </w:tr>
      <w:tr>
        <w:trPr>
          <w:trHeight w:val="121"/>
        </w:trPr>
        <w:tc>
          <w:tcPr>
            <w:tcW w:w="2980" w:type="dxa"/>
            <w:vAlign w:val="bottom"/>
          </w:tcPr>
          <w:p>
            <w:pPr>
              <w:spacing w:after="0" w:line="121" w:lineRule="exact"/>
              <w:rPr>
                <w:sz w:val="20"/>
                <w:szCs w:val="20"/>
                <w:color w:val="auto"/>
              </w:rPr>
            </w:pPr>
            <w:r>
              <w:rPr>
                <w:rFonts w:ascii="Arial" w:cs="Arial" w:eastAsia="Arial" w:hAnsi="Arial"/>
                <w:sz w:val="13"/>
                <w:szCs w:val="13"/>
                <w:color w:val="auto"/>
              </w:rPr>
              <w:t>Ascend Learning, LLC</w:t>
            </w:r>
          </w:p>
        </w:tc>
        <w:tc>
          <w:tcPr>
            <w:tcW w:w="1600" w:type="dxa"/>
            <w:vAlign w:val="bottom"/>
          </w:tcPr>
          <w:p>
            <w:pPr>
              <w:jc w:val="center"/>
              <w:ind w:left="437"/>
              <w:spacing w:after="0" w:line="121" w:lineRule="exact"/>
              <w:rPr>
                <w:sz w:val="20"/>
                <w:szCs w:val="20"/>
                <w:color w:val="auto"/>
              </w:rPr>
            </w:pPr>
            <w:r>
              <w:rPr>
                <w:rFonts w:ascii="Arial" w:cs="Arial" w:eastAsia="Arial" w:hAnsi="Arial"/>
                <w:sz w:val="13"/>
                <w:szCs w:val="13"/>
                <w:color w:val="auto"/>
                <w:w w:val="89"/>
              </w:rPr>
              <w:t>07/31/2019</w:t>
            </w:r>
          </w:p>
        </w:tc>
        <w:tc>
          <w:tcPr>
            <w:tcW w:w="186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7"/>
              </w:rPr>
              <w:t>Media: Broadcasting and</w:t>
            </w:r>
          </w:p>
        </w:tc>
        <w:tc>
          <w:tcPr>
            <w:tcW w:w="840" w:type="dxa"/>
            <w:vAlign w:val="bottom"/>
          </w:tcPr>
          <w:p>
            <w:pPr>
              <w:jc w:val="right"/>
              <w:ind w:right="77"/>
              <w:spacing w:after="0" w:line="121" w:lineRule="exact"/>
              <w:rPr>
                <w:sz w:val="20"/>
                <w:szCs w:val="20"/>
                <w:color w:val="auto"/>
              </w:rPr>
            </w:pPr>
            <w:r>
              <w:rPr>
                <w:rFonts w:ascii="Arial" w:cs="Arial" w:eastAsia="Arial" w:hAnsi="Arial"/>
                <w:sz w:val="13"/>
                <w:szCs w:val="13"/>
                <w:color w:val="auto"/>
              </w:rPr>
              <w:t>6.00%</w:t>
            </w:r>
          </w:p>
        </w:tc>
        <w:tc>
          <w:tcPr>
            <w:tcW w:w="100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L+500</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3,476,244</w:t>
            </w:r>
          </w:p>
        </w:tc>
        <w:tc>
          <w:tcPr>
            <w:tcW w:w="10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3,463,094</w:t>
            </w:r>
          </w:p>
        </w:tc>
        <w:tc>
          <w:tcPr>
            <w:tcW w:w="1020" w:type="dxa"/>
            <w:vAlign w:val="bottom"/>
          </w:tcPr>
          <w:p>
            <w:pPr>
              <w:jc w:val="right"/>
              <w:spacing w:after="0" w:line="121" w:lineRule="exact"/>
              <w:rPr>
                <w:sz w:val="20"/>
                <w:szCs w:val="20"/>
                <w:color w:val="auto"/>
              </w:rPr>
            </w:pPr>
            <w:r>
              <w:rPr>
                <w:rFonts w:ascii="Arial" w:cs="Arial" w:eastAsia="Arial" w:hAnsi="Arial"/>
                <w:sz w:val="13"/>
                <w:szCs w:val="13"/>
                <w:color w:val="auto"/>
              </w:rPr>
              <w:t>3,479,720</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jc w:val="center"/>
              <w:ind w:right="37"/>
              <w:spacing w:after="0"/>
              <w:rPr>
                <w:sz w:val="20"/>
                <w:szCs w:val="20"/>
                <w:color w:val="auto"/>
              </w:rPr>
            </w:pPr>
            <w:r>
              <w:rPr>
                <w:rFonts w:ascii="Arial" w:cs="Arial" w:eastAsia="Arial" w:hAnsi="Arial"/>
                <w:sz w:val="13"/>
                <w:szCs w:val="13"/>
                <w:color w:val="auto"/>
                <w:w w:val="89"/>
              </w:rPr>
              <w:t>Subscription</w:t>
            </w: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Aspen Dental Management, Inc.</w:t>
            </w:r>
          </w:p>
        </w:tc>
        <w:tc>
          <w:tcPr>
            <w:tcW w:w="160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10/06/2016</w:t>
            </w:r>
          </w:p>
        </w:tc>
        <w:tc>
          <w:tcPr>
            <w:tcW w:w="186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6"/>
              </w:rPr>
              <w:t>Consumer Services</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7.00%</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2,917,500</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2,900,680</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2,902,912</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ATI Holdings, Inc.</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12/20/2019</w:t>
            </w:r>
          </w:p>
        </w:tc>
        <w:tc>
          <w:tcPr>
            <w:tcW w:w="18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6"/>
              </w:rPr>
              <w:t>Healthcare and Pharmaceuticals</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5.00%</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L+400</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2,947,500</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2,924,974</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2,956,107</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Azure Midstream Energy LLC</w:t>
            </w:r>
          </w:p>
        </w:tc>
        <w:tc>
          <w:tcPr>
            <w:tcW w:w="160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11/15/2018</w:t>
            </w:r>
          </w:p>
        </w:tc>
        <w:tc>
          <w:tcPr>
            <w:tcW w:w="18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88"/>
              </w:rPr>
              <w:t>Energy: Oil and Gas</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5,293,750</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5,228,951</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5,240,812</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BBB Industries, LLC</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03/27/2019</w:t>
            </w:r>
          </w:p>
        </w:tc>
        <w:tc>
          <w:tcPr>
            <w:tcW w:w="186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2"/>
              </w:rPr>
              <w:t>Automotive</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L+425</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3,023,140</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3,004,531</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3,005,515</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Blue Bird Body Company</w:t>
            </w:r>
          </w:p>
        </w:tc>
        <w:tc>
          <w:tcPr>
            <w:tcW w:w="160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06/29/2020</w:t>
            </w:r>
          </w:p>
        </w:tc>
        <w:tc>
          <w:tcPr>
            <w:tcW w:w="18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92"/>
              </w:rPr>
              <w:t>Automotive</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5,000,000</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4,927,548</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4,925,000</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Bowlmor AMF, Corp.</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09/17/2021</w:t>
            </w:r>
          </w:p>
        </w:tc>
        <w:tc>
          <w:tcPr>
            <w:tcW w:w="18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0"/>
              </w:rPr>
              <w:t>Retail</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L+625</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8,000,000</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7,880,197</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7,970,000</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60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07/02/2020</w:t>
            </w:r>
          </w:p>
        </w:tc>
        <w:tc>
          <w:tcPr>
            <w:tcW w:w="18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87"/>
              </w:rPr>
              <w:t>Hotel, Gaming and Leisure</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8.25%</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L+700</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5,000,000</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4,957,132</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5,087,500</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12/24/2019</w:t>
            </w:r>
          </w:p>
        </w:tc>
        <w:tc>
          <w:tcPr>
            <w:tcW w:w="18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0"/>
              </w:rPr>
              <w:t>Retail</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9.00%</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4,477,500</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4,416,233</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4,477,500</w:t>
            </w: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600" w:type="dxa"/>
            <w:vAlign w:val="bottom"/>
            <w:shd w:val="clear" w:color="auto" w:fill="CCEEFF"/>
          </w:tcPr>
          <w:p>
            <w:pPr>
              <w:jc w:val="center"/>
              <w:ind w:left="437"/>
              <w:spacing w:after="0" w:line="121" w:lineRule="exact"/>
              <w:rPr>
                <w:sz w:val="20"/>
                <w:szCs w:val="20"/>
                <w:color w:val="auto"/>
              </w:rPr>
            </w:pPr>
            <w:r>
              <w:rPr>
                <w:rFonts w:ascii="Arial" w:cs="Arial" w:eastAsia="Arial" w:hAnsi="Arial"/>
                <w:sz w:val="13"/>
                <w:szCs w:val="13"/>
                <w:color w:val="auto"/>
                <w:w w:val="89"/>
              </w:rPr>
              <w:t>01/08/2019</w:t>
            </w:r>
          </w:p>
        </w:tc>
        <w:tc>
          <w:tcPr>
            <w:tcW w:w="18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0"/>
              </w:rPr>
              <w:t>Media: Advertising, Printing and</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7.25%</w:t>
            </w:r>
          </w:p>
        </w:tc>
        <w:tc>
          <w:tcPr>
            <w:tcW w:w="100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L+600</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4,975,000</w:t>
            </w:r>
          </w:p>
        </w:tc>
        <w:tc>
          <w:tcPr>
            <w:tcW w:w="10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4,928,906</w:t>
            </w:r>
          </w:p>
        </w:tc>
        <w:tc>
          <w:tcPr>
            <w:tcW w:w="10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4,975,000</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9"/>
              </w:rPr>
              <w:t>Publishing</w:t>
            </w: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tcPr>
          <w:p>
            <w:pPr>
              <w:spacing w:after="0" w:line="121" w:lineRule="exact"/>
              <w:rPr>
                <w:sz w:val="20"/>
                <w:szCs w:val="20"/>
                <w:color w:val="auto"/>
              </w:rPr>
            </w:pPr>
            <w:r>
              <w:rPr>
                <w:rFonts w:ascii="Arial" w:cs="Arial" w:eastAsia="Arial" w:hAnsi="Arial"/>
                <w:sz w:val="13"/>
                <w:szCs w:val="13"/>
                <w:color w:val="auto"/>
              </w:rPr>
              <w:t>Creative Circle, LLC</w:t>
            </w:r>
          </w:p>
        </w:tc>
        <w:tc>
          <w:tcPr>
            <w:tcW w:w="1600" w:type="dxa"/>
            <w:vAlign w:val="bottom"/>
          </w:tcPr>
          <w:p>
            <w:pPr>
              <w:jc w:val="center"/>
              <w:ind w:left="437"/>
              <w:spacing w:after="0" w:line="121" w:lineRule="exact"/>
              <w:rPr>
                <w:sz w:val="20"/>
                <w:szCs w:val="20"/>
                <w:color w:val="auto"/>
              </w:rPr>
            </w:pPr>
            <w:r>
              <w:rPr>
                <w:rFonts w:ascii="Arial" w:cs="Arial" w:eastAsia="Arial" w:hAnsi="Arial"/>
                <w:sz w:val="13"/>
                <w:szCs w:val="13"/>
                <w:color w:val="auto"/>
                <w:w w:val="89"/>
              </w:rPr>
              <w:t>06/25/2020</w:t>
            </w:r>
          </w:p>
        </w:tc>
        <w:tc>
          <w:tcPr>
            <w:tcW w:w="186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0"/>
              </w:rPr>
              <w:t>Media: Advertising, Printing and</w:t>
            </w:r>
          </w:p>
        </w:tc>
        <w:tc>
          <w:tcPr>
            <w:tcW w:w="84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5.50%</w:t>
            </w:r>
          </w:p>
        </w:tc>
        <w:tc>
          <w:tcPr>
            <w:tcW w:w="100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L+450</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5,900,000</w:t>
            </w:r>
          </w:p>
        </w:tc>
        <w:tc>
          <w:tcPr>
            <w:tcW w:w="10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5,843,227</w:t>
            </w:r>
          </w:p>
        </w:tc>
        <w:tc>
          <w:tcPr>
            <w:tcW w:w="1020" w:type="dxa"/>
            <w:vAlign w:val="bottom"/>
          </w:tcPr>
          <w:p>
            <w:pPr>
              <w:jc w:val="right"/>
              <w:spacing w:after="0" w:line="121" w:lineRule="exact"/>
              <w:rPr>
                <w:sz w:val="20"/>
                <w:szCs w:val="20"/>
                <w:color w:val="auto"/>
              </w:rPr>
            </w:pPr>
            <w:r>
              <w:rPr>
                <w:rFonts w:ascii="Arial" w:cs="Arial" w:eastAsia="Arial" w:hAnsi="Arial"/>
                <w:sz w:val="13"/>
                <w:szCs w:val="13"/>
                <w:color w:val="auto"/>
              </w:rPr>
              <w:t>5,811,500</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jc w:val="center"/>
              <w:ind w:right="57"/>
              <w:spacing w:after="0"/>
              <w:rPr>
                <w:sz w:val="20"/>
                <w:szCs w:val="20"/>
                <w:color w:val="auto"/>
              </w:rPr>
            </w:pPr>
            <w:r>
              <w:rPr>
                <w:rFonts w:ascii="Arial" w:cs="Arial" w:eastAsia="Arial" w:hAnsi="Arial"/>
                <w:sz w:val="13"/>
                <w:szCs w:val="13"/>
                <w:color w:val="auto"/>
                <w:w w:val="89"/>
              </w:rPr>
              <w:t>Publishing</w:t>
            </w: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LLC</w:t>
            </w:r>
          </w:p>
        </w:tc>
        <w:tc>
          <w:tcPr>
            <w:tcW w:w="160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06/08/2020</w:t>
            </w:r>
          </w:p>
        </w:tc>
        <w:tc>
          <w:tcPr>
            <w:tcW w:w="186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6"/>
              </w:rPr>
              <w:t>Healthcare and Pharmaceuticals</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5.75%</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1,995,000</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1,947,166</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1,963,419</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DCS Business Services, Inc.</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03/19/2018</w:t>
            </w:r>
          </w:p>
        </w:tc>
        <w:tc>
          <w:tcPr>
            <w:tcW w:w="18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4"/>
              </w:rPr>
              <w:t>Business Services</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3,253,740</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3,218,698</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3,172,396</w:t>
            </w: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Edmentum, Inc.</w:t>
            </w:r>
          </w:p>
        </w:tc>
        <w:tc>
          <w:tcPr>
            <w:tcW w:w="1600" w:type="dxa"/>
            <w:vAlign w:val="bottom"/>
            <w:shd w:val="clear" w:color="auto" w:fill="CCEEFF"/>
          </w:tcPr>
          <w:p>
            <w:pPr>
              <w:jc w:val="center"/>
              <w:ind w:left="437"/>
              <w:spacing w:after="0" w:line="121" w:lineRule="exact"/>
              <w:rPr>
                <w:sz w:val="20"/>
                <w:szCs w:val="20"/>
                <w:color w:val="auto"/>
              </w:rPr>
            </w:pPr>
            <w:r>
              <w:rPr>
                <w:rFonts w:ascii="Arial" w:cs="Arial" w:eastAsia="Arial" w:hAnsi="Arial"/>
                <w:sz w:val="13"/>
                <w:szCs w:val="13"/>
                <w:color w:val="auto"/>
                <w:w w:val="89"/>
              </w:rPr>
              <w:t>05/17/2018</w:t>
            </w:r>
          </w:p>
        </w:tc>
        <w:tc>
          <w:tcPr>
            <w:tcW w:w="18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7"/>
              </w:rPr>
              <w:t>Media: Broadcasting and</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5.50%</w:t>
            </w:r>
          </w:p>
        </w:tc>
        <w:tc>
          <w:tcPr>
            <w:tcW w:w="100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L+450</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924,982</w:t>
            </w:r>
          </w:p>
        </w:tc>
        <w:tc>
          <w:tcPr>
            <w:tcW w:w="10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924,982</w:t>
            </w:r>
          </w:p>
        </w:tc>
        <w:tc>
          <w:tcPr>
            <w:tcW w:w="10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915,732</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9"/>
              </w:rPr>
              <w:t>Subscription</w:t>
            </w: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eResearchTechnology, Inc.</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05/02/2018</w:t>
            </w:r>
          </w:p>
        </w:tc>
        <w:tc>
          <w:tcPr>
            <w:tcW w:w="18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6"/>
              </w:rPr>
              <w:t>Healthcare and Pharmaceuticals</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2,858,864</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2,847,367</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2,855,291</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e-Rewards, Inc.</w:t>
            </w:r>
          </w:p>
        </w:tc>
        <w:tc>
          <w:tcPr>
            <w:tcW w:w="160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10/29/2018</w:t>
            </w:r>
          </w:p>
        </w:tc>
        <w:tc>
          <w:tcPr>
            <w:tcW w:w="186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8"/>
              </w:rPr>
              <w:t>High Tech Industries</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9,812,500</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9,652,736</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9,665,312</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FHC Health Systems, Inc.</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01/09/2018</w:t>
            </w:r>
          </w:p>
        </w:tc>
        <w:tc>
          <w:tcPr>
            <w:tcW w:w="18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6"/>
              </w:rPr>
              <w:t>Healthcare and Pharmaceuticals</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5.75%</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4,258,929</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4,226,747</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4,258,929</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Fishnet Security, Inc.</w:t>
            </w:r>
          </w:p>
        </w:tc>
        <w:tc>
          <w:tcPr>
            <w:tcW w:w="160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11/30/2017</w:t>
            </w:r>
          </w:p>
        </w:tc>
        <w:tc>
          <w:tcPr>
            <w:tcW w:w="186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8"/>
              </w:rPr>
              <w:t>High Tech Industries</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6.25%</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3,610,688</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3,591,818</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3,592,634</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GlobalLogic Holdings, Inc.</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05/31/2019</w:t>
            </w:r>
          </w:p>
        </w:tc>
        <w:tc>
          <w:tcPr>
            <w:tcW w:w="18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8"/>
              </w:rPr>
              <w:t>High Tech Industries</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6.25%</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L+525</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3,970,000</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3,934,577</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3,840,975</w:t>
            </w: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Granite Broadcasting Corporation</w:t>
            </w:r>
          </w:p>
        </w:tc>
        <w:tc>
          <w:tcPr>
            <w:tcW w:w="1600" w:type="dxa"/>
            <w:vAlign w:val="bottom"/>
            <w:shd w:val="clear" w:color="auto" w:fill="CCEEFF"/>
          </w:tcPr>
          <w:p>
            <w:pPr>
              <w:jc w:val="center"/>
              <w:ind w:left="437"/>
              <w:spacing w:after="0" w:line="121" w:lineRule="exact"/>
              <w:rPr>
                <w:sz w:val="20"/>
                <w:szCs w:val="20"/>
                <w:color w:val="auto"/>
              </w:rPr>
            </w:pPr>
            <w:r>
              <w:rPr>
                <w:rFonts w:ascii="Arial" w:cs="Arial" w:eastAsia="Arial" w:hAnsi="Arial"/>
                <w:sz w:val="13"/>
                <w:szCs w:val="13"/>
                <w:color w:val="auto"/>
                <w:w w:val="89"/>
              </w:rPr>
              <w:t>05/23/2018</w:t>
            </w:r>
          </w:p>
        </w:tc>
        <w:tc>
          <w:tcPr>
            <w:tcW w:w="18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7"/>
              </w:rPr>
              <w:t>Media: Broadcasting and</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6.75%</w:t>
            </w:r>
          </w:p>
        </w:tc>
        <w:tc>
          <w:tcPr>
            <w:tcW w:w="100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L+550</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1,096,930</w:t>
            </w:r>
          </w:p>
        </w:tc>
        <w:tc>
          <w:tcPr>
            <w:tcW w:w="10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1,094,839</w:t>
            </w:r>
          </w:p>
        </w:tc>
        <w:tc>
          <w:tcPr>
            <w:tcW w:w="10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1,094,188</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9"/>
              </w:rPr>
              <w:t>Subscription</w:t>
            </w: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Greenway Health, LLC</w:t>
            </w:r>
          </w:p>
        </w:tc>
        <w:tc>
          <w:tcPr>
            <w:tcW w:w="160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11/04/2020</w:t>
            </w:r>
          </w:p>
        </w:tc>
        <w:tc>
          <w:tcPr>
            <w:tcW w:w="18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8"/>
              </w:rPr>
              <w:t>High Tech Industries</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6,947,500</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6,888,768</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6,912,762</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Help/Systems Holdings, Inc.</w:t>
            </w:r>
          </w:p>
        </w:tc>
        <w:tc>
          <w:tcPr>
            <w:tcW w:w="160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06/28/2019</w:t>
            </w:r>
          </w:p>
        </w:tc>
        <w:tc>
          <w:tcPr>
            <w:tcW w:w="186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8"/>
              </w:rPr>
              <w:t>High Tech Industries</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4,950,000</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4,909,380</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4,894,312</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10/21/2020</w:t>
            </w:r>
          </w:p>
        </w:tc>
        <w:tc>
          <w:tcPr>
            <w:tcW w:w="186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7"/>
              </w:rPr>
              <w:t>Consumer Goods: Non-Durable</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9.00%</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1,200,000</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1,182,000</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1,182,000</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Hostway Corporation</w:t>
            </w:r>
          </w:p>
        </w:tc>
        <w:tc>
          <w:tcPr>
            <w:tcW w:w="160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12/13/2019</w:t>
            </w:r>
          </w:p>
        </w:tc>
        <w:tc>
          <w:tcPr>
            <w:tcW w:w="186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8"/>
              </w:rPr>
              <w:t>High Tech Industries</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4,906,250</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4,864,869</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4,881,719</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Hunter Defense Technologies, Inc.</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08/05/2019</w:t>
            </w:r>
          </w:p>
        </w:tc>
        <w:tc>
          <w:tcPr>
            <w:tcW w:w="18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4"/>
              </w:rPr>
              <w:t>Aerospace and Defense</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7,000,000</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6,931,037</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6,912,500</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IDQ Holdings, Inc. </w:t>
            </w:r>
            <w:r>
              <w:rPr>
                <w:rFonts w:ascii="Arial" w:cs="Arial" w:eastAsia="Arial" w:hAnsi="Arial"/>
                <w:sz w:val="10"/>
                <w:szCs w:val="10"/>
                <w:color w:val="auto"/>
              </w:rPr>
              <w:t>(5), (8)</w:t>
            </w:r>
          </w:p>
        </w:tc>
        <w:tc>
          <w:tcPr>
            <w:tcW w:w="160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03/30/2017</w:t>
            </w:r>
          </w:p>
        </w:tc>
        <w:tc>
          <w:tcPr>
            <w:tcW w:w="18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92"/>
              </w:rPr>
              <w:t>Automotive</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11.50%</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2,000,000</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1,977,245</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2,167,500</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05/01/2019</w:t>
            </w:r>
          </w:p>
        </w:tc>
        <w:tc>
          <w:tcPr>
            <w:tcW w:w="18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4"/>
              </w:rPr>
              <w:t>Business Services</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L+600</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12,409,413</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12,270,960</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11,788,942</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InfuSystem Holdings, Inc.</w:t>
            </w:r>
          </w:p>
        </w:tc>
        <w:tc>
          <w:tcPr>
            <w:tcW w:w="160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11/30/2016</w:t>
            </w:r>
          </w:p>
        </w:tc>
        <w:tc>
          <w:tcPr>
            <w:tcW w:w="186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6"/>
              </w:rPr>
              <w:t>Healthcare and Pharmaceuticals</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13.16%</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P+992</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1,500,000</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1,500,000</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1,535,715</w:t>
            </w:r>
          </w:p>
        </w:tc>
        <w:tc>
          <w:tcPr>
            <w:tcW w:w="0" w:type="dxa"/>
            <w:vAlign w:val="bottom"/>
          </w:tcPr>
          <w:p>
            <w:pPr>
              <w:spacing w:after="0"/>
              <w:rPr>
                <w:sz w:val="1"/>
                <w:szCs w:val="1"/>
                <w:color w:val="auto"/>
              </w:rPr>
            </w:pPr>
          </w:p>
        </w:tc>
      </w:tr>
      <w:tr>
        <w:trPr>
          <w:trHeight w:val="121"/>
        </w:trPr>
        <w:tc>
          <w:tcPr>
            <w:tcW w:w="2980" w:type="dxa"/>
            <w:vAlign w:val="bottom"/>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600" w:type="dxa"/>
            <w:vAlign w:val="bottom"/>
          </w:tcPr>
          <w:p>
            <w:pPr>
              <w:jc w:val="center"/>
              <w:ind w:left="437"/>
              <w:spacing w:after="0" w:line="121" w:lineRule="exact"/>
              <w:rPr>
                <w:sz w:val="20"/>
                <w:szCs w:val="20"/>
                <w:color w:val="auto"/>
              </w:rPr>
            </w:pPr>
            <w:r>
              <w:rPr>
                <w:rFonts w:ascii="Arial" w:cs="Arial" w:eastAsia="Arial" w:hAnsi="Arial"/>
                <w:sz w:val="13"/>
                <w:szCs w:val="13"/>
                <w:color w:val="auto"/>
                <w:w w:val="89"/>
              </w:rPr>
              <w:t>03/28/2019</w:t>
            </w:r>
          </w:p>
        </w:tc>
        <w:tc>
          <w:tcPr>
            <w:tcW w:w="186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0"/>
              </w:rPr>
              <w:t>Media: Advertising, Printing and</w:t>
            </w:r>
          </w:p>
        </w:tc>
        <w:tc>
          <w:tcPr>
            <w:tcW w:w="84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5.50%</w:t>
            </w:r>
          </w:p>
        </w:tc>
        <w:tc>
          <w:tcPr>
            <w:tcW w:w="100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L+450</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5,453,617</w:t>
            </w:r>
          </w:p>
        </w:tc>
        <w:tc>
          <w:tcPr>
            <w:tcW w:w="10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5,377,967</w:t>
            </w:r>
          </w:p>
        </w:tc>
        <w:tc>
          <w:tcPr>
            <w:tcW w:w="1020" w:type="dxa"/>
            <w:vAlign w:val="bottom"/>
          </w:tcPr>
          <w:p>
            <w:pPr>
              <w:jc w:val="right"/>
              <w:spacing w:after="0" w:line="121" w:lineRule="exact"/>
              <w:rPr>
                <w:sz w:val="20"/>
                <w:szCs w:val="20"/>
                <w:color w:val="auto"/>
              </w:rPr>
            </w:pPr>
            <w:r>
              <w:rPr>
                <w:rFonts w:ascii="Arial" w:cs="Arial" w:eastAsia="Arial" w:hAnsi="Arial"/>
                <w:sz w:val="13"/>
                <w:szCs w:val="13"/>
                <w:color w:val="auto"/>
              </w:rPr>
              <w:t>5,453,617</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jc w:val="center"/>
              <w:ind w:right="57"/>
              <w:spacing w:after="0"/>
              <w:rPr>
                <w:sz w:val="20"/>
                <w:szCs w:val="20"/>
                <w:color w:val="auto"/>
              </w:rPr>
            </w:pPr>
            <w:r>
              <w:rPr>
                <w:rFonts w:ascii="Arial" w:cs="Arial" w:eastAsia="Arial" w:hAnsi="Arial"/>
                <w:sz w:val="13"/>
                <w:szCs w:val="13"/>
                <w:color w:val="auto"/>
                <w:w w:val="89"/>
              </w:rPr>
              <w:t>Publishing</w:t>
            </w: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600" w:type="dxa"/>
            <w:vAlign w:val="bottom"/>
            <w:shd w:val="clear" w:color="auto" w:fill="CCEEFF"/>
          </w:tcPr>
          <w:p>
            <w:pPr>
              <w:jc w:val="center"/>
              <w:ind w:left="437"/>
              <w:spacing w:after="0" w:line="121" w:lineRule="exact"/>
              <w:rPr>
                <w:sz w:val="20"/>
                <w:szCs w:val="20"/>
                <w:color w:val="auto"/>
              </w:rPr>
            </w:pPr>
            <w:r>
              <w:rPr>
                <w:rFonts w:ascii="Arial" w:cs="Arial" w:eastAsia="Arial" w:hAnsi="Arial"/>
                <w:sz w:val="13"/>
                <w:szCs w:val="13"/>
                <w:color w:val="auto"/>
                <w:w w:val="89"/>
              </w:rPr>
              <w:t>03/28/2019</w:t>
            </w:r>
          </w:p>
        </w:tc>
        <w:tc>
          <w:tcPr>
            <w:tcW w:w="18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0"/>
              </w:rPr>
              <w:t>Media: Advertising, Printing and</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12.00%</w:t>
            </w:r>
          </w:p>
        </w:tc>
        <w:tc>
          <w:tcPr>
            <w:tcW w:w="100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L+1,100</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4,500,000</w:t>
            </w:r>
          </w:p>
        </w:tc>
        <w:tc>
          <w:tcPr>
            <w:tcW w:w="10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4,436,038</w:t>
            </w:r>
          </w:p>
        </w:tc>
        <w:tc>
          <w:tcPr>
            <w:tcW w:w="10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9"/>
              </w:rPr>
              <w:t>Publishing</w:t>
            </w: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Jackson Hewitt Tax Service Inc.</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10/16/2017</w:t>
            </w:r>
          </w:p>
        </w:tc>
        <w:tc>
          <w:tcPr>
            <w:tcW w:w="18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6"/>
              </w:rPr>
              <w:t>Consumer Services</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10.00%</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L+850</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5,140,179</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5,059,028</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5,114,478</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60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08/19/2019</w:t>
            </w:r>
          </w:p>
        </w:tc>
        <w:tc>
          <w:tcPr>
            <w:tcW w:w="18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86"/>
              </w:rPr>
              <w:t>Chemicals, Plastics and Rubber</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10.00%</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L+900</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6,157,648</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6,048,214</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6,064,275</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Lanyon Solutions, Inc.</w:t>
            </w:r>
          </w:p>
        </w:tc>
        <w:tc>
          <w:tcPr>
            <w:tcW w:w="160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11/13/2020</w:t>
            </w:r>
          </w:p>
        </w:tc>
        <w:tc>
          <w:tcPr>
            <w:tcW w:w="18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8"/>
              </w:rPr>
              <w:t>High Tech Industries</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1,985,004</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1,977,359</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1,967,635</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160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11/30/2018</w:t>
            </w:r>
          </w:p>
        </w:tc>
        <w:tc>
          <w:tcPr>
            <w:tcW w:w="186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6"/>
              </w:rPr>
              <w:t>Healthcare and Pharmaceuticals</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L+525</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5,925,000</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5,855,212</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5,821,312</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Meritas Schools Holdings, LLC</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06/25/2019</w:t>
            </w:r>
          </w:p>
        </w:tc>
        <w:tc>
          <w:tcPr>
            <w:tcW w:w="18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6"/>
              </w:rPr>
              <w:t>Consumer Services</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7.00%</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2,505,285</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2,484,597</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2,506,864</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National Surgical Hospitals, Inc.</w:t>
            </w:r>
          </w:p>
        </w:tc>
        <w:tc>
          <w:tcPr>
            <w:tcW w:w="160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08/01/2019</w:t>
            </w:r>
          </w:p>
        </w:tc>
        <w:tc>
          <w:tcPr>
            <w:tcW w:w="186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6"/>
              </w:rPr>
              <w:t>Healthcare and Pharmaceuticals</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5.25%</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L+425</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8,130,872</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8,111,416</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8,090,218</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New Trident HoldCorp, Inc.</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07/31/2019</w:t>
            </w:r>
          </w:p>
        </w:tc>
        <w:tc>
          <w:tcPr>
            <w:tcW w:w="18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6"/>
              </w:rPr>
              <w:t>Healthcare and Pharmaceuticals</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L+525</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9,900,000</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9,817,130</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9,809,217</w:t>
            </w: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1600" w:type="dxa"/>
            <w:vAlign w:val="bottom"/>
            <w:shd w:val="clear" w:color="auto" w:fill="CCEEFF"/>
          </w:tcPr>
          <w:p>
            <w:pPr>
              <w:jc w:val="center"/>
              <w:ind w:left="417"/>
              <w:spacing w:after="0" w:line="121" w:lineRule="exact"/>
              <w:rPr>
                <w:sz w:val="20"/>
                <w:szCs w:val="20"/>
                <w:color w:val="auto"/>
              </w:rPr>
            </w:pPr>
            <w:r>
              <w:rPr>
                <w:rFonts w:ascii="Arial" w:cs="Arial" w:eastAsia="Arial" w:hAnsi="Arial"/>
                <w:sz w:val="13"/>
                <w:szCs w:val="13"/>
                <w:color w:val="auto"/>
                <w:w w:val="86"/>
              </w:rPr>
              <w:t>11/27/2018</w:t>
            </w:r>
          </w:p>
        </w:tc>
        <w:tc>
          <w:tcPr>
            <w:tcW w:w="18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7"/>
              </w:rPr>
              <w:t>Banking, Finance, Insurance and</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12.50%</w:t>
            </w:r>
          </w:p>
        </w:tc>
        <w:tc>
          <w:tcPr>
            <w:tcW w:w="100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L+1,150</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13,293,846</w:t>
            </w:r>
          </w:p>
        </w:tc>
        <w:tc>
          <w:tcPr>
            <w:tcW w:w="10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12,716,069</w:t>
            </w:r>
          </w:p>
        </w:tc>
        <w:tc>
          <w:tcPr>
            <w:tcW w:w="10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13,426,785</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(f/k/a Old Guard Risk Services, Inc.)</w:t>
            </w:r>
          </w:p>
        </w:tc>
        <w:tc>
          <w:tcPr>
            <w:tcW w:w="16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3"/>
              </w:rPr>
              <w:t>Real Estate</w:t>
            </w: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Polyconcept Finance B.V.</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06/28/2019</w:t>
            </w:r>
          </w:p>
        </w:tc>
        <w:tc>
          <w:tcPr>
            <w:tcW w:w="186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7"/>
              </w:rPr>
              <w:t>Consumer Goods: Non-Durable</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7,717,766</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7,653,621</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7,669,530</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Premier Dental Services, Inc.</w:t>
            </w:r>
          </w:p>
        </w:tc>
        <w:tc>
          <w:tcPr>
            <w:tcW w:w="160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11/01/2018</w:t>
            </w:r>
          </w:p>
        </w:tc>
        <w:tc>
          <w:tcPr>
            <w:tcW w:w="186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6"/>
              </w:rPr>
              <w:t>Consumer Services</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100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8,303,261</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8,187,838</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8,220,228</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Quality Home Brands Holdings LLC</w:t>
            </w:r>
          </w:p>
        </w:tc>
        <w:tc>
          <w:tcPr>
            <w:tcW w:w="160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12/17/2018</w:t>
            </w:r>
          </w:p>
        </w:tc>
        <w:tc>
          <w:tcPr>
            <w:tcW w:w="186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7"/>
              </w:rPr>
              <w:t>Consumer Goods: Durable</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7.75%</w:t>
            </w:r>
          </w:p>
        </w:tc>
        <w:tc>
          <w:tcPr>
            <w:tcW w:w="10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L+650</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4,962,500</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4,921,444</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4,970,787</w:t>
            </w: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RCS Capital Corporation</w:t>
            </w:r>
          </w:p>
        </w:tc>
        <w:tc>
          <w:tcPr>
            <w:tcW w:w="1600" w:type="dxa"/>
            <w:vAlign w:val="bottom"/>
            <w:shd w:val="clear" w:color="auto" w:fill="CCEEFF"/>
          </w:tcPr>
          <w:p>
            <w:pPr>
              <w:jc w:val="center"/>
              <w:ind w:left="437"/>
              <w:spacing w:after="0" w:line="121" w:lineRule="exact"/>
              <w:rPr>
                <w:sz w:val="20"/>
                <w:szCs w:val="20"/>
                <w:color w:val="auto"/>
              </w:rPr>
            </w:pPr>
            <w:r>
              <w:rPr>
                <w:rFonts w:ascii="Arial" w:cs="Arial" w:eastAsia="Arial" w:hAnsi="Arial"/>
                <w:sz w:val="13"/>
                <w:szCs w:val="13"/>
                <w:color w:val="auto"/>
                <w:w w:val="89"/>
              </w:rPr>
              <w:t>04/29/2019</w:t>
            </w:r>
          </w:p>
        </w:tc>
        <w:tc>
          <w:tcPr>
            <w:tcW w:w="18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7"/>
              </w:rPr>
              <w:t>Banking, Finance, Insurance and</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6.50%</w:t>
            </w:r>
          </w:p>
        </w:tc>
        <w:tc>
          <w:tcPr>
            <w:tcW w:w="100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L+550</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4,937,500</w:t>
            </w:r>
          </w:p>
        </w:tc>
        <w:tc>
          <w:tcPr>
            <w:tcW w:w="10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4,891,688</w:t>
            </w:r>
          </w:p>
        </w:tc>
        <w:tc>
          <w:tcPr>
            <w:tcW w:w="10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4,956,016</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3"/>
              </w:rPr>
              <w:t>Real Estate</w:t>
            </w: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tcPr>
          <w:p>
            <w:pPr>
              <w:spacing w:after="0" w:line="121" w:lineRule="exact"/>
              <w:rPr>
                <w:sz w:val="20"/>
                <w:szCs w:val="20"/>
                <w:color w:val="auto"/>
              </w:rPr>
            </w:pPr>
            <w:r>
              <w:rPr>
                <w:rFonts w:ascii="Arial" w:cs="Arial" w:eastAsia="Arial" w:hAnsi="Arial"/>
                <w:sz w:val="13"/>
                <w:szCs w:val="13"/>
                <w:color w:val="auto"/>
              </w:rPr>
              <w:t>Robertshaw US Holding Corp.</w:t>
            </w:r>
          </w:p>
        </w:tc>
        <w:tc>
          <w:tcPr>
            <w:tcW w:w="1600" w:type="dxa"/>
            <w:vAlign w:val="bottom"/>
          </w:tcPr>
          <w:p>
            <w:pPr>
              <w:jc w:val="center"/>
              <w:ind w:left="437"/>
              <w:spacing w:after="0" w:line="121" w:lineRule="exact"/>
              <w:rPr>
                <w:sz w:val="20"/>
                <w:szCs w:val="20"/>
                <w:color w:val="auto"/>
              </w:rPr>
            </w:pPr>
            <w:r>
              <w:rPr>
                <w:rFonts w:ascii="Arial" w:cs="Arial" w:eastAsia="Arial" w:hAnsi="Arial"/>
                <w:sz w:val="13"/>
                <w:szCs w:val="13"/>
                <w:color w:val="auto"/>
                <w:w w:val="89"/>
              </w:rPr>
              <w:t>06/18/2019</w:t>
            </w:r>
          </w:p>
        </w:tc>
        <w:tc>
          <w:tcPr>
            <w:tcW w:w="1860" w:type="dxa"/>
            <w:vAlign w:val="bottom"/>
          </w:tcPr>
          <w:p>
            <w:pPr>
              <w:jc w:val="center"/>
              <w:ind w:right="37"/>
              <w:spacing w:after="0" w:line="121" w:lineRule="exact"/>
              <w:rPr>
                <w:sz w:val="20"/>
                <w:szCs w:val="20"/>
                <w:color w:val="auto"/>
              </w:rPr>
            </w:pPr>
            <w:r>
              <w:rPr>
                <w:rFonts w:ascii="Arial" w:cs="Arial" w:eastAsia="Arial" w:hAnsi="Arial"/>
                <w:sz w:val="13"/>
                <w:szCs w:val="13"/>
                <w:color w:val="auto"/>
                <w:w w:val="87"/>
              </w:rPr>
              <w:t>Consumer Goods: Durable</w:t>
            </w:r>
          </w:p>
        </w:tc>
        <w:tc>
          <w:tcPr>
            <w:tcW w:w="840" w:type="dxa"/>
            <w:vAlign w:val="bottom"/>
          </w:tcPr>
          <w:p>
            <w:pPr>
              <w:jc w:val="right"/>
              <w:ind w:right="77"/>
              <w:spacing w:after="0" w:line="121" w:lineRule="exact"/>
              <w:rPr>
                <w:sz w:val="20"/>
                <w:szCs w:val="20"/>
                <w:color w:val="auto"/>
              </w:rPr>
            </w:pPr>
            <w:r>
              <w:rPr>
                <w:rFonts w:ascii="Arial" w:cs="Arial" w:eastAsia="Arial" w:hAnsi="Arial"/>
                <w:sz w:val="13"/>
                <w:szCs w:val="13"/>
                <w:color w:val="auto"/>
              </w:rPr>
              <w:t>9.00%</w:t>
            </w:r>
          </w:p>
        </w:tc>
        <w:tc>
          <w:tcPr>
            <w:tcW w:w="100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L+750</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3,294,118</w:t>
            </w:r>
          </w:p>
        </w:tc>
        <w:tc>
          <w:tcPr>
            <w:tcW w:w="10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3,262,700</w:t>
            </w:r>
          </w:p>
        </w:tc>
        <w:tc>
          <w:tcPr>
            <w:tcW w:w="1020" w:type="dxa"/>
            <w:vAlign w:val="bottom"/>
          </w:tcPr>
          <w:p>
            <w:pPr>
              <w:jc w:val="right"/>
              <w:spacing w:after="0" w:line="121" w:lineRule="exact"/>
              <w:rPr>
                <w:sz w:val="20"/>
                <w:szCs w:val="20"/>
                <w:color w:val="auto"/>
              </w:rPr>
            </w:pPr>
            <w:r>
              <w:rPr>
                <w:rFonts w:ascii="Arial" w:cs="Arial" w:eastAsia="Arial" w:hAnsi="Arial"/>
                <w:sz w:val="13"/>
                <w:szCs w:val="13"/>
                <w:color w:val="auto"/>
              </w:rPr>
              <w:t>3,288,278</w:t>
            </w:r>
          </w:p>
        </w:tc>
        <w:tc>
          <w:tcPr>
            <w:tcW w:w="0" w:type="dxa"/>
            <w:vAlign w:val="bottom"/>
          </w:tcPr>
          <w:p>
            <w:pPr>
              <w:spacing w:after="0"/>
              <w:rPr>
                <w:sz w:val="1"/>
                <w:szCs w:val="1"/>
                <w:color w:val="auto"/>
              </w:rPr>
            </w:pPr>
          </w:p>
        </w:tc>
      </w:tr>
      <w:tr>
        <w:trPr>
          <w:trHeight w:val="160"/>
        </w:trPr>
        <w:tc>
          <w:tcPr>
            <w:tcW w:w="2980" w:type="dxa"/>
            <w:vAlign w:val="bottom"/>
          </w:tcPr>
          <w:p>
            <w:pPr>
              <w:ind w:left="140"/>
              <w:spacing w:after="0"/>
              <w:rPr>
                <w:sz w:val="20"/>
                <w:szCs w:val="20"/>
                <w:color w:val="auto"/>
              </w:rPr>
            </w:pPr>
            <w:r>
              <w:rPr>
                <w:rFonts w:ascii="Arial" w:cs="Arial" w:eastAsia="Arial" w:hAnsi="Arial"/>
                <w:sz w:val="13"/>
                <w:szCs w:val="13"/>
                <w:color w:val="auto"/>
              </w:rPr>
              <w:t>(f/k/a Fox US Bidco Corp.)</w:t>
            </w:r>
          </w:p>
        </w:tc>
        <w:tc>
          <w:tcPr>
            <w:tcW w:w="16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Spread</w:t>
            </w: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rPr>
              <w:t>Current</w:t>
            </w:r>
          </w:p>
        </w:tc>
        <w:tc>
          <w:tcPr>
            <w:tcW w:w="9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5"/>
              </w:rPr>
              <w:t>Above</w:t>
            </w:r>
          </w:p>
        </w:tc>
        <w:tc>
          <w:tcPr>
            <w:tcW w:w="98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Par /</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80" w:type="dxa"/>
            <w:vAlign w:val="bottom"/>
            <w:gridSpan w:val="2"/>
            <w:vMerge w:val="continue"/>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1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Industry</w:t>
            </w:r>
          </w:p>
        </w:tc>
        <w:tc>
          <w:tcPr>
            <w:tcW w:w="10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Coupon</w:t>
            </w:r>
          </w:p>
        </w:tc>
        <w:tc>
          <w:tcPr>
            <w:tcW w:w="9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9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3"/>
                <w:szCs w:val="13"/>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14"/>
        </w:trPr>
        <w:tc>
          <w:tcPr>
            <w:tcW w:w="32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Robertshaw US Holding Corp.</w:t>
            </w:r>
          </w:p>
        </w:tc>
        <w:tc>
          <w:tcPr>
            <w:tcW w:w="3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9"/>
              </w:rPr>
              <w:t>06/18/2019</w:t>
            </w:r>
          </w:p>
        </w:tc>
        <w:tc>
          <w:tcPr>
            <w:tcW w:w="300" w:type="dxa"/>
            <w:vAlign w:val="bottom"/>
            <w:tcBorders>
              <w:top w:val="single" w:sz="8" w:color="CCEEFF"/>
            </w:tcBorders>
            <w:shd w:val="clear" w:color="auto" w:fill="CCEEFF"/>
          </w:tcPr>
          <w:p>
            <w:pPr>
              <w:spacing w:after="0"/>
              <w:rPr>
                <w:sz w:val="9"/>
                <w:szCs w:val="9"/>
                <w:color w:val="auto"/>
              </w:rPr>
            </w:pPr>
          </w:p>
        </w:tc>
        <w:tc>
          <w:tcPr>
            <w:tcW w:w="162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6"/>
              </w:rPr>
              <w:t>Consumer Goods: Durable</w:t>
            </w:r>
          </w:p>
        </w:tc>
        <w:tc>
          <w:tcPr>
            <w:tcW w:w="3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ind w:left="480"/>
              <w:spacing w:after="0" w:line="114" w:lineRule="exact"/>
              <w:rPr>
                <w:sz w:val="20"/>
                <w:szCs w:val="20"/>
                <w:color w:val="auto"/>
              </w:rPr>
            </w:pPr>
            <w:r>
              <w:rPr>
                <w:rFonts w:ascii="Arial" w:cs="Arial" w:eastAsia="Arial" w:hAnsi="Arial"/>
                <w:sz w:val="13"/>
                <w:szCs w:val="13"/>
                <w:color w:val="auto"/>
                <w:w w:val="76"/>
              </w:rPr>
              <w:t>—</w:t>
            </w:r>
          </w:p>
        </w:tc>
        <w:tc>
          <w:tcPr>
            <w:tcW w:w="4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ind w:left="480"/>
              <w:spacing w:after="0" w:line="114" w:lineRule="exact"/>
              <w:rPr>
                <w:sz w:val="20"/>
                <w:szCs w:val="20"/>
                <w:color w:val="auto"/>
              </w:rPr>
            </w:pPr>
            <w:r>
              <w:rPr>
                <w:rFonts w:ascii="Arial" w:cs="Arial" w:eastAsia="Arial" w:hAnsi="Arial"/>
                <w:sz w:val="13"/>
                <w:szCs w:val="13"/>
                <w:color w:val="auto"/>
                <w:w w:val="76"/>
              </w:rPr>
              <w:t>—</w:t>
            </w:r>
          </w:p>
        </w:tc>
        <w:tc>
          <w:tcPr>
            <w:tcW w:w="3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705,882</w:t>
            </w:r>
          </w:p>
        </w:tc>
        <w:tc>
          <w:tcPr>
            <w:tcW w:w="3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705,882</w:t>
            </w:r>
          </w:p>
        </w:tc>
        <w:tc>
          <w:tcPr>
            <w:tcW w:w="1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704,631</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xml:space="preserve">(f/k/a Fox US Bidco Corp.) </w:t>
            </w:r>
            <w:r>
              <w:rPr>
                <w:rFonts w:ascii="Arial" w:cs="Arial" w:eastAsia="Arial" w:hAnsi="Arial"/>
                <w:sz w:val="10"/>
                <w:szCs w:val="10"/>
                <w:color w:val="auto"/>
              </w:rPr>
              <w:t>(10)</w:t>
            </w: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gridSpan w:val="2"/>
          </w:tcPr>
          <w:p>
            <w:pPr>
              <w:spacing w:after="0" w:line="135" w:lineRule="exact"/>
              <w:rPr>
                <w:sz w:val="20"/>
                <w:szCs w:val="20"/>
                <w:color w:val="auto"/>
              </w:rPr>
            </w:pPr>
            <w:r>
              <w:rPr>
                <w:rFonts w:ascii="Arial" w:cs="Arial" w:eastAsia="Arial" w:hAnsi="Arial"/>
                <w:sz w:val="13"/>
                <w:szCs w:val="13"/>
                <w:color w:val="auto"/>
              </w:rPr>
              <w:t>SCE Partners,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08/14/2019</w:t>
            </w:r>
          </w:p>
        </w:tc>
        <w:tc>
          <w:tcPr>
            <w:tcW w:w="300" w:type="dxa"/>
            <w:vAlign w:val="bottom"/>
          </w:tcPr>
          <w:p>
            <w:pPr>
              <w:spacing w:after="0"/>
              <w:rPr>
                <w:sz w:val="11"/>
                <w:szCs w:val="11"/>
                <w:color w:val="auto"/>
              </w:rPr>
            </w:pPr>
          </w:p>
        </w:tc>
        <w:tc>
          <w:tcPr>
            <w:tcW w:w="192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9"/>
              </w:rPr>
              <w:t>Hotel, Gaming and Leisure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8.25%</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L+725</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w w:val="89"/>
              </w:rPr>
              <w:t>12,000,000</w:t>
            </w:r>
          </w:p>
        </w:tc>
        <w:tc>
          <w:tcPr>
            <w:tcW w:w="6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11,898,121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8"/>
              </w:rPr>
              <w:t>12,000,000</w:t>
            </w:r>
          </w:p>
        </w:tc>
        <w:tc>
          <w:tcPr>
            <w:tcW w:w="0" w:type="dxa"/>
            <w:vAlign w:val="bottom"/>
          </w:tcPr>
          <w:p>
            <w:pPr>
              <w:spacing w:after="0"/>
              <w:rPr>
                <w:sz w:val="1"/>
                <w:szCs w:val="1"/>
                <w:color w:val="auto"/>
              </w:rPr>
            </w:pPr>
          </w:p>
        </w:tc>
      </w:tr>
      <w:tr>
        <w:trPr>
          <w:trHeight w:val="135"/>
        </w:trPr>
        <w:tc>
          <w:tcPr>
            <w:tcW w:w="3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Securus Technologies Holdings, Inc.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04/30/2020</w:t>
            </w:r>
          </w:p>
        </w:tc>
        <w:tc>
          <w:tcPr>
            <w:tcW w:w="3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4.75%</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L+350</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1,980,002</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1,963,277</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1,955,252</w:t>
            </w:r>
          </w:p>
        </w:tc>
        <w:tc>
          <w:tcPr>
            <w:tcW w:w="0" w:type="dxa"/>
            <w:vAlign w:val="bottom"/>
          </w:tcPr>
          <w:p>
            <w:pPr>
              <w:spacing w:after="0"/>
              <w:rPr>
                <w:sz w:val="1"/>
                <w:szCs w:val="1"/>
                <w:color w:val="auto"/>
              </w:rPr>
            </w:pPr>
          </w:p>
        </w:tc>
      </w:tr>
      <w:tr>
        <w:trPr>
          <w:trHeight w:val="135"/>
        </w:trPr>
        <w:tc>
          <w:tcPr>
            <w:tcW w:w="3580" w:type="dxa"/>
            <w:vAlign w:val="bottom"/>
            <w:gridSpan w:val="2"/>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04/21/2017</w:t>
            </w:r>
          </w:p>
        </w:tc>
        <w:tc>
          <w:tcPr>
            <w:tcW w:w="300" w:type="dxa"/>
            <w:vAlign w:val="bottom"/>
          </w:tcPr>
          <w:p>
            <w:pPr>
              <w:spacing w:after="0"/>
              <w:rPr>
                <w:sz w:val="11"/>
                <w:szCs w:val="11"/>
                <w:color w:val="auto"/>
              </w:rPr>
            </w:pPr>
          </w:p>
        </w:tc>
        <w:tc>
          <w:tcPr>
            <w:tcW w:w="192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4"/>
              </w:rPr>
              <w:t>Aerospace and Defense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9.00%</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L+750</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6,643,409</w:t>
            </w:r>
          </w:p>
        </w:tc>
        <w:tc>
          <w:tcPr>
            <w:tcW w:w="6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6,382,042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5,979,068</w:t>
            </w:r>
          </w:p>
        </w:tc>
        <w:tc>
          <w:tcPr>
            <w:tcW w:w="0" w:type="dxa"/>
            <w:vAlign w:val="bottom"/>
          </w:tcPr>
          <w:p>
            <w:pPr>
              <w:spacing w:after="0"/>
              <w:rPr>
                <w:sz w:val="1"/>
                <w:szCs w:val="1"/>
                <w:color w:val="auto"/>
              </w:rPr>
            </w:pPr>
          </w:p>
        </w:tc>
      </w:tr>
      <w:tr>
        <w:trPr>
          <w:trHeight w:val="135"/>
        </w:trPr>
        <w:tc>
          <w:tcPr>
            <w:tcW w:w="3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St. George’s University Scholastic Services LLC </w:t>
            </w:r>
            <w:r>
              <w:rPr>
                <w:rFonts w:ascii="Arial" w:cs="Arial" w:eastAsia="Arial" w:hAnsi="Arial"/>
                <w:sz w:val="10"/>
                <w:szCs w:val="10"/>
                <w:color w:val="auto"/>
              </w:rPr>
              <w:t>(6)</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08/09/2021</w:t>
            </w:r>
          </w:p>
        </w:tc>
        <w:tc>
          <w:tcPr>
            <w:tcW w:w="3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86"/>
              </w:rPr>
              <w:t>Consumer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5.75%</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L+475</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2,000,000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1,990,000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2,002,500</w:t>
            </w:r>
          </w:p>
        </w:tc>
        <w:tc>
          <w:tcPr>
            <w:tcW w:w="0" w:type="dxa"/>
            <w:vAlign w:val="bottom"/>
          </w:tcPr>
          <w:p>
            <w:pPr>
              <w:spacing w:after="0"/>
              <w:rPr>
                <w:sz w:val="1"/>
                <w:szCs w:val="1"/>
                <w:color w:val="auto"/>
              </w:rPr>
            </w:pPr>
          </w:p>
        </w:tc>
      </w:tr>
      <w:tr>
        <w:trPr>
          <w:trHeight w:val="135"/>
        </w:trPr>
        <w:tc>
          <w:tcPr>
            <w:tcW w:w="3580" w:type="dxa"/>
            <w:vAlign w:val="bottom"/>
            <w:gridSpan w:val="2"/>
          </w:tcPr>
          <w:p>
            <w:pPr>
              <w:spacing w:after="0" w:line="135" w:lineRule="exact"/>
              <w:rPr>
                <w:sz w:val="20"/>
                <w:szCs w:val="20"/>
                <w:color w:val="auto"/>
              </w:rPr>
            </w:pPr>
            <w:r>
              <w:rPr>
                <w:rFonts w:ascii="Arial" w:cs="Arial" w:eastAsia="Arial" w:hAnsi="Arial"/>
                <w:sz w:val="13"/>
                <w:szCs w:val="13"/>
                <w:color w:val="auto"/>
              </w:rPr>
              <w:t>Surgical Specialties Corporation (US), Inc.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08/22/2018</w:t>
            </w:r>
          </w:p>
        </w:tc>
        <w:tc>
          <w:tcPr>
            <w:tcW w:w="300" w:type="dxa"/>
            <w:vAlign w:val="bottom"/>
          </w:tcPr>
          <w:p>
            <w:pPr>
              <w:spacing w:after="0"/>
              <w:rPr>
                <w:sz w:val="11"/>
                <w:szCs w:val="11"/>
                <w:color w:val="auto"/>
              </w:rPr>
            </w:pPr>
          </w:p>
        </w:tc>
        <w:tc>
          <w:tcPr>
            <w:tcW w:w="192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7.25%</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L+575</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3,375,000</w:t>
            </w:r>
          </w:p>
        </w:tc>
        <w:tc>
          <w:tcPr>
            <w:tcW w:w="6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3,347,830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3,366,563</w:t>
            </w:r>
          </w:p>
        </w:tc>
        <w:tc>
          <w:tcPr>
            <w:tcW w:w="0" w:type="dxa"/>
            <w:vAlign w:val="bottom"/>
          </w:tcPr>
          <w:p>
            <w:pPr>
              <w:spacing w:after="0"/>
              <w:rPr>
                <w:sz w:val="1"/>
                <w:szCs w:val="1"/>
                <w:color w:val="auto"/>
              </w:rPr>
            </w:pPr>
          </w:p>
        </w:tc>
      </w:tr>
      <w:tr>
        <w:trPr>
          <w:trHeight w:val="135"/>
        </w:trPr>
        <w:tc>
          <w:tcPr>
            <w:tcW w:w="3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Sutherland Global Services, Inc.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03/06/2019</w:t>
            </w:r>
          </w:p>
        </w:tc>
        <w:tc>
          <w:tcPr>
            <w:tcW w:w="3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84"/>
              </w:rPr>
              <w:t>Business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7.25%</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L+600</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925,000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910,694</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922,688</w:t>
            </w:r>
          </w:p>
        </w:tc>
        <w:tc>
          <w:tcPr>
            <w:tcW w:w="0" w:type="dxa"/>
            <w:vAlign w:val="bottom"/>
          </w:tcPr>
          <w:p>
            <w:pPr>
              <w:spacing w:after="0"/>
              <w:rPr>
                <w:sz w:val="1"/>
                <w:szCs w:val="1"/>
                <w:color w:val="auto"/>
              </w:rPr>
            </w:pPr>
          </w:p>
        </w:tc>
      </w:tr>
      <w:tr>
        <w:trPr>
          <w:trHeight w:val="135"/>
        </w:trPr>
        <w:tc>
          <w:tcPr>
            <w:tcW w:w="3580" w:type="dxa"/>
            <w:vAlign w:val="bottom"/>
            <w:gridSpan w:val="2"/>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10/18/2019</w:t>
            </w:r>
          </w:p>
        </w:tc>
        <w:tc>
          <w:tcPr>
            <w:tcW w:w="300" w:type="dxa"/>
            <w:vAlign w:val="bottom"/>
          </w:tcPr>
          <w:p>
            <w:pPr>
              <w:spacing w:after="0"/>
              <w:rPr>
                <w:sz w:val="11"/>
                <w:szCs w:val="11"/>
                <w:color w:val="auto"/>
              </w:rPr>
            </w:pPr>
          </w:p>
        </w:tc>
        <w:tc>
          <w:tcPr>
            <w:tcW w:w="192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8"/>
              </w:rPr>
              <w:t>High Tech Industries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5.00%</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L+400</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5,955,000</w:t>
            </w:r>
          </w:p>
        </w:tc>
        <w:tc>
          <w:tcPr>
            <w:tcW w:w="6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5,931,546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5,910,338</w:t>
            </w:r>
          </w:p>
        </w:tc>
        <w:tc>
          <w:tcPr>
            <w:tcW w:w="0" w:type="dxa"/>
            <w:vAlign w:val="bottom"/>
          </w:tcPr>
          <w:p>
            <w:pPr>
              <w:spacing w:after="0"/>
              <w:rPr>
                <w:sz w:val="1"/>
                <w:szCs w:val="1"/>
                <w:color w:val="auto"/>
              </w:rPr>
            </w:pPr>
          </w:p>
        </w:tc>
      </w:tr>
      <w:tr>
        <w:trPr>
          <w:trHeight w:val="135"/>
        </w:trPr>
        <w:tc>
          <w:tcPr>
            <w:tcW w:w="3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Tensar Corporation</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07/09/2021</w:t>
            </w:r>
          </w:p>
        </w:tc>
        <w:tc>
          <w:tcPr>
            <w:tcW w:w="3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90"/>
              </w:rPr>
              <w:t>Construction and Building</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5.75%</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L+475</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5,000,000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4,950,448</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4,968,750</w:t>
            </w:r>
          </w:p>
        </w:tc>
        <w:tc>
          <w:tcPr>
            <w:tcW w:w="0" w:type="dxa"/>
            <w:vAlign w:val="bottom"/>
          </w:tcPr>
          <w:p>
            <w:pPr>
              <w:spacing w:after="0"/>
              <w:rPr>
                <w:sz w:val="1"/>
                <w:szCs w:val="1"/>
                <w:color w:val="auto"/>
              </w:rPr>
            </w:pPr>
          </w:p>
        </w:tc>
      </w:tr>
      <w:tr>
        <w:trPr>
          <w:trHeight w:val="135"/>
        </w:trPr>
        <w:tc>
          <w:tcPr>
            <w:tcW w:w="3580" w:type="dxa"/>
            <w:vAlign w:val="bottom"/>
            <w:gridSpan w:val="2"/>
          </w:tcPr>
          <w:p>
            <w:pPr>
              <w:spacing w:after="0" w:line="135" w:lineRule="exact"/>
              <w:rPr>
                <w:sz w:val="20"/>
                <w:szCs w:val="20"/>
                <w:color w:val="auto"/>
              </w:rPr>
            </w:pPr>
            <w:r>
              <w:rPr>
                <w:rFonts w:ascii="Arial" w:cs="Arial" w:eastAsia="Arial" w:hAnsi="Arial"/>
                <w:sz w:val="13"/>
                <w:szCs w:val="13"/>
                <w:color w:val="auto"/>
              </w:rPr>
              <w:t>Therakos, Inc.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12/27/2017</w:t>
            </w:r>
          </w:p>
        </w:tc>
        <w:tc>
          <w:tcPr>
            <w:tcW w:w="300" w:type="dxa"/>
            <w:vAlign w:val="bottom"/>
          </w:tcPr>
          <w:p>
            <w:pPr>
              <w:spacing w:after="0"/>
              <w:rPr>
                <w:sz w:val="11"/>
                <w:szCs w:val="11"/>
                <w:color w:val="auto"/>
              </w:rPr>
            </w:pPr>
          </w:p>
        </w:tc>
        <w:tc>
          <w:tcPr>
            <w:tcW w:w="192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7.50%</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L+625</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4,843,177</w:t>
            </w:r>
          </w:p>
        </w:tc>
        <w:tc>
          <w:tcPr>
            <w:tcW w:w="6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4,775,215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4,861,339</w:t>
            </w:r>
          </w:p>
        </w:tc>
        <w:tc>
          <w:tcPr>
            <w:tcW w:w="0" w:type="dxa"/>
            <w:vAlign w:val="bottom"/>
          </w:tcPr>
          <w:p>
            <w:pPr>
              <w:spacing w:after="0"/>
              <w:rPr>
                <w:sz w:val="1"/>
                <w:szCs w:val="1"/>
                <w:color w:val="auto"/>
              </w:rPr>
            </w:pPr>
          </w:p>
        </w:tc>
      </w:tr>
      <w:tr>
        <w:trPr>
          <w:trHeight w:val="121"/>
        </w:trPr>
        <w:tc>
          <w:tcPr>
            <w:tcW w:w="35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04/15/2016</w:t>
            </w:r>
          </w:p>
        </w:tc>
        <w:tc>
          <w:tcPr>
            <w:tcW w:w="300" w:type="dxa"/>
            <w:vAlign w:val="bottom"/>
            <w:shd w:val="clear" w:color="auto" w:fill="CCEEFF"/>
          </w:tcPr>
          <w:p>
            <w:pPr>
              <w:spacing w:after="0"/>
              <w:rPr>
                <w:sz w:val="10"/>
                <w:szCs w:val="10"/>
                <w:color w:val="auto"/>
              </w:rPr>
            </w:pPr>
          </w:p>
        </w:tc>
        <w:tc>
          <w:tcPr>
            <w:tcW w:w="1920" w:type="dxa"/>
            <w:vAlign w:val="bottom"/>
            <w:gridSpan w:val="2"/>
            <w:shd w:val="clear" w:color="auto" w:fill="CCEEFF"/>
          </w:tcPr>
          <w:p>
            <w:pPr>
              <w:jc w:val="center"/>
              <w:ind w:right="300"/>
              <w:spacing w:after="0" w:line="121"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shd w:val="clear" w:color="auto" w:fill="CCEEFF"/>
          </w:tcPr>
          <w:p>
            <w:pPr>
              <w:jc w:val="right"/>
              <w:ind w:right="400"/>
              <w:spacing w:after="0" w:line="121" w:lineRule="exact"/>
              <w:rPr>
                <w:sz w:val="20"/>
                <w:szCs w:val="20"/>
                <w:color w:val="auto"/>
              </w:rPr>
            </w:pPr>
            <w:r>
              <w:rPr>
                <w:rFonts w:ascii="Arial" w:cs="Arial" w:eastAsia="Arial" w:hAnsi="Arial"/>
                <w:sz w:val="13"/>
                <w:szCs w:val="13"/>
                <w:color w:val="auto"/>
              </w:rPr>
              <w:t>12.25</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L+1,125</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135,817</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135,817</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135,817</w:t>
            </w:r>
          </w:p>
        </w:tc>
        <w:tc>
          <w:tcPr>
            <w:tcW w:w="0" w:type="dxa"/>
            <w:vAlign w:val="bottom"/>
          </w:tcPr>
          <w:p>
            <w:pPr>
              <w:spacing w:after="0"/>
              <w:rPr>
                <w:sz w:val="1"/>
                <w:szCs w:val="1"/>
                <w:color w:val="auto"/>
              </w:rPr>
            </w:pPr>
          </w:p>
        </w:tc>
      </w:tr>
      <w:tr>
        <w:trPr>
          <w:trHeight w:val="163"/>
        </w:trPr>
        <w:tc>
          <w:tcPr>
            <w:tcW w:w="3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(PIK 7.25%)</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80" w:type="dxa"/>
            <w:vAlign w:val="bottom"/>
            <w:gridSpan w:val="2"/>
          </w:tcPr>
          <w:p>
            <w:pPr>
              <w:spacing w:after="0" w:line="135" w:lineRule="exact"/>
              <w:rPr>
                <w:sz w:val="20"/>
                <w:szCs w:val="20"/>
                <w:color w:val="auto"/>
              </w:rPr>
            </w:pPr>
            <w:r>
              <w:rPr>
                <w:rFonts w:ascii="Arial" w:cs="Arial" w:eastAsia="Arial" w:hAnsi="Arial"/>
                <w:sz w:val="13"/>
                <w:szCs w:val="13"/>
                <w:color w:val="auto"/>
              </w:rPr>
              <w:t>UniTek Global Services, Inc.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04/16/2018</w:t>
            </w:r>
          </w:p>
        </w:tc>
        <w:tc>
          <w:tcPr>
            <w:tcW w:w="300" w:type="dxa"/>
            <w:vAlign w:val="bottom"/>
          </w:tcPr>
          <w:p>
            <w:pPr>
              <w:spacing w:after="0"/>
              <w:rPr>
                <w:sz w:val="11"/>
                <w:szCs w:val="11"/>
                <w:color w:val="auto"/>
              </w:rPr>
            </w:pPr>
          </w:p>
        </w:tc>
        <w:tc>
          <w:tcPr>
            <w:tcW w:w="192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2,184,319</w:t>
            </w:r>
          </w:p>
        </w:tc>
        <w:tc>
          <w:tcPr>
            <w:tcW w:w="6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2,150,875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1,332,435</w:t>
            </w:r>
          </w:p>
        </w:tc>
        <w:tc>
          <w:tcPr>
            <w:tcW w:w="0" w:type="dxa"/>
            <w:vAlign w:val="bottom"/>
          </w:tcPr>
          <w:p>
            <w:pPr>
              <w:spacing w:after="0"/>
              <w:rPr>
                <w:sz w:val="1"/>
                <w:szCs w:val="1"/>
                <w:color w:val="auto"/>
              </w:rPr>
            </w:pPr>
          </w:p>
        </w:tc>
      </w:tr>
      <w:tr>
        <w:trPr>
          <w:trHeight w:val="135"/>
        </w:trPr>
        <w:tc>
          <w:tcPr>
            <w:tcW w:w="3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Virtual Radiologic Corporation </w:t>
            </w:r>
            <w:r>
              <w:rPr>
                <w:rFonts w:ascii="Arial" w:cs="Arial" w:eastAsia="Arial" w:hAnsi="Arial"/>
                <w:sz w:val="10"/>
                <w:szCs w:val="10"/>
                <w:color w:val="auto"/>
              </w:rPr>
              <w:t>(8)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12/22/2016</w:t>
            </w:r>
          </w:p>
        </w:tc>
        <w:tc>
          <w:tcPr>
            <w:tcW w:w="3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84"/>
              </w:rPr>
              <w:t>Business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7.26%</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L+550</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2,925,663</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2,915,553</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2,157,677</w:t>
            </w:r>
          </w:p>
        </w:tc>
        <w:tc>
          <w:tcPr>
            <w:tcW w:w="0" w:type="dxa"/>
            <w:vAlign w:val="bottom"/>
          </w:tcPr>
          <w:p>
            <w:pPr>
              <w:spacing w:after="0"/>
              <w:rPr>
                <w:sz w:val="1"/>
                <w:szCs w:val="1"/>
                <w:color w:val="auto"/>
              </w:rPr>
            </w:pPr>
          </w:p>
        </w:tc>
      </w:tr>
      <w:tr>
        <w:trPr>
          <w:trHeight w:val="135"/>
        </w:trPr>
        <w:tc>
          <w:tcPr>
            <w:tcW w:w="3580" w:type="dxa"/>
            <w:vAlign w:val="bottom"/>
            <w:gridSpan w:val="2"/>
          </w:tcPr>
          <w:p>
            <w:pPr>
              <w:spacing w:after="0" w:line="135" w:lineRule="exact"/>
              <w:rPr>
                <w:sz w:val="20"/>
                <w:szCs w:val="20"/>
                <w:color w:val="auto"/>
              </w:rPr>
            </w:pPr>
            <w:r>
              <w:rPr>
                <w:rFonts w:ascii="Arial" w:cs="Arial" w:eastAsia="Arial" w:hAnsi="Arial"/>
                <w:sz w:val="13"/>
                <w:szCs w:val="13"/>
                <w:color w:val="auto"/>
              </w:rPr>
              <w:t>Wilton Brands,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08/30/2018</w:t>
            </w:r>
          </w:p>
        </w:tc>
        <w:tc>
          <w:tcPr>
            <w:tcW w:w="300" w:type="dxa"/>
            <w:vAlign w:val="bottom"/>
          </w:tcPr>
          <w:p>
            <w:pPr>
              <w:spacing w:after="0"/>
              <w:rPr>
                <w:sz w:val="11"/>
                <w:szCs w:val="11"/>
                <w:color w:val="auto"/>
              </w:rPr>
            </w:pPr>
          </w:p>
        </w:tc>
        <w:tc>
          <w:tcPr>
            <w:tcW w:w="192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8"/>
              </w:rPr>
              <w:t>Consumer Goods: Non-Durable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7.50%</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L+625</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3,017,653</w:t>
            </w:r>
          </w:p>
        </w:tc>
        <w:tc>
          <w:tcPr>
            <w:tcW w:w="6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2,977,186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2,844,138</w:t>
            </w:r>
          </w:p>
        </w:tc>
        <w:tc>
          <w:tcPr>
            <w:tcW w:w="0" w:type="dxa"/>
            <w:vAlign w:val="bottom"/>
          </w:tcPr>
          <w:p>
            <w:pPr>
              <w:spacing w:after="0"/>
              <w:rPr>
                <w:sz w:val="1"/>
                <w:szCs w:val="1"/>
                <w:color w:val="auto"/>
              </w:rPr>
            </w:pPr>
          </w:p>
        </w:tc>
      </w:tr>
      <w:tr>
        <w:trPr>
          <w:trHeight w:val="121"/>
        </w:trPr>
        <w:tc>
          <w:tcPr>
            <w:tcW w:w="35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YP LLC</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06/04/2018</w:t>
            </w:r>
          </w:p>
        </w:tc>
        <w:tc>
          <w:tcPr>
            <w:tcW w:w="300" w:type="dxa"/>
            <w:vAlign w:val="bottom"/>
            <w:shd w:val="clear" w:color="auto" w:fill="CCEEFF"/>
          </w:tcPr>
          <w:p>
            <w:pPr>
              <w:spacing w:after="0"/>
              <w:rPr>
                <w:sz w:val="10"/>
                <w:szCs w:val="10"/>
                <w:color w:val="auto"/>
              </w:rPr>
            </w:pPr>
          </w:p>
        </w:tc>
        <w:tc>
          <w:tcPr>
            <w:tcW w:w="1920" w:type="dxa"/>
            <w:vAlign w:val="bottom"/>
            <w:gridSpan w:val="2"/>
            <w:shd w:val="clear" w:color="auto" w:fill="CCEEFF"/>
          </w:tcPr>
          <w:p>
            <w:pPr>
              <w:jc w:val="center"/>
              <w:ind w:right="300"/>
              <w:spacing w:after="0" w:line="121" w:lineRule="exact"/>
              <w:rPr>
                <w:sz w:val="20"/>
                <w:szCs w:val="20"/>
                <w:color w:val="auto"/>
              </w:rPr>
            </w:pPr>
            <w:r>
              <w:rPr>
                <w:rFonts w:ascii="Arial" w:cs="Arial" w:eastAsia="Arial" w:hAnsi="Arial"/>
                <w:sz w:val="13"/>
                <w:szCs w:val="13"/>
                <w:color w:val="auto"/>
                <w:w w:val="92"/>
              </w:rPr>
              <w:t>Media: Advertising, Printing</w:t>
            </w:r>
          </w:p>
        </w:tc>
        <w:tc>
          <w:tcPr>
            <w:tcW w:w="100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8.00%</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L+675</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3,224,845</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3,160,701</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3,230,907</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color w:val="auto"/>
                <w:w w:val="86"/>
              </w:rPr>
              <w:t>and Publishing</w:t>
            </w: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gridSpan w:val="2"/>
          </w:tcPr>
          <w:p>
            <w:pPr>
              <w:spacing w:after="0" w:line="135" w:lineRule="exact"/>
              <w:rPr>
                <w:sz w:val="20"/>
                <w:szCs w:val="20"/>
                <w:color w:val="auto"/>
              </w:rPr>
            </w:pPr>
            <w:r>
              <w:rPr>
                <w:rFonts w:ascii="Arial" w:cs="Arial" w:eastAsia="Arial" w:hAnsi="Arial"/>
                <w:sz w:val="13"/>
                <w:szCs w:val="13"/>
                <w:color w:val="auto"/>
              </w:rPr>
              <w:t>Zest Holdings,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08/17/2020</w:t>
            </w:r>
          </w:p>
        </w:tc>
        <w:tc>
          <w:tcPr>
            <w:tcW w:w="300" w:type="dxa"/>
            <w:vAlign w:val="bottom"/>
          </w:tcPr>
          <w:p>
            <w:pPr>
              <w:spacing w:after="0"/>
              <w:rPr>
                <w:sz w:val="12"/>
                <w:szCs w:val="12"/>
                <w:color w:val="auto"/>
              </w:rPr>
            </w:pPr>
          </w:p>
        </w:tc>
        <w:tc>
          <w:tcPr>
            <w:tcW w:w="192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5.25%</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L+425</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8,910,169</w:t>
            </w: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8,910,169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8,910,169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5"/>
              </w:rPr>
              <w:t>302,889,195</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8"/>
              </w:rPr>
              <w:t>302,565,355</w:t>
            </w:r>
          </w:p>
        </w:tc>
        <w:tc>
          <w:tcPr>
            <w:tcW w:w="0" w:type="dxa"/>
            <w:vAlign w:val="bottom"/>
          </w:tcPr>
          <w:p>
            <w:pPr>
              <w:spacing w:after="0"/>
              <w:rPr>
                <w:sz w:val="1"/>
                <w:szCs w:val="1"/>
                <w:color w:val="auto"/>
              </w:rPr>
            </w:pPr>
          </w:p>
        </w:tc>
      </w:tr>
      <w:tr>
        <w:trPr>
          <w:trHeight w:val="142"/>
        </w:trPr>
        <w:tc>
          <w:tcPr>
            <w:tcW w:w="35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Second Lien Secured Debt—17.0%</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09/01/2017</w:t>
            </w:r>
          </w:p>
        </w:tc>
        <w:tc>
          <w:tcPr>
            <w:tcW w:w="3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90"/>
              </w:rPr>
              <w:t>Metals and Mining</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11.50%</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1,000,000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1,000,000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1,080,000</w:t>
            </w:r>
          </w:p>
        </w:tc>
        <w:tc>
          <w:tcPr>
            <w:tcW w:w="0" w:type="dxa"/>
            <w:vAlign w:val="bottom"/>
          </w:tcPr>
          <w:p>
            <w:pPr>
              <w:spacing w:after="0"/>
              <w:rPr>
                <w:sz w:val="1"/>
                <w:szCs w:val="1"/>
                <w:color w:val="auto"/>
              </w:rPr>
            </w:pPr>
          </w:p>
        </w:tc>
      </w:tr>
      <w:tr>
        <w:trPr>
          <w:trHeight w:val="135"/>
        </w:trPr>
        <w:tc>
          <w:tcPr>
            <w:tcW w:w="35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Cannery Casino Resorts, LLC </w:t>
            </w:r>
            <w:r>
              <w:rPr>
                <w:rFonts w:ascii="Arial" w:cs="Arial" w:eastAsia="Arial" w:hAnsi="Arial"/>
                <w:sz w:val="10"/>
                <w:szCs w:val="10"/>
                <w:color w:val="auto"/>
              </w:rPr>
              <w:t>(8)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10/02/2019</w:t>
            </w:r>
          </w:p>
        </w:tc>
        <w:tc>
          <w:tcPr>
            <w:tcW w:w="300" w:type="dxa"/>
            <w:vAlign w:val="bottom"/>
          </w:tcPr>
          <w:p>
            <w:pPr>
              <w:spacing w:after="0"/>
              <w:rPr>
                <w:sz w:val="11"/>
                <w:szCs w:val="11"/>
                <w:color w:val="auto"/>
              </w:rPr>
            </w:pPr>
          </w:p>
        </w:tc>
        <w:tc>
          <w:tcPr>
            <w:tcW w:w="192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9"/>
              </w:rPr>
              <w:t>Hotel, Gaming and Leisure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10.00%</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L+875</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1,700,000</w:t>
            </w:r>
          </w:p>
        </w:tc>
        <w:tc>
          <w:tcPr>
            <w:tcW w:w="6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1,675,421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1,687,250</w:t>
            </w:r>
          </w:p>
        </w:tc>
        <w:tc>
          <w:tcPr>
            <w:tcW w:w="0" w:type="dxa"/>
            <w:vAlign w:val="bottom"/>
          </w:tcPr>
          <w:p>
            <w:pPr>
              <w:spacing w:after="0"/>
              <w:rPr>
                <w:sz w:val="1"/>
                <w:szCs w:val="1"/>
                <w:color w:val="auto"/>
              </w:rPr>
            </w:pPr>
          </w:p>
        </w:tc>
      </w:tr>
      <w:tr>
        <w:trPr>
          <w:trHeight w:val="135"/>
        </w:trPr>
        <w:tc>
          <w:tcPr>
            <w:tcW w:w="3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Carolina Beverage Group, LLC </w:t>
            </w:r>
            <w:r>
              <w:rPr>
                <w:rFonts w:ascii="Arial" w:cs="Arial" w:eastAsia="Arial" w:hAnsi="Arial"/>
                <w:sz w:val="10"/>
                <w:szCs w:val="10"/>
                <w:color w:val="auto"/>
              </w:rPr>
              <w:t>(5), (8)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08/01/2018</w:t>
            </w:r>
          </w:p>
        </w:tc>
        <w:tc>
          <w:tcPr>
            <w:tcW w:w="3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85"/>
              </w:rPr>
              <w:t>Beverage, Food and Tobacco</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10.63%</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3,500,000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3,500,000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3,613,750</w:t>
            </w:r>
          </w:p>
        </w:tc>
        <w:tc>
          <w:tcPr>
            <w:tcW w:w="0" w:type="dxa"/>
            <w:vAlign w:val="bottom"/>
          </w:tcPr>
          <w:p>
            <w:pPr>
              <w:spacing w:after="0"/>
              <w:rPr>
                <w:sz w:val="1"/>
                <w:szCs w:val="1"/>
                <w:color w:val="auto"/>
              </w:rPr>
            </w:pPr>
          </w:p>
        </w:tc>
      </w:tr>
      <w:tr>
        <w:trPr>
          <w:trHeight w:val="135"/>
        </w:trPr>
        <w:tc>
          <w:tcPr>
            <w:tcW w:w="35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J.A. Cosmetics Holdings, Inc. </w:t>
            </w:r>
            <w:r>
              <w:rPr>
                <w:rFonts w:ascii="Arial" w:cs="Arial" w:eastAsia="Arial" w:hAnsi="Arial"/>
                <w:sz w:val="10"/>
                <w:szCs w:val="10"/>
                <w:color w:val="auto"/>
              </w:rPr>
              <w:t>(8)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07/31/2019</w:t>
            </w:r>
          </w:p>
        </w:tc>
        <w:tc>
          <w:tcPr>
            <w:tcW w:w="300" w:type="dxa"/>
            <w:vAlign w:val="bottom"/>
          </w:tcPr>
          <w:p>
            <w:pPr>
              <w:spacing w:after="0"/>
              <w:rPr>
                <w:sz w:val="11"/>
                <w:szCs w:val="11"/>
                <w:color w:val="auto"/>
              </w:rPr>
            </w:pPr>
          </w:p>
        </w:tc>
        <w:tc>
          <w:tcPr>
            <w:tcW w:w="192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11.00%</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L+1,000</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4,000,000</w:t>
            </w:r>
          </w:p>
        </w:tc>
        <w:tc>
          <w:tcPr>
            <w:tcW w:w="6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3,926,394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4,059,524</w:t>
            </w:r>
          </w:p>
        </w:tc>
        <w:tc>
          <w:tcPr>
            <w:tcW w:w="0" w:type="dxa"/>
            <w:vAlign w:val="bottom"/>
          </w:tcPr>
          <w:p>
            <w:pPr>
              <w:spacing w:after="0"/>
              <w:rPr>
                <w:sz w:val="1"/>
                <w:szCs w:val="1"/>
                <w:color w:val="auto"/>
              </w:rPr>
            </w:pPr>
          </w:p>
        </w:tc>
      </w:tr>
      <w:tr>
        <w:trPr>
          <w:trHeight w:val="135"/>
        </w:trPr>
        <w:tc>
          <w:tcPr>
            <w:tcW w:w="3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Language Line,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12/20/2016</w:t>
            </w:r>
          </w:p>
        </w:tc>
        <w:tc>
          <w:tcPr>
            <w:tcW w:w="3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86"/>
              </w:rPr>
              <w:t>Consumer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10.50%</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L+875</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7,100,000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7,026,077</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7,023,107</w:t>
            </w:r>
          </w:p>
        </w:tc>
        <w:tc>
          <w:tcPr>
            <w:tcW w:w="0" w:type="dxa"/>
            <w:vAlign w:val="bottom"/>
          </w:tcPr>
          <w:p>
            <w:pPr>
              <w:spacing w:after="0"/>
              <w:rPr>
                <w:sz w:val="1"/>
                <w:szCs w:val="1"/>
                <w:color w:val="auto"/>
              </w:rPr>
            </w:pPr>
          </w:p>
        </w:tc>
      </w:tr>
      <w:tr>
        <w:trPr>
          <w:trHeight w:val="135"/>
        </w:trPr>
        <w:tc>
          <w:tcPr>
            <w:tcW w:w="3580" w:type="dxa"/>
            <w:vAlign w:val="bottom"/>
            <w:gridSpan w:val="2"/>
          </w:tcPr>
          <w:p>
            <w:pPr>
              <w:spacing w:after="0" w:line="135" w:lineRule="exact"/>
              <w:rPr>
                <w:sz w:val="20"/>
                <w:szCs w:val="20"/>
                <w:color w:val="auto"/>
              </w:rPr>
            </w:pPr>
            <w:r>
              <w:rPr>
                <w:rFonts w:ascii="Arial" w:cs="Arial" w:eastAsia="Arial" w:hAnsi="Arial"/>
                <w:sz w:val="13"/>
                <w:szCs w:val="13"/>
                <w:color w:val="auto"/>
              </w:rPr>
              <w:t>Novitex Acquisition,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07/07/2021</w:t>
            </w:r>
          </w:p>
        </w:tc>
        <w:tc>
          <w:tcPr>
            <w:tcW w:w="300" w:type="dxa"/>
            <w:vAlign w:val="bottom"/>
          </w:tcPr>
          <w:p>
            <w:pPr>
              <w:spacing w:after="0"/>
              <w:rPr>
                <w:sz w:val="11"/>
                <w:szCs w:val="11"/>
                <w:color w:val="auto"/>
              </w:rPr>
            </w:pPr>
          </w:p>
        </w:tc>
        <w:tc>
          <w:tcPr>
            <w:tcW w:w="192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4"/>
              </w:rPr>
              <w:t>Business Services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11.75%</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L+1,050</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w w:val="89"/>
              </w:rPr>
              <w:t>11,000,000</w:t>
            </w:r>
          </w:p>
        </w:tc>
        <w:tc>
          <w:tcPr>
            <w:tcW w:w="6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10,893,446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8"/>
              </w:rPr>
              <w:t>10,780,000</w:t>
            </w:r>
          </w:p>
        </w:tc>
        <w:tc>
          <w:tcPr>
            <w:tcW w:w="0" w:type="dxa"/>
            <w:vAlign w:val="bottom"/>
          </w:tcPr>
          <w:p>
            <w:pPr>
              <w:spacing w:after="0"/>
              <w:rPr>
                <w:sz w:val="1"/>
                <w:szCs w:val="1"/>
                <w:color w:val="auto"/>
              </w:rPr>
            </w:pPr>
          </w:p>
        </w:tc>
      </w:tr>
      <w:tr>
        <w:trPr>
          <w:trHeight w:val="121"/>
        </w:trPr>
        <w:tc>
          <w:tcPr>
            <w:tcW w:w="35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10/02/2020</w:t>
            </w:r>
          </w:p>
        </w:tc>
        <w:tc>
          <w:tcPr>
            <w:tcW w:w="300" w:type="dxa"/>
            <w:vAlign w:val="bottom"/>
            <w:shd w:val="clear" w:color="auto" w:fill="CCEEFF"/>
          </w:tcPr>
          <w:p>
            <w:pPr>
              <w:spacing w:after="0"/>
              <w:rPr>
                <w:sz w:val="10"/>
                <w:szCs w:val="10"/>
                <w:color w:val="auto"/>
              </w:rPr>
            </w:pPr>
          </w:p>
        </w:tc>
        <w:tc>
          <w:tcPr>
            <w:tcW w:w="1920" w:type="dxa"/>
            <w:vAlign w:val="bottom"/>
            <w:gridSpan w:val="2"/>
            <w:shd w:val="clear" w:color="auto" w:fill="CCEEFF"/>
          </w:tcPr>
          <w:p>
            <w:pPr>
              <w:jc w:val="center"/>
              <w:ind w:right="300"/>
              <w:spacing w:after="0" w:line="121" w:lineRule="exact"/>
              <w:rPr>
                <w:sz w:val="20"/>
                <w:szCs w:val="20"/>
                <w:color w:val="auto"/>
              </w:rPr>
            </w:pPr>
            <w:r>
              <w:rPr>
                <w:rFonts w:ascii="Arial" w:cs="Arial" w:eastAsia="Arial" w:hAnsi="Arial"/>
                <w:sz w:val="13"/>
                <w:szCs w:val="13"/>
                <w:color w:val="auto"/>
                <w:w w:val="91"/>
              </w:rPr>
              <w:t>Media: Diversified and</w:t>
            </w:r>
          </w:p>
        </w:tc>
        <w:tc>
          <w:tcPr>
            <w:tcW w:w="100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9.00%</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L+775</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5,600,000</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5,527,495</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5,593,000</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color w:val="auto"/>
                <w:w w:val="86"/>
              </w:rPr>
              <w:t>Production</w:t>
            </w: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08/01/2017</w:t>
            </w:r>
          </w:p>
        </w:tc>
        <w:tc>
          <w:tcPr>
            <w:tcW w:w="300" w:type="dxa"/>
            <w:vAlign w:val="bottom"/>
          </w:tcPr>
          <w:p>
            <w:pPr>
              <w:spacing w:after="0"/>
              <w:rPr>
                <w:sz w:val="12"/>
                <w:szCs w:val="12"/>
                <w:color w:val="auto"/>
              </w:rPr>
            </w:pPr>
          </w:p>
        </w:tc>
        <w:tc>
          <w:tcPr>
            <w:tcW w:w="192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7"/>
              </w:rPr>
              <w:t>Energy: Oil and Gas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10.00%</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2,812,500</w:t>
            </w: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2,645,114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2,638,153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5"/>
              </w:rPr>
              <w:t>36,193,947</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8"/>
              </w:rPr>
              <w:t>36,474,784</w:t>
            </w:r>
          </w:p>
        </w:tc>
        <w:tc>
          <w:tcPr>
            <w:tcW w:w="0" w:type="dxa"/>
            <w:vAlign w:val="bottom"/>
          </w:tcPr>
          <w:p>
            <w:pPr>
              <w:spacing w:after="0"/>
              <w:rPr>
                <w:sz w:val="1"/>
                <w:szCs w:val="1"/>
                <w:color w:val="auto"/>
              </w:rPr>
            </w:pPr>
          </w:p>
        </w:tc>
      </w:tr>
      <w:tr>
        <w:trPr>
          <w:trHeight w:val="142"/>
        </w:trPr>
        <w:tc>
          <w:tcPr>
            <w:tcW w:w="35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Subordinated Debt/Corporate Notes—3.3% </w:t>
            </w:r>
            <w:r>
              <w:rPr>
                <w:rFonts w:ascii="Arial" w:cs="Arial" w:eastAsia="Arial" w:hAnsi="Arial"/>
                <w:sz w:val="10"/>
                <w:szCs w:val="10"/>
                <w:b w:val="1"/>
                <w:bCs w:val="1"/>
                <w:color w:val="auto"/>
              </w:rPr>
              <w:t>(8)</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Affinion Group Holdings, Inc. </w:t>
            </w:r>
            <w:r>
              <w:rPr>
                <w:rFonts w:ascii="Arial" w:cs="Arial" w:eastAsia="Arial" w:hAnsi="Arial"/>
                <w:sz w:val="10"/>
                <w:szCs w:val="10"/>
                <w:color w:val="auto"/>
              </w:rPr>
              <w:t>(5)</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09/14/2018</w:t>
            </w:r>
          </w:p>
        </w:tc>
        <w:tc>
          <w:tcPr>
            <w:tcW w:w="300" w:type="dxa"/>
            <w:vAlign w:val="bottom"/>
            <w:shd w:val="clear" w:color="auto" w:fill="CCEEFF"/>
          </w:tcPr>
          <w:p>
            <w:pPr>
              <w:spacing w:after="0"/>
              <w:rPr>
                <w:sz w:val="10"/>
                <w:szCs w:val="10"/>
                <w:color w:val="auto"/>
              </w:rPr>
            </w:pPr>
          </w:p>
        </w:tc>
        <w:tc>
          <w:tcPr>
            <w:tcW w:w="1920" w:type="dxa"/>
            <w:vAlign w:val="bottom"/>
            <w:gridSpan w:val="2"/>
            <w:shd w:val="clear" w:color="auto" w:fill="CCEEFF"/>
          </w:tcPr>
          <w:p>
            <w:pPr>
              <w:jc w:val="center"/>
              <w:ind w:right="300"/>
              <w:spacing w:after="0" w:line="121"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14.50%</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4,161,233</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3,639,478</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3,537,048</w:t>
            </w:r>
          </w:p>
        </w:tc>
        <w:tc>
          <w:tcPr>
            <w:tcW w:w="0" w:type="dxa"/>
            <w:vAlign w:val="bottom"/>
          </w:tcPr>
          <w:p>
            <w:pPr>
              <w:spacing w:after="0"/>
              <w:rPr>
                <w:sz w:val="1"/>
                <w:szCs w:val="1"/>
                <w:color w:val="auto"/>
              </w:rPr>
            </w:pPr>
          </w:p>
        </w:tc>
      </w:tr>
      <w:tr>
        <w:trPr>
          <w:trHeight w:val="163"/>
        </w:trPr>
        <w:tc>
          <w:tcPr>
            <w:tcW w:w="3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5"/>
              </w:rPr>
              <w:t>(PIK 14.50%)</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Affinion Investments LLC </w:t>
            </w:r>
            <w:r>
              <w:rPr>
                <w:rFonts w:ascii="Arial" w:cs="Arial" w:eastAsia="Arial" w:hAnsi="Arial"/>
                <w:sz w:val="10"/>
                <w:szCs w:val="10"/>
                <w:color w:val="auto"/>
              </w:rPr>
              <w:t>(5)</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08/15/2018</w:t>
            </w:r>
          </w:p>
        </w:tc>
        <w:tc>
          <w:tcPr>
            <w:tcW w:w="300" w:type="dxa"/>
            <w:vAlign w:val="bottom"/>
          </w:tcPr>
          <w:p>
            <w:pPr>
              <w:spacing w:after="0"/>
              <w:rPr>
                <w:sz w:val="11"/>
                <w:szCs w:val="11"/>
                <w:color w:val="auto"/>
              </w:rPr>
            </w:pPr>
          </w:p>
        </w:tc>
        <w:tc>
          <w:tcPr>
            <w:tcW w:w="192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13.50%</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1,734,000</w:t>
            </w:r>
          </w:p>
        </w:tc>
        <w:tc>
          <w:tcPr>
            <w:tcW w:w="6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1,734,000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1,612,620</w:t>
            </w:r>
          </w:p>
        </w:tc>
        <w:tc>
          <w:tcPr>
            <w:tcW w:w="0" w:type="dxa"/>
            <w:vAlign w:val="bottom"/>
          </w:tcPr>
          <w:p>
            <w:pPr>
              <w:spacing w:after="0"/>
              <w:rPr>
                <w:sz w:val="1"/>
                <w:szCs w:val="1"/>
                <w:color w:val="auto"/>
              </w:rPr>
            </w:pPr>
          </w:p>
        </w:tc>
      </w:tr>
      <w:tr>
        <w:trPr>
          <w:trHeight w:val="121"/>
        </w:trPr>
        <w:tc>
          <w:tcPr>
            <w:tcW w:w="35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Credit Infonet, Inc.</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10/26/2018</w:t>
            </w:r>
          </w:p>
        </w:tc>
        <w:tc>
          <w:tcPr>
            <w:tcW w:w="300" w:type="dxa"/>
            <w:vAlign w:val="bottom"/>
            <w:shd w:val="clear" w:color="auto" w:fill="CCEEFF"/>
          </w:tcPr>
          <w:p>
            <w:pPr>
              <w:spacing w:after="0"/>
              <w:rPr>
                <w:sz w:val="10"/>
                <w:szCs w:val="10"/>
                <w:color w:val="auto"/>
              </w:rPr>
            </w:pPr>
          </w:p>
        </w:tc>
        <w:tc>
          <w:tcPr>
            <w:tcW w:w="1920" w:type="dxa"/>
            <w:vAlign w:val="bottom"/>
            <w:gridSpan w:val="2"/>
            <w:shd w:val="clear" w:color="auto" w:fill="CCEEFF"/>
          </w:tcPr>
          <w:p>
            <w:pPr>
              <w:jc w:val="center"/>
              <w:ind w:right="300"/>
              <w:spacing w:after="0" w:line="121" w:lineRule="exact"/>
              <w:rPr>
                <w:sz w:val="20"/>
                <w:szCs w:val="20"/>
                <w:color w:val="auto"/>
              </w:rPr>
            </w:pPr>
            <w:r>
              <w:rPr>
                <w:rFonts w:ascii="Arial" w:cs="Arial" w:eastAsia="Arial" w:hAnsi="Arial"/>
                <w:sz w:val="13"/>
                <w:szCs w:val="13"/>
                <w:color w:val="auto"/>
                <w:w w:val="88"/>
              </w:rPr>
              <w:t>High Tech Industries</w:t>
            </w:r>
          </w:p>
        </w:tc>
        <w:tc>
          <w:tcPr>
            <w:tcW w:w="100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12.50%</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1,993,762</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1,961,974</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1,924,017</w:t>
            </w:r>
          </w:p>
        </w:tc>
        <w:tc>
          <w:tcPr>
            <w:tcW w:w="0" w:type="dxa"/>
            <w:vAlign w:val="bottom"/>
          </w:tcPr>
          <w:p>
            <w:pPr>
              <w:spacing w:after="0"/>
              <w:rPr>
                <w:sz w:val="1"/>
                <w:szCs w:val="1"/>
                <w:color w:val="auto"/>
              </w:rPr>
            </w:pPr>
          </w:p>
        </w:tc>
      </w:tr>
      <w:tr>
        <w:trPr>
          <w:trHeight w:val="163"/>
        </w:trPr>
        <w:tc>
          <w:tcPr>
            <w:tcW w:w="3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(PIK 1.25%)</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Subordinated Debt/Corporate Notes</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7,335,452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7,073,685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Equity—0.2% </w:t>
            </w:r>
            <w:r>
              <w:rPr>
                <w:rFonts w:ascii="Arial" w:cs="Arial" w:eastAsia="Arial" w:hAnsi="Arial"/>
                <w:sz w:val="10"/>
                <w:szCs w:val="10"/>
                <w:b w:val="1"/>
                <w:bCs w:val="1"/>
                <w:color w:val="auto"/>
              </w:rPr>
              <w:t>(7), (8)</w:t>
            </w: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580" w:type="dxa"/>
            <w:vAlign w:val="bottom"/>
            <w:gridSpan w:val="2"/>
          </w:tcPr>
          <w:p>
            <w:pPr>
              <w:spacing w:after="0" w:line="121" w:lineRule="exact"/>
              <w:rPr>
                <w:sz w:val="20"/>
                <w:szCs w:val="20"/>
                <w:color w:val="auto"/>
              </w:rPr>
            </w:pPr>
            <w:r>
              <w:rPr>
                <w:rFonts w:ascii="Arial" w:cs="Arial" w:eastAsia="Arial" w:hAnsi="Arial"/>
                <w:sz w:val="13"/>
                <w:szCs w:val="13"/>
                <w:color w:val="auto"/>
              </w:rPr>
              <w:t>J.A. Cosmetics US, Inc.</w:t>
            </w:r>
          </w:p>
        </w:tc>
        <w:tc>
          <w:tcPr>
            <w:tcW w:w="880" w:type="dxa"/>
            <w:vAlign w:val="bottom"/>
            <w:gridSpan w:val="2"/>
          </w:tcPr>
          <w:p>
            <w:pPr>
              <w:jc w:val="center"/>
              <w:ind w:right="280"/>
              <w:spacing w:after="0" w:line="121" w:lineRule="exact"/>
              <w:rPr>
                <w:sz w:val="20"/>
                <w:szCs w:val="20"/>
                <w:color w:val="auto"/>
              </w:rPr>
            </w:pPr>
            <w:r>
              <w:rPr>
                <w:rFonts w:ascii="Arial" w:cs="Arial" w:eastAsia="Arial" w:hAnsi="Arial"/>
                <w:sz w:val="13"/>
                <w:szCs w:val="13"/>
                <w:color w:val="auto"/>
                <w:w w:val="91"/>
              </w:rPr>
              <w:t>—</w:t>
            </w:r>
          </w:p>
        </w:tc>
        <w:tc>
          <w:tcPr>
            <w:tcW w:w="1920" w:type="dxa"/>
            <w:vAlign w:val="bottom"/>
            <w:gridSpan w:val="2"/>
          </w:tcPr>
          <w:p>
            <w:pPr>
              <w:jc w:val="center"/>
              <w:ind w:right="300"/>
              <w:spacing w:after="0" w:line="121"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8.00%</w:t>
            </w:r>
          </w:p>
        </w:tc>
        <w:tc>
          <w:tcPr>
            <w:tcW w:w="98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400</w:t>
            </w:r>
          </w:p>
        </w:tc>
        <w:tc>
          <w:tcPr>
            <w:tcW w:w="60" w:type="dxa"/>
            <w:vAlign w:val="bottom"/>
          </w:tcPr>
          <w:p>
            <w:pPr>
              <w:spacing w:after="0"/>
              <w:rPr>
                <w:sz w:val="10"/>
                <w:szCs w:val="10"/>
                <w:color w:val="auto"/>
              </w:rPr>
            </w:pPr>
          </w:p>
        </w:tc>
        <w:tc>
          <w:tcPr>
            <w:tcW w:w="82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399,704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421,215</w:t>
            </w:r>
          </w:p>
        </w:tc>
        <w:tc>
          <w:tcPr>
            <w:tcW w:w="0" w:type="dxa"/>
            <w:vAlign w:val="bottom"/>
          </w:tcPr>
          <w:p>
            <w:pPr>
              <w:spacing w:after="0"/>
              <w:rPr>
                <w:sz w:val="1"/>
                <w:szCs w:val="1"/>
                <w:color w:val="auto"/>
              </w:rPr>
            </w:pPr>
          </w:p>
        </w:tc>
      </w:tr>
      <w:tr>
        <w:trPr>
          <w:trHeight w:val="156"/>
        </w:trPr>
        <w:tc>
          <w:tcPr>
            <w:tcW w:w="3580" w:type="dxa"/>
            <w:vAlign w:val="bottom"/>
            <w:gridSpan w:val="2"/>
          </w:tcPr>
          <w:p>
            <w:pPr>
              <w:ind w:left="140"/>
              <w:spacing w:after="0"/>
              <w:rPr>
                <w:sz w:val="20"/>
                <w:szCs w:val="20"/>
                <w:color w:val="auto"/>
              </w:rPr>
            </w:pPr>
            <w:r>
              <w:rPr>
                <w:rFonts w:ascii="Arial" w:cs="Arial" w:eastAsia="Arial" w:hAnsi="Arial"/>
                <w:sz w:val="13"/>
                <w:szCs w:val="13"/>
                <w:color w:val="auto"/>
              </w:rPr>
              <w:t>(J.A. Cosmetics Holdings, Inc.)</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Equity/Warrants—0.9% </w:t>
            </w:r>
            <w:r>
              <w:rPr>
                <w:rFonts w:ascii="Arial" w:cs="Arial" w:eastAsia="Arial" w:hAnsi="Arial"/>
                <w:sz w:val="10"/>
                <w:szCs w:val="10"/>
                <w:b w:val="1"/>
                <w:bCs w:val="1"/>
                <w:color w:val="auto"/>
              </w:rPr>
              <w:t>(7), (8)</w:t>
            </w: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gridSpan w:val="2"/>
          </w:tcPr>
          <w:p>
            <w:pPr>
              <w:spacing w:after="0" w:line="135" w:lineRule="exact"/>
              <w:rPr>
                <w:sz w:val="20"/>
                <w:szCs w:val="20"/>
                <w:color w:val="auto"/>
              </w:rPr>
            </w:pPr>
            <w:r>
              <w:rPr>
                <w:rFonts w:ascii="Arial" w:cs="Arial" w:eastAsia="Arial" w:hAnsi="Arial"/>
                <w:sz w:val="13"/>
                <w:szCs w:val="13"/>
                <w:color w:val="auto"/>
              </w:rPr>
              <w:t>Affinion Group Holdings, Inc., Series A (Warrants)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12/12/2023</w:t>
            </w:r>
          </w:p>
        </w:tc>
        <w:tc>
          <w:tcPr>
            <w:tcW w:w="300" w:type="dxa"/>
            <w:vAlign w:val="bottom"/>
          </w:tcPr>
          <w:p>
            <w:pPr>
              <w:spacing w:after="0"/>
              <w:rPr>
                <w:sz w:val="11"/>
                <w:szCs w:val="11"/>
                <w:color w:val="auto"/>
              </w:rPr>
            </w:pPr>
          </w:p>
        </w:tc>
        <w:tc>
          <w:tcPr>
            <w:tcW w:w="192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554,715</w:t>
            </w:r>
          </w:p>
        </w:tc>
        <w:tc>
          <w:tcPr>
            <w:tcW w:w="6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1,186,649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1,040,091</w:t>
            </w:r>
          </w:p>
        </w:tc>
        <w:tc>
          <w:tcPr>
            <w:tcW w:w="0" w:type="dxa"/>
            <w:vAlign w:val="bottom"/>
          </w:tcPr>
          <w:p>
            <w:pPr>
              <w:spacing w:after="0"/>
              <w:rPr>
                <w:sz w:val="1"/>
                <w:szCs w:val="1"/>
                <w:color w:val="auto"/>
              </w:rPr>
            </w:pPr>
          </w:p>
        </w:tc>
      </w:tr>
      <w:tr>
        <w:trPr>
          <w:trHeight w:val="135"/>
        </w:trPr>
        <w:tc>
          <w:tcPr>
            <w:tcW w:w="3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B (Warrants)</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12/12/2023</w:t>
            </w:r>
          </w:p>
        </w:tc>
        <w:tc>
          <w:tcPr>
            <w:tcW w:w="3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1,135,743</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22,715</w:t>
            </w:r>
          </w:p>
        </w:tc>
        <w:tc>
          <w:tcPr>
            <w:tcW w:w="0" w:type="dxa"/>
            <w:vAlign w:val="bottom"/>
          </w:tcPr>
          <w:p>
            <w:pPr>
              <w:spacing w:after="0"/>
              <w:rPr>
                <w:sz w:val="1"/>
                <w:szCs w:val="1"/>
                <w:color w:val="auto"/>
              </w:rPr>
            </w:pPr>
          </w:p>
        </w:tc>
      </w:tr>
      <w:tr>
        <w:trPr>
          <w:trHeight w:val="121"/>
        </w:trPr>
        <w:tc>
          <w:tcPr>
            <w:tcW w:w="3580" w:type="dxa"/>
            <w:vAlign w:val="bottom"/>
            <w:gridSpan w:val="2"/>
          </w:tcPr>
          <w:p>
            <w:pPr>
              <w:spacing w:after="0" w:line="121" w:lineRule="exact"/>
              <w:rPr>
                <w:sz w:val="20"/>
                <w:szCs w:val="20"/>
                <w:color w:val="auto"/>
              </w:rPr>
            </w:pPr>
            <w:r>
              <w:rPr>
                <w:rFonts w:ascii="Arial" w:cs="Arial" w:eastAsia="Arial" w:hAnsi="Arial"/>
                <w:sz w:val="13"/>
                <w:szCs w:val="13"/>
                <w:color w:val="auto"/>
              </w:rPr>
              <w:t>J.A. Cosmetics US, Inc.</w:t>
            </w:r>
          </w:p>
        </w:tc>
        <w:tc>
          <w:tcPr>
            <w:tcW w:w="880" w:type="dxa"/>
            <w:vAlign w:val="bottom"/>
            <w:gridSpan w:val="2"/>
          </w:tcPr>
          <w:p>
            <w:pPr>
              <w:jc w:val="center"/>
              <w:ind w:right="280"/>
              <w:spacing w:after="0" w:line="121" w:lineRule="exact"/>
              <w:rPr>
                <w:sz w:val="20"/>
                <w:szCs w:val="20"/>
                <w:color w:val="auto"/>
              </w:rPr>
            </w:pPr>
            <w:r>
              <w:rPr>
                <w:rFonts w:ascii="Arial" w:cs="Arial" w:eastAsia="Arial" w:hAnsi="Arial"/>
                <w:sz w:val="13"/>
                <w:szCs w:val="13"/>
                <w:color w:val="auto"/>
                <w:w w:val="91"/>
              </w:rPr>
              <w:t>—</w:t>
            </w:r>
          </w:p>
        </w:tc>
        <w:tc>
          <w:tcPr>
            <w:tcW w:w="1920" w:type="dxa"/>
            <w:vAlign w:val="bottom"/>
            <w:gridSpan w:val="2"/>
          </w:tcPr>
          <w:p>
            <w:pPr>
              <w:jc w:val="center"/>
              <w:ind w:right="300"/>
              <w:spacing w:after="0" w:line="121"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tcPr>
          <w:p>
            <w:pPr>
              <w:jc w:val="right"/>
              <w:ind w:right="400"/>
              <w:spacing w:after="0" w:line="12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30</w:t>
            </w:r>
          </w:p>
        </w:tc>
        <w:tc>
          <w:tcPr>
            <w:tcW w:w="60" w:type="dxa"/>
            <w:vAlign w:val="bottom"/>
          </w:tcPr>
          <w:p>
            <w:pPr>
              <w:spacing w:after="0"/>
              <w:rPr>
                <w:sz w:val="10"/>
                <w:szCs w:val="10"/>
                <w:color w:val="auto"/>
              </w:rPr>
            </w:pPr>
          </w:p>
        </w:tc>
        <w:tc>
          <w:tcPr>
            <w:tcW w:w="82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296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58,055</w:t>
            </w:r>
          </w:p>
        </w:tc>
        <w:tc>
          <w:tcPr>
            <w:tcW w:w="0" w:type="dxa"/>
            <w:vAlign w:val="bottom"/>
          </w:tcPr>
          <w:p>
            <w:pPr>
              <w:spacing w:after="0"/>
              <w:rPr>
                <w:sz w:val="1"/>
                <w:szCs w:val="1"/>
                <w:color w:val="auto"/>
              </w:rPr>
            </w:pPr>
          </w:p>
        </w:tc>
      </w:tr>
      <w:tr>
        <w:trPr>
          <w:trHeight w:val="149"/>
        </w:trPr>
        <w:tc>
          <w:tcPr>
            <w:tcW w:w="3580" w:type="dxa"/>
            <w:vAlign w:val="bottom"/>
            <w:gridSpan w:val="2"/>
          </w:tcPr>
          <w:p>
            <w:pPr>
              <w:ind w:left="140"/>
              <w:spacing w:after="0"/>
              <w:rPr>
                <w:sz w:val="20"/>
                <w:szCs w:val="20"/>
                <w:color w:val="auto"/>
              </w:rPr>
            </w:pPr>
            <w:r>
              <w:rPr>
                <w:rFonts w:ascii="Arial" w:cs="Arial" w:eastAsia="Arial" w:hAnsi="Arial"/>
                <w:sz w:val="13"/>
                <w:szCs w:val="13"/>
                <w:color w:val="auto"/>
              </w:rPr>
              <w:t>(J.A. Cosmetics Holdings, Inc.)</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11/27/2023</w:t>
            </w:r>
          </w:p>
        </w:tc>
        <w:tc>
          <w:tcPr>
            <w:tcW w:w="300" w:type="dxa"/>
            <w:vAlign w:val="bottom"/>
            <w:shd w:val="clear" w:color="auto" w:fill="CCEEFF"/>
          </w:tcPr>
          <w:p>
            <w:pPr>
              <w:spacing w:after="0"/>
              <w:rPr>
                <w:sz w:val="10"/>
                <w:szCs w:val="10"/>
                <w:color w:val="auto"/>
              </w:rPr>
            </w:pPr>
          </w:p>
        </w:tc>
        <w:tc>
          <w:tcPr>
            <w:tcW w:w="1920" w:type="dxa"/>
            <w:vAlign w:val="bottom"/>
            <w:gridSpan w:val="2"/>
            <w:shd w:val="clear" w:color="auto" w:fill="CCEEFF"/>
          </w:tcPr>
          <w:p>
            <w:pPr>
              <w:jc w:val="center"/>
              <w:ind w:right="280"/>
              <w:spacing w:after="0" w:line="121" w:lineRule="exact"/>
              <w:rPr>
                <w:sz w:val="20"/>
                <w:szCs w:val="20"/>
                <w:color w:val="auto"/>
              </w:rPr>
            </w:pPr>
            <w:r>
              <w:rPr>
                <w:rFonts w:ascii="Arial" w:cs="Arial" w:eastAsia="Arial" w:hAnsi="Arial"/>
                <w:sz w:val="13"/>
                <w:szCs w:val="13"/>
                <w:color w:val="auto"/>
                <w:w w:val="87"/>
              </w:rPr>
              <w:t>Banking, Finance, Insurance</w:t>
            </w:r>
          </w:p>
        </w:tc>
        <w:tc>
          <w:tcPr>
            <w:tcW w:w="1000" w:type="dxa"/>
            <w:vAlign w:val="bottom"/>
            <w:gridSpan w:val="2"/>
            <w:shd w:val="clear" w:color="auto" w:fill="CCEEFF"/>
          </w:tcPr>
          <w:p>
            <w:pPr>
              <w:jc w:val="right"/>
              <w:ind w:right="400"/>
              <w:spacing w:after="0" w:line="12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7,403</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151,853</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399,833</w:t>
            </w: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(f/k/a Old Guard Risk Services, Inc.) (Warrants)</w:t>
            </w: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color w:val="auto"/>
                <w:w w:val="84"/>
              </w:rPr>
              <w:t>and Real Estate</w:t>
            </w: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580" w:type="dxa"/>
            <w:vAlign w:val="bottom"/>
            <w:gridSpan w:val="2"/>
          </w:tcPr>
          <w:p>
            <w:pPr>
              <w:spacing w:after="0"/>
              <w:rPr>
                <w:sz w:val="20"/>
                <w:szCs w:val="20"/>
                <w:color w:val="auto"/>
              </w:rPr>
            </w:pPr>
            <w:r>
              <w:rPr>
                <w:rFonts w:ascii="Arial" w:cs="Arial" w:eastAsia="Arial" w:hAnsi="Arial"/>
                <w:sz w:val="13"/>
                <w:szCs w:val="13"/>
                <w:color w:val="auto"/>
              </w:rPr>
              <w:t>UniTek Global Services, Inc. (Warrants)</w:t>
            </w:r>
          </w:p>
        </w:tc>
        <w:tc>
          <w:tcPr>
            <w:tcW w:w="880" w:type="dxa"/>
            <w:vAlign w:val="bottom"/>
            <w:gridSpan w:val="2"/>
          </w:tcPr>
          <w:p>
            <w:pPr>
              <w:jc w:val="center"/>
              <w:ind w:right="280"/>
              <w:spacing w:after="0"/>
              <w:rPr>
                <w:sz w:val="20"/>
                <w:szCs w:val="20"/>
                <w:color w:val="auto"/>
              </w:rPr>
            </w:pPr>
            <w:r>
              <w:rPr>
                <w:rFonts w:ascii="Arial" w:cs="Arial" w:eastAsia="Arial" w:hAnsi="Arial"/>
                <w:sz w:val="13"/>
                <w:szCs w:val="13"/>
                <w:color w:val="auto"/>
                <w:w w:val="91"/>
              </w:rPr>
              <w:t>—</w:t>
            </w:r>
          </w:p>
        </w:tc>
        <w:tc>
          <w:tcPr>
            <w:tcW w:w="1920" w:type="dxa"/>
            <w:vAlign w:val="bottom"/>
            <w:gridSpan w:val="2"/>
          </w:tcPr>
          <w:p>
            <w:pPr>
              <w:jc w:val="center"/>
              <w:ind w:right="300"/>
              <w:spacing w:after="0"/>
              <w:rPr>
                <w:sz w:val="20"/>
                <w:szCs w:val="20"/>
                <w:color w:val="auto"/>
              </w:rPr>
            </w:pPr>
            <w:r>
              <w:rPr>
                <w:rFonts w:ascii="Arial" w:cs="Arial" w:eastAsia="Arial" w:hAnsi="Arial"/>
                <w:sz w:val="13"/>
                <w:szCs w:val="13"/>
                <w:color w:val="auto"/>
                <w:w w:val="88"/>
              </w:rPr>
              <w:t>Telecommunications</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56,717</w:t>
            </w:r>
          </w:p>
        </w:tc>
        <w:tc>
          <w:tcPr>
            <w:tcW w:w="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95,285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6,239</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Basis Point</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6"/>
              </w:rPr>
              <w:t>Spread</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w w:val="89"/>
              </w:rPr>
              <w:t>Current</w:t>
            </w: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5"/>
              </w:rPr>
              <w:t>Above</w:t>
            </w:r>
          </w:p>
        </w:tc>
        <w:tc>
          <w:tcPr>
            <w:tcW w:w="6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Par /</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00" w:type="dxa"/>
            <w:vAlign w:val="bottom"/>
            <w:gridSpan w:val="2"/>
            <w:vMerge w:val="continue"/>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Maturity</w:t>
            </w:r>
          </w:p>
        </w:tc>
        <w:tc>
          <w:tcPr>
            <w:tcW w:w="2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Industry</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81"/>
              </w:rPr>
              <w:t>Coupon</w:t>
            </w:r>
          </w:p>
        </w:tc>
        <w:tc>
          <w:tcPr>
            <w:tcW w:w="10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Shares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14"/>
        </w:trPr>
        <w:tc>
          <w:tcPr>
            <w:tcW w:w="34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Vestcom Parent Holdings, Inc.</w:t>
            </w:r>
          </w:p>
        </w:tc>
        <w:tc>
          <w:tcPr>
            <w:tcW w:w="3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CCEEFF"/>
            </w:tcBorders>
            <w:shd w:val="clear" w:color="auto" w:fill="CCEEFF"/>
          </w:tcPr>
          <w:p>
            <w:pPr>
              <w:spacing w:after="0"/>
              <w:rPr>
                <w:sz w:val="9"/>
                <w:szCs w:val="9"/>
                <w:color w:val="auto"/>
              </w:rPr>
            </w:pPr>
          </w:p>
        </w:tc>
        <w:tc>
          <w:tcPr>
            <w:tcW w:w="166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90"/>
              </w:rPr>
              <w:t>Media: Advertising, Printing and</w:t>
            </w:r>
          </w:p>
        </w:tc>
        <w:tc>
          <w:tcPr>
            <w:tcW w:w="34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ind w:left="480"/>
              <w:spacing w:after="0" w:line="114" w:lineRule="exact"/>
              <w:rPr>
                <w:sz w:val="20"/>
                <w:szCs w:val="20"/>
                <w:color w:val="auto"/>
              </w:rPr>
            </w:pPr>
            <w:r>
              <w:rPr>
                <w:rFonts w:ascii="Arial" w:cs="Arial" w:eastAsia="Arial" w:hAnsi="Arial"/>
                <w:sz w:val="13"/>
                <w:szCs w:val="13"/>
                <w:color w:val="auto"/>
                <w:w w:val="91"/>
              </w:rPr>
              <w:t>—</w:t>
            </w:r>
          </w:p>
        </w:tc>
        <w:tc>
          <w:tcPr>
            <w:tcW w:w="3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w w:val="95"/>
              </w:rPr>
              <w:t>15,179</w:t>
            </w:r>
          </w:p>
        </w:tc>
        <w:tc>
          <w:tcPr>
            <w:tcW w:w="2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56,895</w:t>
            </w:r>
          </w:p>
        </w:tc>
        <w:tc>
          <w:tcPr>
            <w:tcW w:w="3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244,631</w:t>
            </w: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(Vestcom International, Inc.)</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center"/>
              <w:ind w:right="340"/>
              <w:spacing w:after="0"/>
              <w:rPr>
                <w:sz w:val="20"/>
                <w:szCs w:val="20"/>
                <w:color w:val="auto"/>
              </w:rPr>
            </w:pPr>
            <w:r>
              <w:rPr>
                <w:rFonts w:ascii="Arial" w:cs="Arial" w:eastAsia="Arial" w:hAnsi="Arial"/>
                <w:sz w:val="13"/>
                <w:szCs w:val="13"/>
                <w:color w:val="auto"/>
                <w:w w:val="89"/>
              </w:rPr>
              <w:t>Publishing</w:t>
            </w: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800" w:type="dxa"/>
            <w:vAlign w:val="bottom"/>
            <w:gridSpan w:val="2"/>
          </w:tcPr>
          <w:p>
            <w:pPr>
              <w:spacing w:after="0" w:line="121" w:lineRule="exact"/>
              <w:rPr>
                <w:sz w:val="20"/>
                <w:szCs w:val="20"/>
                <w:color w:val="auto"/>
              </w:rPr>
            </w:pPr>
            <w:r>
              <w:rPr>
                <w:rFonts w:ascii="Arial" w:cs="Arial" w:eastAsia="Arial" w:hAnsi="Arial"/>
                <w:sz w:val="13"/>
                <w:szCs w:val="13"/>
                <w:color w:val="auto"/>
              </w:rPr>
              <w:t>Z Wireless Holdings, Inc.</w:t>
            </w: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w w:val="86"/>
              </w:rPr>
              <w:t>10/21/2021</w:t>
            </w:r>
          </w:p>
        </w:tc>
        <w:tc>
          <w:tcPr>
            <w:tcW w:w="320" w:type="dxa"/>
            <w:vAlign w:val="bottom"/>
          </w:tcPr>
          <w:p>
            <w:pPr>
              <w:spacing w:after="0"/>
              <w:rPr>
                <w:sz w:val="10"/>
                <w:szCs w:val="10"/>
                <w:color w:val="auto"/>
              </w:rPr>
            </w:pPr>
          </w:p>
        </w:tc>
        <w:tc>
          <w:tcPr>
            <w:tcW w:w="2000" w:type="dxa"/>
            <w:vAlign w:val="bottom"/>
            <w:gridSpan w:val="2"/>
          </w:tcPr>
          <w:p>
            <w:pPr>
              <w:jc w:val="center"/>
              <w:ind w:right="340"/>
              <w:spacing w:after="0" w:line="121" w:lineRule="exact"/>
              <w:rPr>
                <w:sz w:val="20"/>
                <w:szCs w:val="20"/>
                <w:color w:val="auto"/>
              </w:rPr>
            </w:pPr>
            <w:r>
              <w:rPr>
                <w:rFonts w:ascii="Arial" w:cs="Arial" w:eastAsia="Arial" w:hAnsi="Arial"/>
                <w:sz w:val="13"/>
                <w:szCs w:val="13"/>
                <w:color w:val="auto"/>
                <w:w w:val="90"/>
              </w:rPr>
              <w:t>Retail</w:t>
            </w:r>
          </w:p>
        </w:tc>
        <w:tc>
          <w:tcPr>
            <w:tcW w:w="82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480"/>
              <w:spacing w:after="0" w:line="121"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463</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45,019</w:t>
            </w:r>
          </w:p>
        </w:tc>
        <w:tc>
          <w:tcPr>
            <w:tcW w:w="8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121,889</w:t>
            </w:r>
          </w:p>
        </w:tc>
        <w:tc>
          <w:tcPr>
            <w:tcW w:w="0" w:type="dxa"/>
            <w:vAlign w:val="bottom"/>
          </w:tcPr>
          <w:p>
            <w:pPr>
              <w:spacing w:after="0"/>
              <w:rPr>
                <w:sz w:val="1"/>
                <w:szCs w:val="1"/>
                <w:color w:val="auto"/>
              </w:rPr>
            </w:pPr>
          </w:p>
        </w:tc>
      </w:tr>
      <w:tr>
        <w:trPr>
          <w:trHeight w:val="156"/>
        </w:trPr>
        <w:tc>
          <w:tcPr>
            <w:tcW w:w="3800" w:type="dxa"/>
            <w:vAlign w:val="bottom"/>
            <w:gridSpan w:val="2"/>
          </w:tcPr>
          <w:p>
            <w:pPr>
              <w:ind w:left="140"/>
              <w:spacing w:after="0"/>
              <w:rPr>
                <w:sz w:val="20"/>
                <w:szCs w:val="20"/>
                <w:color w:val="auto"/>
              </w:rPr>
            </w:pPr>
            <w:r>
              <w:rPr>
                <w:rFonts w:ascii="Arial" w:cs="Arial" w:eastAsia="Arial" w:hAnsi="Arial"/>
                <w:sz w:val="13"/>
                <w:szCs w:val="13"/>
                <w:color w:val="auto"/>
              </w:rPr>
              <w:t>(AKA Diversified Holdings, Inc.) (Warrants)</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Equity/Warrants</w:t>
            </w: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1,535,997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1,893,453</w:t>
            </w:r>
          </w:p>
        </w:tc>
        <w:tc>
          <w:tcPr>
            <w:tcW w:w="0" w:type="dxa"/>
            <w:vAlign w:val="bottom"/>
          </w:tcPr>
          <w:p>
            <w:pPr>
              <w:spacing w:after="0"/>
              <w:rPr>
                <w:sz w:val="1"/>
                <w:szCs w:val="1"/>
                <w:color w:val="auto"/>
              </w:rPr>
            </w:pPr>
          </w:p>
        </w:tc>
      </w:tr>
      <w:tr>
        <w:trPr>
          <w:trHeight w:val="142"/>
        </w:trPr>
        <w:tc>
          <w:tcPr>
            <w:tcW w:w="4700" w:type="dxa"/>
            <w:vAlign w:val="bottom"/>
            <w:gridSpan w:val="4"/>
          </w:tcPr>
          <w:p>
            <w:pPr>
              <w:spacing w:after="0" w:line="142" w:lineRule="exact"/>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348,354,295</w:t>
            </w: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348,428,492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Equivalents—6.1%</w:t>
            </w: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700" w:type="dxa"/>
            <w:vAlign w:val="bottom"/>
            <w:gridSpan w:val="4"/>
          </w:tcPr>
          <w:p>
            <w:pPr>
              <w:spacing w:after="0" w:line="135" w:lineRule="exact"/>
              <w:rPr>
                <w:sz w:val="20"/>
                <w:szCs w:val="20"/>
                <w:color w:val="auto"/>
              </w:rPr>
            </w:pPr>
            <w:r>
              <w:rPr>
                <w:rFonts w:ascii="Arial" w:cs="Arial" w:eastAsia="Arial" w:hAnsi="Arial"/>
                <w:sz w:val="13"/>
                <w:szCs w:val="13"/>
                <w:color w:val="auto"/>
              </w:rPr>
              <w:t>BlackRock Liquidity Funds, Temp Cash and Temp Fund, Institutional Shares</w:t>
            </w: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13,113,817</w:t>
            </w: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13,113,817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Equivalents—168.5%</w:t>
            </w: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w w:val="82"/>
              </w:rPr>
              <w:t>$</w:t>
            </w: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361,468,112</w:t>
            </w:r>
          </w:p>
        </w:tc>
        <w:tc>
          <w:tcPr>
            <w:tcW w:w="3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361,542,309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Assets—(68.5)%</w:t>
            </w: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1"/>
              </w:rPr>
              <w:t>(147,014,599)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1"/>
              </w:rPr>
              <w:t>214,527,710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102870</wp:posOffset>
            </wp:positionV>
            <wp:extent cx="12858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63" w:lineRule="exact"/>
        <w:rPr>
          <w:sz w:val="20"/>
          <w:szCs w:val="20"/>
          <w:color w:val="auto"/>
        </w:rPr>
      </w:pPr>
    </w:p>
    <w:p>
      <w:pPr>
        <w:ind w:left="360" w:right="180" w:hanging="352"/>
        <w:spacing w:after="0" w:line="252" w:lineRule="auto"/>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61" w:lineRule="exact"/>
        <w:rPr>
          <w:rFonts w:ascii="Arial" w:cs="Arial" w:eastAsia="Arial" w:hAnsi="Arial"/>
          <w:sz w:val="12"/>
          <w:szCs w:val="12"/>
          <w:color w:val="auto"/>
        </w:rPr>
      </w:pPr>
    </w:p>
    <w:p>
      <w:pPr>
        <w:ind w:left="360" w:hanging="352"/>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78" w:lineRule="exact"/>
        <w:rPr>
          <w:rFonts w:ascii="Arial" w:cs="Arial" w:eastAsia="Arial" w:hAnsi="Arial"/>
          <w:sz w:val="12"/>
          <w:szCs w:val="12"/>
          <w:color w:val="auto"/>
        </w:rPr>
      </w:pPr>
    </w:p>
    <w:p>
      <w:pPr>
        <w:ind w:left="360" w:right="20" w:hanging="352"/>
        <w:spacing w:after="0" w:line="252" w:lineRule="auto"/>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61" w:lineRule="exact"/>
        <w:rPr>
          <w:rFonts w:ascii="Arial" w:cs="Arial" w:eastAsia="Arial" w:hAnsi="Arial"/>
          <w:sz w:val="12"/>
          <w:szCs w:val="12"/>
          <w:color w:val="auto"/>
        </w:rPr>
      </w:pPr>
    </w:p>
    <w:p>
      <w:pPr>
        <w:ind w:left="360" w:right="60" w:hanging="352"/>
        <w:spacing w:after="0" w:line="252" w:lineRule="auto"/>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spacing w:after="0" w:line="61" w:lineRule="exact"/>
        <w:rPr>
          <w:rFonts w:ascii="Arial" w:cs="Arial" w:eastAsia="Arial" w:hAnsi="Arial"/>
          <w:sz w:val="12"/>
          <w:szCs w:val="12"/>
          <w:color w:val="auto"/>
        </w:rPr>
      </w:pPr>
    </w:p>
    <w:p>
      <w:pPr>
        <w:ind w:left="360" w:hanging="352"/>
        <w:spacing w:after="0"/>
        <w:tabs>
          <w:tab w:leader="none" w:pos="36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9" w:lineRule="exact"/>
        <w:rPr>
          <w:rFonts w:ascii="Arial" w:cs="Arial" w:eastAsia="Arial" w:hAnsi="Arial"/>
          <w:sz w:val="11"/>
          <w:szCs w:val="11"/>
          <w:color w:val="auto"/>
        </w:rPr>
      </w:pPr>
    </w:p>
    <w:p>
      <w:pPr>
        <w:ind w:left="360" w:hanging="352"/>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78" w:lineRule="exact"/>
        <w:rPr>
          <w:rFonts w:ascii="Arial" w:cs="Arial" w:eastAsia="Arial" w:hAnsi="Arial"/>
          <w:sz w:val="12"/>
          <w:szCs w:val="12"/>
          <w:color w:val="auto"/>
        </w:rPr>
      </w:pPr>
    </w:p>
    <w:p>
      <w:pPr>
        <w:ind w:left="360" w:hanging="352"/>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78" w:lineRule="exact"/>
        <w:rPr>
          <w:rFonts w:ascii="Arial" w:cs="Arial" w:eastAsia="Arial" w:hAnsi="Arial"/>
          <w:sz w:val="12"/>
          <w:szCs w:val="12"/>
          <w:color w:val="auto"/>
        </w:rPr>
      </w:pPr>
    </w:p>
    <w:p>
      <w:pPr>
        <w:ind w:left="360" w:hanging="352"/>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securities are not pledged as collateral under the Credit Facility. All other securities are pledged as collateral under the Credit Facility.</w:t>
      </w:r>
    </w:p>
    <w:p>
      <w:pPr>
        <w:spacing w:after="0" w:line="78" w:lineRule="exact"/>
        <w:rPr>
          <w:rFonts w:ascii="Arial" w:cs="Arial" w:eastAsia="Arial" w:hAnsi="Arial"/>
          <w:sz w:val="12"/>
          <w:szCs w:val="12"/>
          <w:color w:val="auto"/>
        </w:rPr>
      </w:pPr>
    </w:p>
    <w:p>
      <w:pPr>
        <w:ind w:left="360" w:hanging="352"/>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spacing w:after="0" w:line="78" w:lineRule="exact"/>
        <w:rPr>
          <w:rFonts w:ascii="Arial" w:cs="Arial" w:eastAsia="Arial" w:hAnsi="Arial"/>
          <w:sz w:val="12"/>
          <w:szCs w:val="12"/>
          <w:color w:val="auto"/>
        </w:rPr>
      </w:pPr>
    </w:p>
    <w:p>
      <w:pPr>
        <w:ind w:left="360" w:hanging="352"/>
        <w:spacing w:after="0"/>
        <w:tabs>
          <w:tab w:leader="none" w:pos="36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180" w:firstLine="786"/>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74" w:lineRule="exact"/>
        <w:rPr>
          <w:sz w:val="20"/>
          <w:szCs w:val="20"/>
          <w:color w:val="auto"/>
        </w:rPr>
      </w:pPr>
    </w:p>
    <w:p>
      <w:pPr>
        <w:ind w:right="160" w:firstLine="786"/>
        <w:spacing w:after="0" w:line="228" w:lineRule="auto"/>
        <w:rPr>
          <w:sz w:val="20"/>
          <w:szCs w:val="20"/>
          <w:color w:val="auto"/>
        </w:rPr>
      </w:pPr>
      <w:r>
        <w:rPr>
          <w:rFonts w:ascii="Arial" w:cs="Arial" w:eastAsia="Arial" w:hAnsi="Arial"/>
          <w:sz w:val="14"/>
          <w:szCs w:val="14"/>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85" w:lineRule="exact"/>
        <w:rPr>
          <w:sz w:val="20"/>
          <w:szCs w:val="20"/>
          <w:color w:val="auto"/>
        </w:rPr>
      </w:pPr>
    </w:p>
    <w:p>
      <w:pPr>
        <w:jc w:val="both"/>
        <w:ind w:right="220" w:firstLine="786"/>
        <w:spacing w:after="0" w:line="335" w:lineRule="auto"/>
        <w:rPr>
          <w:sz w:val="20"/>
          <w:szCs w:val="20"/>
          <w:color w:val="auto"/>
        </w:rPr>
      </w:pPr>
      <w:r>
        <w:rPr>
          <w:rFonts w:ascii="Arial" w:cs="Arial" w:eastAsia="Arial" w:hAnsi="Arial"/>
          <w:sz w:val="12"/>
          <w:szCs w:val="12"/>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28" w:lineRule="exact"/>
        <w:rPr>
          <w:sz w:val="20"/>
          <w:szCs w:val="20"/>
          <w:color w:val="auto"/>
        </w:rPr>
      </w:pPr>
    </w:p>
    <w:p>
      <w:pPr>
        <w:ind w:right="120" w:firstLine="786"/>
        <w:spacing w:after="0" w:line="255" w:lineRule="auto"/>
        <w:rPr>
          <w:sz w:val="20"/>
          <w:szCs w:val="20"/>
          <w:color w:val="auto"/>
        </w:rPr>
      </w:pPr>
      <w:r>
        <w:rPr>
          <w:rFonts w:ascii="Arial" w:cs="Arial" w:eastAsia="Arial" w:hAnsi="Arial"/>
          <w:sz w:val="13"/>
          <w:szCs w:val="13"/>
          <w:color w:val="auto"/>
        </w:rPr>
        <w:t>Funding I, our wholly-owned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five-year Credit Facility allows Funding I to borrow up to $200 million at LIBOR plus 200 basis points during the revolving period. The Credit Facility is secured by all of the assets held by Funding I. See Note 9.</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right="60" w:firstLine="786"/>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85" w:lineRule="exact"/>
        <w:rPr>
          <w:sz w:val="20"/>
          <w:szCs w:val="20"/>
          <w:color w:val="auto"/>
        </w:rPr>
      </w:pPr>
    </w:p>
    <w:p>
      <w:pPr>
        <w:ind w:right="420" w:firstLine="786"/>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96" w:lineRule="exact"/>
        <w:rPr>
          <w:sz w:val="20"/>
          <w:szCs w:val="20"/>
          <w:color w:val="auto"/>
        </w:rPr>
      </w:pPr>
    </w:p>
    <w:p>
      <w:pPr>
        <w:ind w:firstLine="786"/>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79" w:lineRule="exact"/>
        <w:rPr>
          <w:sz w:val="20"/>
          <w:szCs w:val="20"/>
          <w:color w:val="auto"/>
        </w:rPr>
      </w:pPr>
    </w:p>
    <w:p>
      <w:pPr>
        <w:ind w:right="20" w:firstLine="786"/>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448"/>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448"/>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448"/>
        <w:spacing w:after="0" w:line="26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780" w:right="100" w:hanging="448"/>
        <w:spacing w:after="0" w:line="238"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20" w:hanging="448"/>
        <w:spacing w:after="0" w:line="253"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4" w:lineRule="exact"/>
        <w:rPr>
          <w:sz w:val="20"/>
          <w:szCs w:val="20"/>
          <w:color w:val="auto"/>
        </w:rPr>
      </w:pPr>
    </w:p>
    <w:p>
      <w:pPr>
        <w:ind w:right="40" w:firstLine="786"/>
        <w:spacing w:after="0" w:line="251"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96" w:lineRule="exact"/>
        <w:rPr>
          <w:sz w:val="20"/>
          <w:szCs w:val="20"/>
          <w:color w:val="auto"/>
        </w:rPr>
      </w:pPr>
    </w:p>
    <w:p>
      <w:pPr>
        <w:ind w:right="300" w:firstLine="786"/>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85" w:lineRule="exact"/>
        <w:rPr>
          <w:sz w:val="20"/>
          <w:szCs w:val="20"/>
          <w:color w:val="auto"/>
        </w:rPr>
      </w:pPr>
    </w:p>
    <w:p>
      <w:pPr>
        <w:ind w:firstLine="786"/>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85" w:lineRule="exact"/>
        <w:rPr>
          <w:sz w:val="20"/>
          <w:szCs w:val="20"/>
          <w:color w:val="auto"/>
        </w:rPr>
      </w:pPr>
    </w:p>
    <w:p>
      <w:pPr>
        <w:ind w:right="40" w:firstLine="786"/>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(c) Income Taxes</w:t>
      </w:r>
    </w:p>
    <w:p>
      <w:pPr>
        <w:spacing w:after="0" w:line="96" w:lineRule="exact"/>
        <w:rPr>
          <w:sz w:val="20"/>
          <w:szCs w:val="20"/>
          <w:color w:val="auto"/>
        </w:rPr>
      </w:pPr>
    </w:p>
    <w:p>
      <w:pPr>
        <w:ind w:right="20" w:firstLine="786"/>
        <w:spacing w:after="0" w:line="251" w:lineRule="auto"/>
        <w:rPr>
          <w:sz w:val="20"/>
          <w:szCs w:val="20"/>
          <w:color w:val="auto"/>
        </w:rPr>
      </w:pPr>
      <w:r>
        <w:rPr>
          <w:rFonts w:ascii="Arial" w:cs="Arial" w:eastAsia="Arial" w:hAnsi="Arial"/>
          <w:sz w:val="13"/>
          <w:szCs w:val="13"/>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taxation as a RIC, we do not anticipate paying any material level of federal income taxes in the future. Although we are not subject to federal income taxes as a RIC, we have elected to retain a portion of our calendar year income and accrue an excise tax of $0.1 million and $0.1 million, for the three months ended December 31, 2014 and 2013, respectively.</w:t>
      </w:r>
    </w:p>
    <w:p>
      <w:pPr>
        <w:spacing w:after="0" w:line="177" w:lineRule="exact"/>
        <w:rPr>
          <w:sz w:val="20"/>
          <w:szCs w:val="20"/>
          <w:color w:val="auto"/>
        </w:rPr>
      </w:pPr>
    </w:p>
    <w:p>
      <w:pPr>
        <w:ind w:right="60" w:firstLine="786"/>
        <w:spacing w:after="0" w:line="233" w:lineRule="auto"/>
        <w:rPr>
          <w:sz w:val="20"/>
          <w:szCs w:val="20"/>
          <w:color w:val="auto"/>
        </w:rPr>
      </w:pPr>
      <w:r>
        <w:rPr>
          <w:rFonts w:ascii="Arial" w:cs="Arial" w:eastAsia="Arial" w:hAnsi="Arial"/>
          <w:sz w:val="14"/>
          <w:szCs w:val="14"/>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2011 remain subject to examination by the Internal Revenue Service.</w:t>
      </w:r>
    </w:p>
    <w:p>
      <w:pPr>
        <w:spacing w:after="0" w:line="185" w:lineRule="exact"/>
        <w:rPr>
          <w:sz w:val="20"/>
          <w:szCs w:val="20"/>
          <w:color w:val="auto"/>
        </w:rPr>
      </w:pPr>
    </w:p>
    <w:p>
      <w:pPr>
        <w:jc w:val="both"/>
        <w:ind w:right="60" w:firstLine="786"/>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100" w:firstLine="786"/>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83" w:lineRule="exact"/>
        <w:rPr>
          <w:sz w:val="20"/>
          <w:szCs w:val="20"/>
          <w:color w:val="auto"/>
        </w:rPr>
      </w:pPr>
    </w:p>
    <w:p>
      <w:pPr>
        <w:ind w:right="340" w:firstLine="786"/>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(e) Consolidation</w:t>
      </w:r>
    </w:p>
    <w:p>
      <w:pPr>
        <w:spacing w:after="0" w:line="96" w:lineRule="exact"/>
        <w:rPr>
          <w:sz w:val="20"/>
          <w:szCs w:val="20"/>
          <w:color w:val="auto"/>
        </w:rPr>
      </w:pPr>
    </w:p>
    <w:p>
      <w:pPr>
        <w:jc w:val="both"/>
        <w:ind w:right="120" w:firstLine="786"/>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(f) Asset Transfers and Servicing</w:t>
      </w:r>
    </w:p>
    <w:p>
      <w:pPr>
        <w:spacing w:after="0" w:line="96" w:lineRule="exact"/>
        <w:rPr>
          <w:sz w:val="20"/>
          <w:szCs w:val="20"/>
          <w:color w:val="auto"/>
        </w:rPr>
      </w:pPr>
    </w:p>
    <w:p>
      <w:pPr>
        <w:jc w:val="both"/>
        <w:ind w:right="120" w:firstLine="786"/>
        <w:spacing w:after="0" w:line="238" w:lineRule="auto"/>
        <w:rPr>
          <w:sz w:val="20"/>
          <w:szCs w:val="20"/>
          <w:color w:val="auto"/>
        </w:rPr>
      </w:pPr>
      <w:r>
        <w:rPr>
          <w:rFonts w:ascii="Arial" w:cs="Arial" w:eastAsia="Arial" w:hAnsi="Arial"/>
          <w:sz w:val="14"/>
          <w:szCs w:val="14"/>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such assets are not intended to be available to the creditors of PennantPark Floating Rate Capital Ltd. or any affiliate of the Company.</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40" w:firstLine="786"/>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Advisers, in February 2015.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77" w:lineRule="exact"/>
        <w:rPr>
          <w:sz w:val="20"/>
          <w:szCs w:val="20"/>
          <w:color w:val="auto"/>
        </w:rPr>
      </w:pPr>
    </w:p>
    <w:p>
      <w:pPr>
        <w:ind w:right="40" w:firstLine="786"/>
        <w:spacing w:after="0" w:line="247"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investments,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2014 and 2013, the Investment Adviser earned base management fees of $0.9 million and $0.9 million, respectively, from us.</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incentive fee has two parts, as follows:</w:t>
      </w:r>
    </w:p>
    <w:p>
      <w:pPr>
        <w:spacing w:after="0" w:line="204" w:lineRule="exact"/>
        <w:rPr>
          <w:sz w:val="20"/>
          <w:szCs w:val="20"/>
          <w:color w:val="auto"/>
        </w:rPr>
      </w:pPr>
    </w:p>
    <w:p>
      <w:pPr>
        <w:ind w:firstLine="786"/>
        <w:spacing w:after="0" w:line="242"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months ended December 31, 2014 and 2013, the Investment Adviser earned $0.7 million and $0.1 million, respectively, in incentive fees on net investment income from us.</w:t>
      </w:r>
    </w:p>
    <w:p>
      <w:pPr>
        <w:spacing w:after="0" w:line="182" w:lineRule="exact"/>
        <w:rPr>
          <w:sz w:val="20"/>
          <w:szCs w:val="20"/>
          <w:color w:val="auto"/>
        </w:rPr>
      </w:pPr>
    </w:p>
    <w:p>
      <w:pPr>
        <w:jc w:val="both"/>
        <w:ind w:right="60" w:firstLine="786"/>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2014 and 2013 the Investment Adviser earned an incentive fee on capital gains of $(0.4) million and $0.4 million, respectively, as calculated under the Investment Management Agreement (as described above).</w:t>
      </w:r>
    </w:p>
    <w:p>
      <w:pPr>
        <w:spacing w:after="0" w:line="175" w:lineRule="exact"/>
        <w:rPr>
          <w:sz w:val="20"/>
          <w:szCs w:val="20"/>
          <w:color w:val="auto"/>
        </w:rPr>
      </w:pPr>
    </w:p>
    <w:p>
      <w:pPr>
        <w:ind w:firstLine="786"/>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three months ended December 31, 2014 and 2013 was $(0.6) million and $0.2 million,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20"/>
          </w:cols>
          <w:pgMar w:left="32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7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786"/>
        <w:spacing w:after="0" w:line="247"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the directors who are not interested persons of us, in February 2015. Under the Administration Agreement, the Administrator provides administration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each of the three months ended December 31, 2014 and 2013, the Investment Adviser was reimbursed approximately $0.1 million from us, including expenses the Investment Adviser incurred on behalf of the Administrator, for services described above.</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right="500" w:firstLine="786"/>
        <w:spacing w:after="0" w:line="253" w:lineRule="auto"/>
        <w:rPr>
          <w:sz w:val="20"/>
          <w:szCs w:val="20"/>
          <w:color w:val="auto"/>
        </w:rPr>
      </w:pPr>
      <w:r>
        <w:rPr>
          <w:rFonts w:ascii="Arial" w:cs="Arial" w:eastAsia="Arial" w:hAnsi="Arial"/>
          <w:sz w:val="14"/>
          <w:szCs w:val="14"/>
          <w:color w:val="auto"/>
        </w:rPr>
        <w:t>Purchases of investments, including PIK interest, for the three months ended December 31, 2014 and 2013 totaled $47.2 million and $104.0 million, respectively. Sales and repayments of investments for the same periods totaled $44.9 million and $55.4 million, respectively.</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Investments and cash equivalents consisted of the following: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42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Investment Classification</w:t>
            </w:r>
          </w:p>
        </w:tc>
        <w:tc>
          <w:tcPr>
            <w:tcW w:w="1660" w:type="dxa"/>
            <w:vAlign w:val="bottom"/>
          </w:tcPr>
          <w:p>
            <w:pPr>
              <w:spacing w:after="0"/>
              <w:rPr>
                <w:sz w:val="13"/>
                <w:szCs w:val="13"/>
                <w:color w:val="auto"/>
              </w:rPr>
            </w:pPr>
          </w:p>
        </w:tc>
        <w:tc>
          <w:tcPr>
            <w:tcW w:w="2000" w:type="dxa"/>
            <w:vAlign w:val="bottom"/>
            <w:gridSpan w:val="3"/>
          </w:tcPr>
          <w:p>
            <w:pPr>
              <w:jc w:val="right"/>
              <w:ind w:right="430"/>
              <w:spacing w:after="0"/>
              <w:rPr>
                <w:sz w:val="20"/>
                <w:szCs w:val="20"/>
                <w:color w:val="auto"/>
              </w:rPr>
            </w:pPr>
            <w:r>
              <w:rPr>
                <w:rFonts w:ascii="Arial" w:cs="Arial" w:eastAsia="Arial" w:hAnsi="Arial"/>
                <w:sz w:val="13"/>
                <w:szCs w:val="13"/>
                <w:b w:val="1"/>
                <w:bCs w:val="1"/>
                <w:color w:val="auto"/>
              </w:rPr>
              <w:t>December 31, 2014</w:t>
            </w:r>
          </w:p>
        </w:tc>
        <w:tc>
          <w:tcPr>
            <w:tcW w:w="380" w:type="dxa"/>
            <w:vAlign w:val="bottom"/>
          </w:tcPr>
          <w:p>
            <w:pPr>
              <w:spacing w:after="0"/>
              <w:rPr>
                <w:sz w:val="13"/>
                <w:szCs w:val="13"/>
                <w:color w:val="auto"/>
              </w:rPr>
            </w:pPr>
          </w:p>
        </w:tc>
        <w:tc>
          <w:tcPr>
            <w:tcW w:w="2100" w:type="dxa"/>
            <w:vAlign w:val="bottom"/>
            <w:gridSpan w:val="4"/>
          </w:tcPr>
          <w:p>
            <w:pPr>
              <w:ind w:left="480"/>
              <w:spacing w:after="0"/>
              <w:rPr>
                <w:sz w:val="20"/>
                <w:szCs w:val="20"/>
                <w:color w:val="auto"/>
              </w:rPr>
            </w:pPr>
            <w:r>
              <w:rPr>
                <w:rFonts w:ascii="Arial" w:cs="Arial" w:eastAsia="Arial" w:hAnsi="Arial"/>
                <w:sz w:val="13"/>
                <w:szCs w:val="13"/>
                <w:b w:val="1"/>
                <w:bCs w:val="1"/>
                <w:color w:val="auto"/>
              </w:rPr>
              <w:t>September 30, 2014</w:t>
            </w:r>
          </w:p>
        </w:tc>
        <w:tc>
          <w:tcPr>
            <w:tcW w:w="0" w:type="dxa"/>
            <w:vAlign w:val="bottom"/>
          </w:tcPr>
          <w:p>
            <w:pPr>
              <w:spacing w:after="0"/>
              <w:rPr>
                <w:sz w:val="1"/>
                <w:szCs w:val="1"/>
                <w:color w:val="auto"/>
              </w:rPr>
            </w:pPr>
          </w:p>
        </w:tc>
      </w:tr>
      <w:tr>
        <w:trPr>
          <w:trHeight w:val="128"/>
        </w:trPr>
        <w:tc>
          <w:tcPr>
            <w:tcW w:w="420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800" w:type="dxa"/>
            <w:vAlign w:val="bottom"/>
            <w:tcBorders>
              <w:top w:val="single" w:sz="8" w:color="auto"/>
            </w:tcBorders>
          </w:tcPr>
          <w:p>
            <w:pPr>
              <w:jc w:val="right"/>
              <w:ind w:right="212"/>
              <w:spacing w:after="0" w:line="129" w:lineRule="exact"/>
              <w:rPr>
                <w:sz w:val="20"/>
                <w:szCs w:val="20"/>
                <w:color w:val="auto"/>
              </w:rPr>
            </w:pPr>
            <w:r>
              <w:rPr>
                <w:rFonts w:ascii="Arial" w:cs="Arial" w:eastAsia="Arial" w:hAnsi="Arial"/>
                <w:sz w:val="13"/>
                <w:szCs w:val="13"/>
                <w:b w:val="1"/>
                <w:bCs w:val="1"/>
                <w:color w:val="auto"/>
              </w:rPr>
              <w:t>Cost</w:t>
            </w:r>
          </w:p>
        </w:tc>
        <w:tc>
          <w:tcPr>
            <w:tcW w:w="3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70"/>
              <w:spacing w:after="0" w:line="129" w:lineRule="exact"/>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1"/>
                <w:szCs w:val="11"/>
                <w:color w:val="auto"/>
              </w:rPr>
            </w:pPr>
          </w:p>
        </w:tc>
        <w:tc>
          <w:tcPr>
            <w:tcW w:w="820" w:type="dxa"/>
            <w:vAlign w:val="bottom"/>
            <w:tcBorders>
              <w:top w:val="single" w:sz="8" w:color="auto"/>
            </w:tcBorders>
          </w:tcPr>
          <w:p>
            <w:pPr>
              <w:jc w:val="right"/>
              <w:ind w:right="232"/>
              <w:spacing w:after="0" w:line="129" w:lineRule="exact"/>
              <w:rPr>
                <w:sz w:val="20"/>
                <w:szCs w:val="20"/>
                <w:color w:val="auto"/>
              </w:rPr>
            </w:pPr>
            <w:r>
              <w:rPr>
                <w:rFonts w:ascii="Arial" w:cs="Arial" w:eastAsia="Arial" w:hAnsi="Arial"/>
                <w:sz w:val="13"/>
                <w:szCs w:val="13"/>
                <w:b w:val="1"/>
                <w:bCs w:val="1"/>
                <w:color w:val="auto"/>
              </w:rPr>
              <w:t>Cost</w:t>
            </w:r>
          </w:p>
        </w:tc>
        <w:tc>
          <w:tcPr>
            <w:tcW w:w="3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70"/>
              <w:spacing w:after="0" w:line="129" w:lineRule="exact"/>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84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$ 292,136,859</w:t>
            </w:r>
          </w:p>
        </w:tc>
        <w:tc>
          <w:tcPr>
            <w:tcW w:w="3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$ 288,611,969</w:t>
            </w:r>
          </w:p>
        </w:tc>
        <w:tc>
          <w:tcPr>
            <w:tcW w:w="3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$ 302,889,195</w:t>
            </w:r>
          </w:p>
        </w:tc>
        <w:tc>
          <w:tcPr>
            <w:tcW w:w="3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$ 302,565,355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46,577,094</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45,433,634</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36,193,947</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36,474,784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7,367,921</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6,553,183</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7,335,452</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7,073,685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Preferred equity / common equity / warrants</w:t>
            </w:r>
          </w:p>
        </w:tc>
        <w:tc>
          <w:tcPr>
            <w:tcW w:w="16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1,935,701</w:t>
            </w:r>
          </w:p>
        </w:tc>
        <w:tc>
          <w:tcPr>
            <w:tcW w:w="38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2,595,856</w:t>
            </w:r>
          </w:p>
        </w:tc>
        <w:tc>
          <w:tcPr>
            <w:tcW w:w="38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1,935,701</w:t>
            </w:r>
          </w:p>
        </w:tc>
        <w:tc>
          <w:tcPr>
            <w:tcW w:w="36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2,314,668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2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348,017,575</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343,194,642</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348,354,295</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348,428,492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gridSpan w:val="3"/>
          </w:tcPr>
          <w:p>
            <w:pPr>
              <w:spacing w:after="0" w:line="155" w:lineRule="exact"/>
              <w:rPr>
                <w:sz w:val="20"/>
                <w:szCs w:val="20"/>
                <w:color w:val="auto"/>
              </w:rPr>
            </w:pPr>
            <w:r>
              <w:rPr>
                <w:rFonts w:ascii="Arial" w:cs="Arial" w:eastAsia="Arial" w:hAnsi="Arial"/>
                <w:sz w:val="14"/>
                <w:szCs w:val="14"/>
                <w:color w:val="auto"/>
              </w:rPr>
              <w:t>Cash equivalents</w:t>
            </w:r>
          </w:p>
        </w:tc>
        <w:tc>
          <w:tcPr>
            <w:tcW w:w="166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10,385,490</w:t>
            </w:r>
          </w:p>
        </w:tc>
        <w:tc>
          <w:tcPr>
            <w:tcW w:w="3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10,385,490</w:t>
            </w:r>
          </w:p>
        </w:tc>
        <w:tc>
          <w:tcPr>
            <w:tcW w:w="3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13,113,817</w:t>
            </w:r>
          </w:p>
        </w:tc>
        <w:tc>
          <w:tcPr>
            <w:tcW w:w="3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13,113,817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2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$ 358,403,065</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$ 353,580,132</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$ 361,468,112</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$ 361,542,309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40" w:firstLine="786"/>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 as of:</w:t>
      </w:r>
    </w:p>
    <w:p>
      <w:pPr>
        <w:spacing w:after="0" w:line="201" w:lineRule="exact"/>
        <w:rPr>
          <w:sz w:val="20"/>
          <w:szCs w:val="20"/>
          <w:color w:val="auto"/>
        </w:rPr>
      </w:pPr>
    </w:p>
    <w:tbl>
      <w:tblPr>
        <w:tblLayout w:type="fixed"/>
        <w:tblInd w:w="1360" w:type="dxa"/>
        <w:tblCellMar>
          <w:top w:w="0" w:type="dxa"/>
          <w:left w:w="0" w:type="dxa"/>
          <w:bottom w:w="0" w:type="dxa"/>
          <w:right w:w="0" w:type="dxa"/>
        </w:tblCellMar>
      </w:tblPr>
      <w:tr>
        <w:trPr>
          <w:trHeight w:val="167"/>
        </w:trPr>
        <w:tc>
          <w:tcPr>
            <w:tcW w:w="3380" w:type="dxa"/>
            <w:vAlign w:val="bottom"/>
            <w:gridSpan w:val="2"/>
          </w:tcPr>
          <w:p>
            <w:pPr>
              <w:spacing w:after="0"/>
              <w:rPr>
                <w:sz w:val="20"/>
                <w:szCs w:val="20"/>
                <w:color w:val="auto"/>
              </w:rPr>
            </w:pPr>
            <w:r>
              <w:rPr>
                <w:rFonts w:ascii="Arial" w:cs="Arial" w:eastAsia="Arial" w:hAnsi="Arial"/>
                <w:sz w:val="13"/>
                <w:szCs w:val="13"/>
                <w:b w:val="1"/>
                <w:bCs w:val="1"/>
                <w:color w:val="auto"/>
              </w:rPr>
              <w:t>Industry Classification</w:t>
            </w:r>
          </w:p>
        </w:tc>
        <w:tc>
          <w:tcPr>
            <w:tcW w:w="2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w w:val="85"/>
              </w:rPr>
              <w:t>December 31, 2014</w:t>
            </w:r>
          </w:p>
        </w:tc>
        <w:tc>
          <w:tcPr>
            <w:tcW w:w="8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w w:val="83"/>
              </w:rPr>
              <w:t>September 30, 2014</w:t>
            </w:r>
          </w:p>
        </w:tc>
        <w:tc>
          <w:tcPr>
            <w:tcW w:w="0" w:type="dxa"/>
            <w:vAlign w:val="bottom"/>
          </w:tcPr>
          <w:p>
            <w:pPr>
              <w:spacing w:after="0"/>
              <w:rPr>
                <w:sz w:val="1"/>
                <w:szCs w:val="1"/>
                <w:color w:val="auto"/>
              </w:rPr>
            </w:pPr>
          </w:p>
        </w:tc>
      </w:tr>
      <w:tr>
        <w:trPr>
          <w:trHeight w:val="142"/>
        </w:trPr>
        <w:tc>
          <w:tcPr>
            <w:tcW w:w="1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3"/>
              </w:rPr>
              <w:t>High Tech Industries</w:t>
            </w:r>
          </w:p>
        </w:tc>
        <w:tc>
          <w:tcPr>
            <w:tcW w:w="216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ind w:right="211"/>
              <w:spacing w:after="0" w:line="142" w:lineRule="exact"/>
              <w:rPr>
                <w:sz w:val="20"/>
                <w:szCs w:val="20"/>
                <w:color w:val="auto"/>
              </w:rPr>
            </w:pPr>
            <w:r>
              <w:rPr>
                <w:rFonts w:ascii="Arial" w:cs="Arial" w:eastAsia="Arial" w:hAnsi="Arial"/>
                <w:sz w:val="14"/>
                <w:szCs w:val="14"/>
                <w:color w:val="auto"/>
              </w:rPr>
              <w:t>15%</w:t>
            </w:r>
          </w:p>
        </w:tc>
        <w:tc>
          <w:tcPr>
            <w:tcW w:w="8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ind w:right="230"/>
              <w:spacing w:after="0" w:line="142"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3280" w:type="dxa"/>
            <w:vAlign w:val="bottom"/>
            <w:gridSpan w:val="2"/>
          </w:tcPr>
          <w:p>
            <w:pPr>
              <w:jc w:val="right"/>
              <w:ind w:right="331"/>
              <w:spacing w:after="0" w:line="149" w:lineRule="exact"/>
              <w:rPr>
                <w:sz w:val="20"/>
                <w:szCs w:val="20"/>
                <w:color w:val="auto"/>
              </w:rPr>
            </w:pPr>
            <w:r>
              <w:rPr>
                <w:rFonts w:ascii="Arial" w:cs="Arial" w:eastAsia="Arial" w:hAnsi="Arial"/>
                <w:sz w:val="14"/>
                <w:szCs w:val="14"/>
                <w:color w:val="auto"/>
              </w:rPr>
              <w:t>11</w:t>
            </w:r>
          </w:p>
        </w:tc>
        <w:tc>
          <w:tcPr>
            <w:tcW w:w="186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3280" w:type="dxa"/>
            <w:vAlign w:val="bottom"/>
            <w:gridSpan w:val="2"/>
            <w:shd w:val="clear" w:color="auto" w:fill="CCEEFF"/>
          </w:tcPr>
          <w:p>
            <w:pPr>
              <w:jc w:val="right"/>
              <w:ind w:right="331"/>
              <w:spacing w:after="0" w:line="149" w:lineRule="exact"/>
              <w:rPr>
                <w:sz w:val="20"/>
                <w:szCs w:val="20"/>
                <w:color w:val="auto"/>
              </w:rPr>
            </w:pPr>
            <w:r>
              <w:rPr>
                <w:rFonts w:ascii="Arial" w:cs="Arial" w:eastAsia="Arial" w:hAnsi="Arial"/>
                <w:sz w:val="14"/>
                <w:szCs w:val="14"/>
                <w:color w:val="auto"/>
              </w:rPr>
              <w:t>9</w:t>
            </w:r>
          </w:p>
        </w:tc>
        <w:tc>
          <w:tcPr>
            <w:tcW w:w="186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Consumer Services</w:t>
            </w:r>
          </w:p>
        </w:tc>
        <w:tc>
          <w:tcPr>
            <w:tcW w:w="3280" w:type="dxa"/>
            <w:vAlign w:val="bottom"/>
            <w:gridSpan w:val="2"/>
          </w:tcPr>
          <w:p>
            <w:pPr>
              <w:jc w:val="right"/>
              <w:ind w:right="331"/>
              <w:spacing w:after="0" w:line="149" w:lineRule="exact"/>
              <w:rPr>
                <w:sz w:val="20"/>
                <w:szCs w:val="20"/>
                <w:color w:val="auto"/>
              </w:rPr>
            </w:pPr>
            <w:r>
              <w:rPr>
                <w:rFonts w:ascii="Arial" w:cs="Arial" w:eastAsia="Arial" w:hAnsi="Arial"/>
                <w:sz w:val="14"/>
                <w:szCs w:val="14"/>
                <w:color w:val="auto"/>
              </w:rPr>
              <w:t>8</w:t>
            </w:r>
          </w:p>
        </w:tc>
        <w:tc>
          <w:tcPr>
            <w:tcW w:w="186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Hotel, Gaming and Leisure</w:t>
            </w:r>
          </w:p>
        </w:tc>
        <w:tc>
          <w:tcPr>
            <w:tcW w:w="3280" w:type="dxa"/>
            <w:vAlign w:val="bottom"/>
            <w:gridSpan w:val="2"/>
            <w:shd w:val="clear" w:color="auto" w:fill="CCEEFF"/>
          </w:tcPr>
          <w:p>
            <w:pPr>
              <w:jc w:val="right"/>
              <w:ind w:right="331"/>
              <w:spacing w:after="0" w:line="149" w:lineRule="exact"/>
              <w:rPr>
                <w:sz w:val="20"/>
                <w:szCs w:val="20"/>
                <w:color w:val="auto"/>
              </w:rPr>
            </w:pPr>
            <w:r>
              <w:rPr>
                <w:rFonts w:ascii="Arial" w:cs="Arial" w:eastAsia="Arial" w:hAnsi="Arial"/>
                <w:sz w:val="14"/>
                <w:szCs w:val="14"/>
                <w:color w:val="auto"/>
              </w:rPr>
              <w:t>8</w:t>
            </w:r>
          </w:p>
        </w:tc>
        <w:tc>
          <w:tcPr>
            <w:tcW w:w="186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3280" w:type="dxa"/>
            <w:vAlign w:val="bottom"/>
            <w:gridSpan w:val="2"/>
          </w:tcPr>
          <w:p>
            <w:pPr>
              <w:jc w:val="right"/>
              <w:ind w:right="331"/>
              <w:spacing w:after="0" w:line="149" w:lineRule="exact"/>
              <w:rPr>
                <w:sz w:val="20"/>
                <w:szCs w:val="20"/>
                <w:color w:val="auto"/>
              </w:rPr>
            </w:pPr>
            <w:r>
              <w:rPr>
                <w:rFonts w:ascii="Arial" w:cs="Arial" w:eastAsia="Arial" w:hAnsi="Arial"/>
                <w:sz w:val="14"/>
                <w:szCs w:val="14"/>
                <w:color w:val="auto"/>
              </w:rPr>
              <w:t>7</w:t>
            </w:r>
          </w:p>
        </w:tc>
        <w:tc>
          <w:tcPr>
            <w:tcW w:w="186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3280" w:type="dxa"/>
            <w:vAlign w:val="bottom"/>
            <w:gridSpan w:val="2"/>
            <w:shd w:val="clear" w:color="auto" w:fill="CCEEFF"/>
          </w:tcPr>
          <w:p>
            <w:pPr>
              <w:jc w:val="right"/>
              <w:ind w:right="331"/>
              <w:spacing w:after="0" w:line="149" w:lineRule="exact"/>
              <w:rPr>
                <w:sz w:val="20"/>
                <w:szCs w:val="20"/>
                <w:color w:val="auto"/>
              </w:rPr>
            </w:pPr>
            <w:r>
              <w:rPr>
                <w:rFonts w:ascii="Arial" w:cs="Arial" w:eastAsia="Arial" w:hAnsi="Arial"/>
                <w:sz w:val="14"/>
                <w:szCs w:val="14"/>
                <w:color w:val="auto"/>
              </w:rPr>
              <w:t>6</w:t>
            </w:r>
          </w:p>
        </w:tc>
        <w:tc>
          <w:tcPr>
            <w:tcW w:w="186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Banking, Finance, Insurance and Real Estate</w:t>
            </w:r>
          </w:p>
        </w:tc>
        <w:tc>
          <w:tcPr>
            <w:tcW w:w="3280" w:type="dxa"/>
            <w:vAlign w:val="bottom"/>
            <w:gridSpan w:val="2"/>
          </w:tcPr>
          <w:p>
            <w:pPr>
              <w:jc w:val="right"/>
              <w:ind w:right="331"/>
              <w:spacing w:after="0" w:line="149" w:lineRule="exact"/>
              <w:rPr>
                <w:sz w:val="20"/>
                <w:szCs w:val="20"/>
                <w:color w:val="auto"/>
              </w:rPr>
            </w:pPr>
            <w:r>
              <w:rPr>
                <w:rFonts w:ascii="Arial" w:cs="Arial" w:eastAsia="Arial" w:hAnsi="Arial"/>
                <w:sz w:val="14"/>
                <w:szCs w:val="14"/>
                <w:color w:val="auto"/>
              </w:rPr>
              <w:t>5</w:t>
            </w:r>
          </w:p>
        </w:tc>
        <w:tc>
          <w:tcPr>
            <w:tcW w:w="186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Goods: Durable</w:t>
            </w:r>
          </w:p>
        </w:tc>
        <w:tc>
          <w:tcPr>
            <w:tcW w:w="3280" w:type="dxa"/>
            <w:vAlign w:val="bottom"/>
            <w:gridSpan w:val="2"/>
            <w:shd w:val="clear" w:color="auto" w:fill="CCEEFF"/>
          </w:tcPr>
          <w:p>
            <w:pPr>
              <w:jc w:val="right"/>
              <w:ind w:right="331"/>
              <w:spacing w:after="0" w:line="149" w:lineRule="exact"/>
              <w:rPr>
                <w:sz w:val="20"/>
                <w:szCs w:val="20"/>
                <w:color w:val="auto"/>
              </w:rPr>
            </w:pPr>
            <w:r>
              <w:rPr>
                <w:rFonts w:ascii="Arial" w:cs="Arial" w:eastAsia="Arial" w:hAnsi="Arial"/>
                <w:sz w:val="14"/>
                <w:szCs w:val="14"/>
                <w:color w:val="auto"/>
              </w:rPr>
              <w:t>5</w:t>
            </w:r>
          </w:p>
        </w:tc>
        <w:tc>
          <w:tcPr>
            <w:tcW w:w="186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Aerospace and Defense</w:t>
            </w:r>
          </w:p>
        </w:tc>
        <w:tc>
          <w:tcPr>
            <w:tcW w:w="3280" w:type="dxa"/>
            <w:vAlign w:val="bottom"/>
            <w:gridSpan w:val="2"/>
          </w:tcPr>
          <w:p>
            <w:pPr>
              <w:jc w:val="right"/>
              <w:ind w:right="331"/>
              <w:spacing w:after="0" w:line="149" w:lineRule="exact"/>
              <w:rPr>
                <w:sz w:val="20"/>
                <w:szCs w:val="20"/>
                <w:color w:val="auto"/>
              </w:rPr>
            </w:pPr>
            <w:r>
              <w:rPr>
                <w:rFonts w:ascii="Arial" w:cs="Arial" w:eastAsia="Arial" w:hAnsi="Arial"/>
                <w:sz w:val="14"/>
                <w:szCs w:val="14"/>
                <w:color w:val="auto"/>
              </w:rPr>
              <w:t>4</w:t>
            </w:r>
          </w:p>
        </w:tc>
        <w:tc>
          <w:tcPr>
            <w:tcW w:w="186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Goods: Non-Durable</w:t>
            </w:r>
          </w:p>
        </w:tc>
        <w:tc>
          <w:tcPr>
            <w:tcW w:w="3280" w:type="dxa"/>
            <w:vAlign w:val="bottom"/>
            <w:gridSpan w:val="2"/>
            <w:shd w:val="clear" w:color="auto" w:fill="CCEEFF"/>
          </w:tcPr>
          <w:p>
            <w:pPr>
              <w:jc w:val="right"/>
              <w:ind w:right="331"/>
              <w:spacing w:after="0" w:line="149" w:lineRule="exact"/>
              <w:rPr>
                <w:sz w:val="20"/>
                <w:szCs w:val="20"/>
                <w:color w:val="auto"/>
              </w:rPr>
            </w:pPr>
            <w:r>
              <w:rPr>
                <w:rFonts w:ascii="Arial" w:cs="Arial" w:eastAsia="Arial" w:hAnsi="Arial"/>
                <w:sz w:val="14"/>
                <w:szCs w:val="14"/>
                <w:color w:val="auto"/>
              </w:rPr>
              <w:t>4</w:t>
            </w:r>
          </w:p>
        </w:tc>
        <w:tc>
          <w:tcPr>
            <w:tcW w:w="186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Automotive</w:t>
            </w:r>
          </w:p>
        </w:tc>
        <w:tc>
          <w:tcPr>
            <w:tcW w:w="3280" w:type="dxa"/>
            <w:vAlign w:val="bottom"/>
            <w:gridSpan w:val="2"/>
          </w:tcPr>
          <w:p>
            <w:pPr>
              <w:jc w:val="right"/>
              <w:ind w:right="331"/>
              <w:spacing w:after="0" w:line="149" w:lineRule="exact"/>
              <w:rPr>
                <w:sz w:val="20"/>
                <w:szCs w:val="20"/>
                <w:color w:val="auto"/>
              </w:rPr>
            </w:pPr>
            <w:r>
              <w:rPr>
                <w:rFonts w:ascii="Arial" w:cs="Arial" w:eastAsia="Arial" w:hAnsi="Arial"/>
                <w:sz w:val="14"/>
                <w:szCs w:val="14"/>
                <w:color w:val="auto"/>
              </w:rPr>
              <w:t>3</w:t>
            </w:r>
          </w:p>
        </w:tc>
        <w:tc>
          <w:tcPr>
            <w:tcW w:w="186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Construction and Building</w:t>
            </w:r>
          </w:p>
        </w:tc>
        <w:tc>
          <w:tcPr>
            <w:tcW w:w="3280" w:type="dxa"/>
            <w:vAlign w:val="bottom"/>
            <w:gridSpan w:val="2"/>
            <w:shd w:val="clear" w:color="auto" w:fill="CCEEFF"/>
          </w:tcPr>
          <w:p>
            <w:pPr>
              <w:jc w:val="right"/>
              <w:ind w:right="331"/>
              <w:spacing w:after="0" w:line="149" w:lineRule="exact"/>
              <w:rPr>
                <w:sz w:val="20"/>
                <w:szCs w:val="20"/>
                <w:color w:val="auto"/>
              </w:rPr>
            </w:pPr>
            <w:r>
              <w:rPr>
                <w:rFonts w:ascii="Arial" w:cs="Arial" w:eastAsia="Arial" w:hAnsi="Arial"/>
                <w:sz w:val="14"/>
                <w:szCs w:val="14"/>
                <w:color w:val="auto"/>
              </w:rPr>
              <w:t>3</w:t>
            </w:r>
          </w:p>
        </w:tc>
        <w:tc>
          <w:tcPr>
            <w:tcW w:w="186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Wholesale</w:t>
            </w:r>
          </w:p>
        </w:tc>
        <w:tc>
          <w:tcPr>
            <w:tcW w:w="3280" w:type="dxa"/>
            <w:vAlign w:val="bottom"/>
            <w:gridSpan w:val="2"/>
          </w:tcPr>
          <w:p>
            <w:pPr>
              <w:jc w:val="right"/>
              <w:ind w:right="331"/>
              <w:spacing w:after="0" w:line="149" w:lineRule="exact"/>
              <w:rPr>
                <w:sz w:val="20"/>
                <w:szCs w:val="20"/>
                <w:color w:val="auto"/>
              </w:rPr>
            </w:pPr>
            <w:r>
              <w:rPr>
                <w:rFonts w:ascii="Arial" w:cs="Arial" w:eastAsia="Arial" w:hAnsi="Arial"/>
                <w:sz w:val="14"/>
                <w:szCs w:val="14"/>
                <w:color w:val="auto"/>
              </w:rPr>
              <w:t>3</w:t>
            </w:r>
          </w:p>
        </w:tc>
        <w:tc>
          <w:tcPr>
            <w:tcW w:w="820" w:type="dxa"/>
            <w:vAlign w:val="bottom"/>
          </w:tcPr>
          <w:p>
            <w:pPr>
              <w:spacing w:after="0"/>
              <w:rPr>
                <w:sz w:val="12"/>
                <w:szCs w:val="12"/>
                <w:color w:val="auto"/>
              </w:rPr>
            </w:pPr>
          </w:p>
        </w:tc>
        <w:tc>
          <w:tcPr>
            <w:tcW w:w="1040" w:type="dxa"/>
            <w:vAlign w:val="bottom"/>
          </w:tcPr>
          <w:p>
            <w:pPr>
              <w:jc w:val="right"/>
              <w:ind w:right="33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3280" w:type="dxa"/>
            <w:vAlign w:val="bottom"/>
            <w:gridSpan w:val="2"/>
            <w:shd w:val="clear" w:color="auto" w:fill="CCEEFF"/>
          </w:tcPr>
          <w:p>
            <w:pPr>
              <w:jc w:val="right"/>
              <w:ind w:right="331"/>
              <w:spacing w:after="0" w:line="149" w:lineRule="exact"/>
              <w:rPr>
                <w:sz w:val="20"/>
                <w:szCs w:val="20"/>
                <w:color w:val="auto"/>
              </w:rPr>
            </w:pPr>
            <w:r>
              <w:rPr>
                <w:rFonts w:ascii="Arial" w:cs="Arial" w:eastAsia="Arial" w:hAnsi="Arial"/>
                <w:sz w:val="14"/>
                <w:szCs w:val="14"/>
                <w:color w:val="auto"/>
              </w:rPr>
              <w:t>2</w:t>
            </w:r>
          </w:p>
        </w:tc>
        <w:tc>
          <w:tcPr>
            <w:tcW w:w="186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Energy: Oil and Gas</w:t>
            </w:r>
          </w:p>
        </w:tc>
        <w:tc>
          <w:tcPr>
            <w:tcW w:w="3280" w:type="dxa"/>
            <w:vAlign w:val="bottom"/>
            <w:gridSpan w:val="2"/>
          </w:tcPr>
          <w:p>
            <w:pPr>
              <w:jc w:val="right"/>
              <w:ind w:right="331"/>
              <w:spacing w:after="0" w:line="149" w:lineRule="exact"/>
              <w:rPr>
                <w:sz w:val="20"/>
                <w:szCs w:val="20"/>
                <w:color w:val="auto"/>
              </w:rPr>
            </w:pPr>
            <w:r>
              <w:rPr>
                <w:rFonts w:ascii="Arial" w:cs="Arial" w:eastAsia="Arial" w:hAnsi="Arial"/>
                <w:sz w:val="14"/>
                <w:szCs w:val="14"/>
                <w:color w:val="auto"/>
              </w:rPr>
              <w:t>2</w:t>
            </w:r>
          </w:p>
        </w:tc>
        <w:tc>
          <w:tcPr>
            <w:tcW w:w="186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3280" w:type="dxa"/>
            <w:vAlign w:val="bottom"/>
            <w:gridSpan w:val="2"/>
            <w:shd w:val="clear" w:color="auto" w:fill="CCEEFF"/>
          </w:tcPr>
          <w:p>
            <w:pPr>
              <w:jc w:val="right"/>
              <w:ind w:right="331"/>
              <w:spacing w:after="0" w:line="149" w:lineRule="exact"/>
              <w:rPr>
                <w:sz w:val="20"/>
                <w:szCs w:val="20"/>
                <w:color w:val="auto"/>
              </w:rPr>
            </w:pPr>
            <w:r>
              <w:rPr>
                <w:rFonts w:ascii="Arial" w:cs="Arial" w:eastAsia="Arial" w:hAnsi="Arial"/>
                <w:sz w:val="14"/>
                <w:szCs w:val="14"/>
                <w:color w:val="auto"/>
              </w:rPr>
              <w:t>2</w:t>
            </w:r>
          </w:p>
        </w:tc>
        <w:tc>
          <w:tcPr>
            <w:tcW w:w="186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5"/>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All Other</w:t>
            </w:r>
          </w:p>
        </w:tc>
        <w:tc>
          <w:tcPr>
            <w:tcW w:w="2260" w:type="dxa"/>
            <w:vAlign w:val="bottom"/>
          </w:tcPr>
          <w:p>
            <w:pPr>
              <w:spacing w:after="0"/>
              <w:rPr>
                <w:sz w:val="13"/>
                <w:szCs w:val="13"/>
                <w:color w:val="auto"/>
              </w:rPr>
            </w:pPr>
          </w:p>
        </w:tc>
        <w:tc>
          <w:tcPr>
            <w:tcW w:w="1020" w:type="dxa"/>
            <w:vAlign w:val="bottom"/>
            <w:tcBorders>
              <w:bottom w:val="single" w:sz="8" w:color="auto"/>
            </w:tcBorders>
          </w:tcPr>
          <w:p>
            <w:pPr>
              <w:jc w:val="right"/>
              <w:ind w:right="331"/>
              <w:spacing w:after="0" w:line="149" w:lineRule="exact"/>
              <w:rPr>
                <w:sz w:val="20"/>
                <w:szCs w:val="20"/>
                <w:color w:val="auto"/>
              </w:rPr>
            </w:pPr>
            <w:r>
              <w:rPr>
                <w:rFonts w:ascii="Arial" w:cs="Arial" w:eastAsia="Arial" w:hAnsi="Arial"/>
                <w:sz w:val="14"/>
                <w:szCs w:val="14"/>
                <w:color w:val="auto"/>
              </w:rPr>
              <w:t>3</w:t>
            </w:r>
          </w:p>
        </w:tc>
        <w:tc>
          <w:tcPr>
            <w:tcW w:w="820" w:type="dxa"/>
            <w:vAlign w:val="bottom"/>
          </w:tcPr>
          <w:p>
            <w:pPr>
              <w:spacing w:after="0"/>
              <w:rPr>
                <w:sz w:val="13"/>
                <w:szCs w:val="13"/>
                <w:color w:val="auto"/>
              </w:rPr>
            </w:pPr>
          </w:p>
        </w:tc>
        <w:tc>
          <w:tcPr>
            <w:tcW w:w="1040" w:type="dxa"/>
            <w:vAlign w:val="bottom"/>
            <w:tcBorders>
              <w:bottom w:val="single" w:sz="8" w:color="auto"/>
            </w:tcBorders>
          </w:tcPr>
          <w:p>
            <w:pPr>
              <w:jc w:val="right"/>
              <w:ind w:right="33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280" w:type="dxa"/>
            <w:vAlign w:val="bottom"/>
            <w:gridSpan w:val="2"/>
            <w:shd w:val="clear" w:color="auto" w:fill="CCEEFF"/>
          </w:tcPr>
          <w:p>
            <w:pPr>
              <w:jc w:val="right"/>
              <w:ind w:right="211"/>
              <w:spacing w:after="0" w:line="149" w:lineRule="exact"/>
              <w:rPr>
                <w:sz w:val="20"/>
                <w:szCs w:val="20"/>
                <w:color w:val="auto"/>
              </w:rPr>
            </w:pPr>
            <w:r>
              <w:rPr>
                <w:rFonts w:ascii="Arial" w:cs="Arial" w:eastAsia="Arial" w:hAnsi="Arial"/>
                <w:sz w:val="14"/>
                <w:szCs w:val="14"/>
                <w:color w:val="auto"/>
              </w:rPr>
              <w:t>100%</w:t>
            </w:r>
          </w:p>
        </w:tc>
        <w:tc>
          <w:tcPr>
            <w:tcW w:w="1860" w:type="dxa"/>
            <w:vAlign w:val="bottom"/>
            <w:gridSpan w:val="2"/>
            <w:shd w:val="clear" w:color="auto" w:fill="CCEEFF"/>
          </w:tcPr>
          <w:p>
            <w:pPr>
              <w:jc w:val="right"/>
              <w:ind w:right="23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60" w:type="dxa"/>
            <w:vAlign w:val="bottom"/>
            <w:vMerge w:val="restart"/>
          </w:tcPr>
          <w:p>
            <w:pPr>
              <w:jc w:val="right"/>
              <w:ind w:right="1228"/>
              <w:spacing w:after="0"/>
              <w:rPr>
                <w:sz w:val="20"/>
                <w:szCs w:val="20"/>
                <w:color w:val="auto"/>
              </w:rPr>
            </w:pPr>
            <w:r>
              <w:rPr>
                <w:rFonts w:ascii="Arial" w:cs="Arial" w:eastAsia="Arial" w:hAnsi="Arial"/>
                <w:sz w:val="14"/>
                <w:szCs w:val="14"/>
                <w:color w:val="auto"/>
              </w:rPr>
              <w:t>17</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1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firstLine="786"/>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800"/>
        <w:spacing w:after="0"/>
        <w:tabs>
          <w:tab w:leader="none" w:pos="15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80" w:right="840" w:hanging="782"/>
        <w:spacing w:after="0" w:line="238" w:lineRule="auto"/>
        <w:tabs>
          <w:tab w:leader="none" w:pos="15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80" w:right="880" w:hanging="782"/>
        <w:spacing w:after="0" w:line="253" w:lineRule="auto"/>
        <w:tabs>
          <w:tab w:leader="none" w:pos="15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174" w:lineRule="exact"/>
        <w:rPr>
          <w:sz w:val="20"/>
          <w:szCs w:val="20"/>
          <w:color w:val="auto"/>
        </w:rPr>
      </w:pPr>
    </w:p>
    <w:p>
      <w:pPr>
        <w:ind w:right="60" w:firstLine="786"/>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68" w:lineRule="exact"/>
        <w:rPr>
          <w:sz w:val="20"/>
          <w:szCs w:val="20"/>
          <w:color w:val="auto"/>
        </w:rPr>
      </w:pPr>
    </w:p>
    <w:p>
      <w:pPr>
        <w:ind w:right="20" w:firstLine="786"/>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84" w:lineRule="exact"/>
        <w:rPr>
          <w:sz w:val="20"/>
          <w:szCs w:val="20"/>
          <w:color w:val="auto"/>
        </w:rPr>
      </w:pPr>
    </w:p>
    <w:p>
      <w:pPr>
        <w:ind w:right="20" w:firstLine="786"/>
        <w:spacing w:after="0" w:line="231" w:lineRule="auto"/>
        <w:rPr>
          <w:sz w:val="20"/>
          <w:szCs w:val="20"/>
          <w:color w:val="auto"/>
        </w:rPr>
      </w:pPr>
      <w:r>
        <w:rPr>
          <w:rFonts w:ascii="Arial" w:cs="Arial" w:eastAsia="Arial" w:hAnsi="Arial"/>
          <w:sz w:val="14"/>
          <w:szCs w:val="14"/>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84" w:lineRule="exact"/>
        <w:rPr>
          <w:sz w:val="20"/>
          <w:szCs w:val="20"/>
          <w:color w:val="auto"/>
        </w:rPr>
      </w:pPr>
    </w:p>
    <w:p>
      <w:pPr>
        <w:ind w:right="340" w:firstLine="786"/>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2014 and 2013, our ability to observe valuation inputs resulted in one reclassification from Level 2 to 3 and no reclassification of assets between levels, respectively.</w:t>
      </w:r>
    </w:p>
    <w:p>
      <w:pPr>
        <w:spacing w:after="0" w:line="185" w:lineRule="exact"/>
        <w:rPr>
          <w:sz w:val="20"/>
          <w:szCs w:val="20"/>
          <w:color w:val="auto"/>
        </w:rPr>
      </w:pPr>
    </w:p>
    <w:p>
      <w:pPr>
        <w:jc w:val="both"/>
        <w:ind w:right="140" w:firstLine="786"/>
        <w:spacing w:after="0" w:line="238" w:lineRule="auto"/>
        <w:rPr>
          <w:sz w:val="20"/>
          <w:szCs w:val="20"/>
          <w:color w:val="auto"/>
        </w:rPr>
      </w:pPr>
      <w:r>
        <w:rPr>
          <w:rFonts w:ascii="Arial" w:cs="Arial" w:eastAsia="Arial" w:hAnsi="Arial"/>
          <w:sz w:val="14"/>
          <w:szCs w:val="14"/>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3" w:lineRule="exact"/>
        <w:rPr>
          <w:sz w:val="20"/>
          <w:szCs w:val="20"/>
          <w:color w:val="auto"/>
        </w:rPr>
      </w:pPr>
    </w:p>
    <w:p>
      <w:pPr>
        <w:ind w:right="40" w:firstLine="786"/>
        <w:spacing w:after="0" w:line="233"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5" w:lineRule="exact"/>
        <w:rPr>
          <w:sz w:val="20"/>
          <w:szCs w:val="20"/>
          <w:color w:val="auto"/>
        </w:rPr>
      </w:pPr>
    </w:p>
    <w:p>
      <w:pPr>
        <w:ind w:right="20" w:firstLine="786"/>
        <w:spacing w:after="0" w:line="245" w:lineRule="auto"/>
        <w:rPr>
          <w:sz w:val="20"/>
          <w:szCs w:val="20"/>
          <w:color w:val="auto"/>
        </w:rPr>
      </w:pPr>
      <w:r>
        <w:rPr>
          <w:rFonts w:ascii="Arial" w:cs="Arial" w:eastAsia="Arial" w:hAnsi="Arial"/>
          <w:sz w:val="13"/>
          <w:szCs w:val="13"/>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100" w:type="dxa"/>
            <w:vAlign w:val="bottom"/>
          </w:tcPr>
          <w:p>
            <w:pPr>
              <w:spacing w:after="0"/>
              <w:rPr>
                <w:sz w:val="13"/>
                <w:szCs w:val="13"/>
                <w:color w:val="auto"/>
              </w:rPr>
            </w:pPr>
          </w:p>
        </w:tc>
        <w:tc>
          <w:tcPr>
            <w:tcW w:w="1000" w:type="dxa"/>
            <w:vAlign w:val="bottom"/>
          </w:tcPr>
          <w:p>
            <w:pPr>
              <w:jc w:val="right"/>
              <w:ind w:right="69"/>
              <w:spacing w:after="0"/>
              <w:rPr>
                <w:sz w:val="20"/>
                <w:szCs w:val="20"/>
                <w:color w:val="auto"/>
              </w:rPr>
            </w:pPr>
            <w:r>
              <w:rPr>
                <w:rFonts w:ascii="Arial" w:cs="Arial" w:eastAsia="Arial" w:hAnsi="Arial"/>
                <w:sz w:val="13"/>
                <w:szCs w:val="13"/>
                <w:b w:val="1"/>
                <w:bCs w:val="1"/>
                <w:color w:val="auto"/>
                <w:w w:val="87"/>
              </w:rPr>
              <w:t>Fair Value as of</w:t>
            </w: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7"/>
              </w:rPr>
              <w:t>Range of Input</w:t>
            </w:r>
          </w:p>
        </w:tc>
        <w:tc>
          <w:tcPr>
            <w:tcW w:w="0" w:type="dxa"/>
            <w:vAlign w:val="bottom"/>
          </w:tcPr>
          <w:p>
            <w:pPr>
              <w:spacing w:after="0"/>
              <w:rPr>
                <w:sz w:val="1"/>
                <w:szCs w:val="1"/>
                <w:color w:val="auto"/>
              </w:rPr>
            </w:pPr>
          </w:p>
        </w:tc>
      </w:tr>
      <w:tr>
        <w:trPr>
          <w:trHeight w:val="153"/>
        </w:trPr>
        <w:tc>
          <w:tcPr>
            <w:tcW w:w="5160" w:type="dxa"/>
            <w:vAlign w:val="bottom"/>
            <w:gridSpan w:val="2"/>
            <w:vMerge w:val="continue"/>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b w:val="1"/>
                <w:bCs w:val="1"/>
                <w:color w:val="auto"/>
                <w:w w:val="87"/>
              </w:rPr>
              <w:t>December 31, 2014</w:t>
            </w:r>
          </w:p>
        </w:tc>
        <w:tc>
          <w:tcPr>
            <w:tcW w:w="260" w:type="dxa"/>
            <w:vAlign w:val="bottom"/>
          </w:tcPr>
          <w:p>
            <w:pPr>
              <w:spacing w:after="0"/>
              <w:rPr>
                <w:sz w:val="13"/>
                <w:szCs w:val="13"/>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Valuation Technique</w:t>
            </w:r>
          </w:p>
        </w:tc>
        <w:tc>
          <w:tcPr>
            <w:tcW w:w="1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Unobservable Input</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6"/>
              </w:rPr>
              <w:t>(Weighted Average)</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252,435,911</w:t>
            </w:r>
          </w:p>
        </w:tc>
        <w:tc>
          <w:tcPr>
            <w:tcW w:w="260" w:type="dxa"/>
            <w:vAlign w:val="bottom"/>
            <w:vMerge w:val="continue"/>
            <w:shd w:val="clear" w:color="auto" w:fill="CCEEFF"/>
          </w:tcPr>
          <w:p>
            <w:pPr>
              <w:spacing w:after="0"/>
              <w:rPr>
                <w:sz w:val="12"/>
                <w:szCs w:val="12"/>
                <w:color w:val="auto"/>
              </w:rPr>
            </w:pPr>
          </w:p>
        </w:tc>
        <w:tc>
          <w:tcPr>
            <w:tcW w:w="14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20" w:type="dxa"/>
            <w:vAlign w:val="bottom"/>
            <w:vMerge w:val="continue"/>
            <w:shd w:val="clear" w:color="auto" w:fill="CCEEFF"/>
          </w:tcPr>
          <w:p>
            <w:pPr>
              <w:spacing w:after="0"/>
              <w:rPr>
                <w:sz w:val="12"/>
                <w:szCs w:val="12"/>
                <w:color w:val="auto"/>
              </w:rPr>
            </w:pPr>
          </w:p>
        </w:tc>
        <w:tc>
          <w:tcPr>
            <w:tcW w:w="14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Broker/Dealer bid quotes</w:t>
            </w:r>
          </w:p>
        </w:tc>
        <w:tc>
          <w:tcPr>
            <w:tcW w:w="220" w:type="dxa"/>
            <w:vAlign w:val="bottom"/>
            <w:vMerge w:val="continue"/>
            <w:shd w:val="clear" w:color="auto" w:fill="CCEEFF"/>
          </w:tcPr>
          <w:p>
            <w:pPr>
              <w:spacing w:after="0"/>
              <w:rPr>
                <w:sz w:val="12"/>
                <w:szCs w:val="12"/>
                <w:color w:val="auto"/>
              </w:rPr>
            </w:pPr>
          </w:p>
        </w:tc>
        <w:tc>
          <w:tcPr>
            <w:tcW w:w="13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86,862,375</w:t>
            </w:r>
          </w:p>
        </w:tc>
        <w:tc>
          <w:tcPr>
            <w:tcW w:w="260" w:type="dxa"/>
            <w:vAlign w:val="bottom"/>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Market Comparable</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Market Yield</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4"/>
              </w:rPr>
              <w:t>6.4% – 23.0% (12.0%)</w:t>
            </w: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2,595,856</w:t>
            </w: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3"/>
              </w:rPr>
              <w:t>Enterprise Market Value</w:t>
            </w:r>
          </w:p>
        </w:tc>
        <w:tc>
          <w:tcPr>
            <w:tcW w:w="17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rPr>
              <w:t>EBITDA multiple</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6.0x – 10.0x (7.7x)</w:t>
            </w:r>
          </w:p>
        </w:tc>
        <w:tc>
          <w:tcPr>
            <w:tcW w:w="0" w:type="dxa"/>
            <w:vAlign w:val="bottom"/>
          </w:tcPr>
          <w:p>
            <w:pPr>
              <w:spacing w:after="0"/>
              <w:rPr>
                <w:sz w:val="1"/>
                <w:szCs w:val="1"/>
                <w:color w:val="auto"/>
              </w:rPr>
            </w:pPr>
          </w:p>
        </w:tc>
      </w:tr>
      <w:tr>
        <w:trPr>
          <w:trHeight w:val="155"/>
        </w:trPr>
        <w:tc>
          <w:tcPr>
            <w:tcW w:w="516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341,894,142</w:t>
            </w: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0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136,008,125</w:t>
            </w: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94"/>
              </w:rPr>
              <w:t>Market Comparable</w:t>
            </w:r>
          </w:p>
        </w:tc>
        <w:tc>
          <w:tcPr>
            <w:tcW w:w="170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97"/>
              </w:rPr>
              <w:t>Market Yield</w:t>
            </w:r>
          </w:p>
        </w:tc>
        <w:tc>
          <w:tcPr>
            <w:tcW w:w="13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5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100" w:type="dxa"/>
            <w:vAlign w:val="bottom"/>
          </w:tcPr>
          <w:p>
            <w:pPr>
              <w:spacing w:after="0"/>
              <w:rPr>
                <w:sz w:val="24"/>
                <w:szCs w:val="24"/>
                <w:color w:val="auto"/>
              </w:rPr>
            </w:pPr>
          </w:p>
        </w:tc>
        <w:tc>
          <w:tcPr>
            <w:tcW w:w="1000" w:type="dxa"/>
            <w:vAlign w:val="bottom"/>
          </w:tcPr>
          <w:p>
            <w:pPr>
              <w:jc w:val="right"/>
              <w:ind w:right="69"/>
              <w:spacing w:after="0"/>
              <w:rPr>
                <w:sz w:val="20"/>
                <w:szCs w:val="20"/>
                <w:color w:val="auto"/>
              </w:rPr>
            </w:pPr>
            <w:r>
              <w:rPr>
                <w:rFonts w:ascii="Arial" w:cs="Arial" w:eastAsia="Arial" w:hAnsi="Arial"/>
                <w:sz w:val="13"/>
                <w:szCs w:val="13"/>
                <w:b w:val="1"/>
                <w:bCs w:val="1"/>
                <w:color w:val="auto"/>
                <w:w w:val="87"/>
              </w:rPr>
              <w:t>Fair Value as of</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7"/>
              </w:rPr>
              <w:t>Range of Input</w:t>
            </w:r>
          </w:p>
        </w:tc>
        <w:tc>
          <w:tcPr>
            <w:tcW w:w="0" w:type="dxa"/>
            <w:vAlign w:val="bottom"/>
          </w:tcPr>
          <w:p>
            <w:pPr>
              <w:spacing w:after="0"/>
              <w:rPr>
                <w:sz w:val="1"/>
                <w:szCs w:val="1"/>
                <w:color w:val="auto"/>
              </w:rPr>
            </w:pPr>
          </w:p>
        </w:tc>
      </w:tr>
      <w:tr>
        <w:trPr>
          <w:trHeight w:val="153"/>
        </w:trPr>
        <w:tc>
          <w:tcPr>
            <w:tcW w:w="5160" w:type="dxa"/>
            <w:vAlign w:val="bottom"/>
            <w:gridSpan w:val="2"/>
            <w:vMerge w:val="continue"/>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w w:val="85"/>
              </w:rPr>
              <w:t>September 30, 2014</w:t>
            </w:r>
          </w:p>
        </w:tc>
        <w:tc>
          <w:tcPr>
            <w:tcW w:w="260" w:type="dxa"/>
            <w:vAlign w:val="bottom"/>
          </w:tcPr>
          <w:p>
            <w:pPr>
              <w:spacing w:after="0"/>
              <w:rPr>
                <w:sz w:val="13"/>
                <w:szCs w:val="13"/>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Valuation Technique</w:t>
            </w:r>
          </w:p>
        </w:tc>
        <w:tc>
          <w:tcPr>
            <w:tcW w:w="1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Unobservable Input</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6"/>
              </w:rPr>
              <w:t>(Weighted Average)</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282,659,683</w:t>
            </w:r>
          </w:p>
        </w:tc>
        <w:tc>
          <w:tcPr>
            <w:tcW w:w="260" w:type="dxa"/>
            <w:vAlign w:val="bottom"/>
            <w:vMerge w:val="continue"/>
            <w:shd w:val="clear" w:color="auto" w:fill="CCEEFF"/>
          </w:tcPr>
          <w:p>
            <w:pPr>
              <w:spacing w:after="0"/>
              <w:rPr>
                <w:sz w:val="12"/>
                <w:szCs w:val="12"/>
                <w:color w:val="auto"/>
              </w:rPr>
            </w:pPr>
          </w:p>
        </w:tc>
        <w:tc>
          <w:tcPr>
            <w:tcW w:w="14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20" w:type="dxa"/>
            <w:vAlign w:val="bottom"/>
            <w:vMerge w:val="continue"/>
            <w:shd w:val="clear" w:color="auto" w:fill="CCEEFF"/>
          </w:tcPr>
          <w:p>
            <w:pPr>
              <w:spacing w:after="0"/>
              <w:rPr>
                <w:sz w:val="12"/>
                <w:szCs w:val="12"/>
                <w:color w:val="auto"/>
              </w:rPr>
            </w:pPr>
          </w:p>
        </w:tc>
        <w:tc>
          <w:tcPr>
            <w:tcW w:w="14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Broker/Dealer bid quotes</w:t>
            </w:r>
          </w:p>
        </w:tc>
        <w:tc>
          <w:tcPr>
            <w:tcW w:w="220" w:type="dxa"/>
            <w:vAlign w:val="bottom"/>
            <w:vMerge w:val="continue"/>
            <w:shd w:val="clear" w:color="auto" w:fill="CCEEFF"/>
          </w:tcPr>
          <w:p>
            <w:pPr>
              <w:spacing w:after="0"/>
              <w:rPr>
                <w:sz w:val="12"/>
                <w:szCs w:val="12"/>
                <w:color w:val="auto"/>
              </w:rPr>
            </w:pPr>
          </w:p>
        </w:tc>
        <w:tc>
          <w:tcPr>
            <w:tcW w:w="13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58,304,473</w:t>
            </w:r>
          </w:p>
        </w:tc>
        <w:tc>
          <w:tcPr>
            <w:tcW w:w="260" w:type="dxa"/>
            <w:vAlign w:val="bottom"/>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Market Comparable</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Market Yield</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4"/>
              </w:rPr>
              <w:t>6.5% – 14.1% (11.6%)</w:t>
            </w:r>
          </w:p>
        </w:tc>
        <w:tc>
          <w:tcPr>
            <w:tcW w:w="0" w:type="dxa"/>
            <w:vAlign w:val="bottom"/>
          </w:tcPr>
          <w:p>
            <w:pPr>
              <w:spacing w:after="0"/>
              <w:rPr>
                <w:sz w:val="1"/>
                <w:szCs w:val="1"/>
                <w:color w:val="auto"/>
              </w:rPr>
            </w:pPr>
          </w:p>
        </w:tc>
      </w:tr>
      <w:tr>
        <w:trPr>
          <w:trHeight w:val="148"/>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1,062,806</w:t>
            </w: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Market Comparable</w:t>
            </w:r>
          </w:p>
        </w:tc>
        <w:tc>
          <w:tcPr>
            <w:tcW w:w="17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2"/>
              </w:rPr>
              <w:t>Broker/Dealer bid quotes</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1,245,623</w:t>
            </w:r>
          </w:p>
        </w:tc>
        <w:tc>
          <w:tcPr>
            <w:tcW w:w="260" w:type="dxa"/>
            <w:vAlign w:val="bottom"/>
          </w:tcPr>
          <w:p>
            <w:pPr>
              <w:spacing w:after="0"/>
              <w:rPr>
                <w:sz w:val="13"/>
                <w:szCs w:val="13"/>
                <w:color w:val="auto"/>
              </w:rPr>
            </w:pPr>
          </w:p>
        </w:tc>
        <w:tc>
          <w:tcPr>
            <w:tcW w:w="16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Enterprise Market Value</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EBITDA multiple</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6"/>
              </w:rPr>
              <w:t>5.0x – 9.5x (7.6x)</w:t>
            </w: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Level 3 investments</w:t>
            </w:r>
          </w:p>
        </w:tc>
        <w:tc>
          <w:tcPr>
            <w:tcW w:w="1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343,272,585</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4"/>
              </w:rPr>
              <w:t>Market Comparable</w:t>
            </w: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7"/>
              </w:rPr>
              <w:t>Market Yield</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3"/>
              </w:rPr>
              <w:t>3.6%</w:t>
            </w:r>
          </w:p>
        </w:tc>
        <w:tc>
          <w:tcPr>
            <w:tcW w:w="0" w:type="dxa"/>
            <w:vAlign w:val="bottom"/>
          </w:tcPr>
          <w:p>
            <w:pPr>
              <w:spacing w:after="0" w:line="20" w:lineRule="exact"/>
              <w:rPr>
                <w:sz w:val="1"/>
                <w:szCs w:val="1"/>
                <w:color w:val="auto"/>
              </w:rPr>
            </w:pPr>
          </w:p>
        </w:tc>
      </w:tr>
      <w:tr>
        <w:trPr>
          <w:trHeight w:val="143"/>
        </w:trPr>
        <w:tc>
          <w:tcPr>
            <w:tcW w:w="5160" w:type="dxa"/>
            <w:vAlign w:val="bottom"/>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146,949,000</w:t>
            </w:r>
          </w:p>
        </w:tc>
        <w:tc>
          <w:tcPr>
            <w:tcW w:w="2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investments, cash equivalents and Credit Facility were categorized as follows in the fair value hierarchy for ASC 820 purposes:</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4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8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7"/>
          </w:tcPr>
          <w:p>
            <w:pPr>
              <w:spacing w:after="0"/>
              <w:rPr>
                <w:sz w:val="20"/>
                <w:szCs w:val="20"/>
                <w:color w:val="auto"/>
              </w:rPr>
            </w:pPr>
            <w:r>
              <w:rPr>
                <w:rFonts w:ascii="Arial" w:cs="Arial" w:eastAsia="Arial" w:hAnsi="Arial"/>
                <w:sz w:val="13"/>
                <w:szCs w:val="13"/>
                <w:b w:val="1"/>
                <w:bCs w:val="1"/>
                <w:color w:val="auto"/>
                <w:w w:val="88"/>
              </w:rPr>
              <w:t>Fair Value Measurements at December 31, 2014</w:t>
            </w: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4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jc w:val="right"/>
              <w:ind w:right="70"/>
              <w:spacing w:after="0" w:line="142" w:lineRule="exact"/>
              <w:rPr>
                <w:sz w:val="20"/>
                <w:szCs w:val="20"/>
                <w:color w:val="auto"/>
              </w:rPr>
            </w:pPr>
            <w:r>
              <w:rPr>
                <w:rFonts w:ascii="Arial" w:cs="Arial" w:eastAsia="Arial" w:hAnsi="Arial"/>
                <w:sz w:val="13"/>
                <w:szCs w:val="13"/>
                <w:b w:val="1"/>
                <w:bCs w:val="1"/>
                <w:color w:val="auto"/>
              </w:rPr>
              <w:t>Fair Value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29"/>
              <w:spacing w:after="0" w:line="142" w:lineRule="exact"/>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auto"/>
              </w:rPr>
              <w:t>Level 2</w:t>
            </w:r>
          </w:p>
        </w:tc>
        <w:tc>
          <w:tcPr>
            <w:tcW w:w="820" w:type="dxa"/>
            <w:vAlign w:val="bottom"/>
          </w:tcPr>
          <w:p>
            <w:pPr>
              <w:jc w:val="right"/>
              <w:ind w:right="149"/>
              <w:spacing w:after="0" w:line="142"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8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1840" w:type="dxa"/>
            <w:vAlign w:val="bottom"/>
            <w:vMerge w:val="continue"/>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$ 288,611,969</w:t>
            </w:r>
          </w:p>
        </w:tc>
        <w:tc>
          <w:tcPr>
            <w:tcW w:w="3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3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right w:val="single" w:sz="8" w:color="CCEEFF"/>
            </w:tcBorders>
            <w:vMerge w:val="continue"/>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$ 288,611,969</w:t>
            </w:r>
          </w:p>
        </w:tc>
        <w:tc>
          <w:tcPr>
            <w:tcW w:w="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2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45,433,634</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45,433,634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2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6,553,183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1,300,500</w:t>
            </w:r>
          </w:p>
        </w:tc>
        <w:tc>
          <w:tcPr>
            <w:tcW w:w="36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5,252,683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8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2,595,856</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2,595,856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w:t>
            </w:r>
          </w:p>
        </w:tc>
        <w:tc>
          <w:tcPr>
            <w:tcW w:w="2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343,194,642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1,300,500</w:t>
            </w:r>
          </w:p>
        </w:tc>
        <w:tc>
          <w:tcPr>
            <w:tcW w:w="36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341,894,142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40" w:type="dxa"/>
            <w:vAlign w:val="bottom"/>
            <w:gridSpan w:val="2"/>
          </w:tcPr>
          <w:p>
            <w:pPr>
              <w:spacing w:after="0" w:line="155" w:lineRule="exact"/>
              <w:rPr>
                <w:sz w:val="20"/>
                <w:szCs w:val="20"/>
                <w:color w:val="auto"/>
              </w:rPr>
            </w:pPr>
            <w:r>
              <w:rPr>
                <w:rFonts w:ascii="Arial" w:cs="Arial" w:eastAsia="Arial" w:hAnsi="Arial"/>
                <w:sz w:val="14"/>
                <w:szCs w:val="14"/>
                <w:color w:val="auto"/>
              </w:rPr>
              <w:t>Cash equivalents</w:t>
            </w:r>
          </w:p>
        </w:tc>
        <w:tc>
          <w:tcPr>
            <w:tcW w:w="18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10,385,490</w:t>
            </w:r>
          </w:p>
        </w:tc>
        <w:tc>
          <w:tcPr>
            <w:tcW w:w="3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10,385,490</w:t>
            </w:r>
          </w:p>
        </w:tc>
        <w:tc>
          <w:tcPr>
            <w:tcW w:w="3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 and cash equivalents</w:t>
            </w:r>
          </w:p>
        </w:tc>
        <w:tc>
          <w:tcPr>
            <w:tcW w:w="18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$ 353,580,132</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$ 10,385,490</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1,300,500</w:t>
            </w:r>
          </w:p>
        </w:tc>
        <w:tc>
          <w:tcPr>
            <w:tcW w:w="36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$ 341,894,142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4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89"/>
              </w:rPr>
              <w:t>$ 136,008,125</w:t>
            </w:r>
          </w:p>
        </w:tc>
        <w:tc>
          <w:tcPr>
            <w:tcW w:w="3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9"/>
              <w:spacing w:after="0" w:line="143"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9"/>
              <w:spacing w:after="0" w:line="143"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87"/>
              </w:rPr>
              <w:t>$ 136,008,125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8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spacing w:after="0"/>
              <w:rPr>
                <w:sz w:val="20"/>
                <w:szCs w:val="20"/>
                <w:color w:val="auto"/>
              </w:rPr>
            </w:pPr>
            <w:r>
              <w:rPr>
                <w:rFonts w:ascii="Arial" w:cs="Arial" w:eastAsia="Arial" w:hAnsi="Arial"/>
                <w:sz w:val="13"/>
                <w:szCs w:val="13"/>
                <w:b w:val="1"/>
                <w:bCs w:val="1"/>
                <w:color w:val="auto"/>
                <w:w w:val="86"/>
              </w:rPr>
              <w:t>Fair Value Measurements at September 30, 2014</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4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jc w:val="right"/>
              <w:ind w:right="70"/>
              <w:spacing w:after="0" w:line="142" w:lineRule="exact"/>
              <w:rPr>
                <w:sz w:val="20"/>
                <w:szCs w:val="20"/>
                <w:color w:val="auto"/>
              </w:rPr>
            </w:pPr>
            <w:r>
              <w:rPr>
                <w:rFonts w:ascii="Arial" w:cs="Arial" w:eastAsia="Arial" w:hAnsi="Arial"/>
                <w:sz w:val="13"/>
                <w:szCs w:val="13"/>
                <w:b w:val="1"/>
                <w:bCs w:val="1"/>
                <w:color w:val="auto"/>
              </w:rPr>
              <w:t>Fair Value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29"/>
              <w:spacing w:after="0" w:line="142" w:lineRule="exact"/>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auto"/>
              </w:rPr>
              <w:t>Level 2</w:t>
            </w:r>
          </w:p>
        </w:tc>
        <w:tc>
          <w:tcPr>
            <w:tcW w:w="820" w:type="dxa"/>
            <w:vAlign w:val="bottom"/>
          </w:tcPr>
          <w:p>
            <w:pPr>
              <w:jc w:val="right"/>
              <w:ind w:right="149"/>
              <w:spacing w:after="0" w:line="142"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8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1840" w:type="dxa"/>
            <w:vAlign w:val="bottom"/>
            <w:vMerge w:val="continue"/>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$ 302,565,355</w:t>
            </w:r>
          </w:p>
        </w:tc>
        <w:tc>
          <w:tcPr>
            <w:tcW w:w="3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3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right w:val="single" w:sz="8" w:color="CCEEFF"/>
            </w:tcBorders>
            <w:vMerge w:val="continue"/>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$ 302,565,355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2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36,474,784</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36,474,784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2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7,073,685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5,149,668</w:t>
            </w:r>
          </w:p>
        </w:tc>
        <w:tc>
          <w:tcPr>
            <w:tcW w:w="36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1,924,017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8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2,314,668</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6,239</w:t>
            </w:r>
          </w:p>
        </w:tc>
        <w:tc>
          <w:tcPr>
            <w:tcW w:w="36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2,308,429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w:t>
            </w:r>
          </w:p>
        </w:tc>
        <w:tc>
          <w:tcPr>
            <w:tcW w:w="2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348,428,492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5,155,907</w:t>
            </w:r>
          </w:p>
        </w:tc>
        <w:tc>
          <w:tcPr>
            <w:tcW w:w="36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343,272,585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40" w:type="dxa"/>
            <w:vAlign w:val="bottom"/>
            <w:gridSpan w:val="2"/>
          </w:tcPr>
          <w:p>
            <w:pPr>
              <w:spacing w:after="0" w:line="155" w:lineRule="exact"/>
              <w:rPr>
                <w:sz w:val="20"/>
                <w:szCs w:val="20"/>
                <w:color w:val="auto"/>
              </w:rPr>
            </w:pPr>
            <w:r>
              <w:rPr>
                <w:rFonts w:ascii="Arial" w:cs="Arial" w:eastAsia="Arial" w:hAnsi="Arial"/>
                <w:sz w:val="14"/>
                <w:szCs w:val="14"/>
                <w:color w:val="auto"/>
              </w:rPr>
              <w:t>Cash equivalents</w:t>
            </w:r>
          </w:p>
        </w:tc>
        <w:tc>
          <w:tcPr>
            <w:tcW w:w="18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13,113,817</w:t>
            </w:r>
          </w:p>
        </w:tc>
        <w:tc>
          <w:tcPr>
            <w:tcW w:w="3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13,113,817</w:t>
            </w:r>
          </w:p>
        </w:tc>
        <w:tc>
          <w:tcPr>
            <w:tcW w:w="3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 and cash equivalents</w:t>
            </w:r>
          </w:p>
        </w:tc>
        <w:tc>
          <w:tcPr>
            <w:tcW w:w="18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$ 361,542,309</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$ 13,113,817</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5,155,907</w:t>
            </w:r>
          </w:p>
        </w:tc>
        <w:tc>
          <w:tcPr>
            <w:tcW w:w="36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$ 343,272,585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4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89"/>
              </w:rPr>
              <w:t>$ 146,949,000</w:t>
            </w:r>
          </w:p>
        </w:tc>
        <w:tc>
          <w:tcPr>
            <w:tcW w:w="3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9"/>
              <w:spacing w:after="0" w:line="143"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9"/>
              <w:spacing w:after="0" w:line="143"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87"/>
              </w:rPr>
              <w:t>$ 146,949,000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40" w:type="dxa"/>
            <w:vAlign w:val="bottom"/>
            <w:vMerge w:val="restart"/>
          </w:tcPr>
          <w:p>
            <w:pPr>
              <w:jc w:val="right"/>
              <w:ind w:right="668"/>
              <w:spacing w:after="0"/>
              <w:rPr>
                <w:sz w:val="20"/>
                <w:szCs w:val="20"/>
                <w:color w:val="auto"/>
              </w:rPr>
            </w:pPr>
            <w:r>
              <w:rPr>
                <w:rFonts w:ascii="Arial" w:cs="Arial" w:eastAsia="Arial" w:hAnsi="Arial"/>
                <w:sz w:val="14"/>
                <w:szCs w:val="14"/>
                <w:color w:val="auto"/>
              </w:rPr>
              <w:t>19</w:t>
            </w: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Three Months Ended December 31, 2014</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tcPr>
          <w:p>
            <w:pPr>
              <w:jc w:val="center"/>
              <w:ind w:right="320"/>
              <w:spacing w:after="0" w:line="110" w:lineRule="exact"/>
              <w:rPr>
                <w:sz w:val="20"/>
                <w:szCs w:val="20"/>
                <w:color w:val="auto"/>
              </w:rPr>
            </w:pPr>
            <w:r>
              <w:rPr>
                <w:rFonts w:ascii="Arial" w:cs="Arial" w:eastAsia="Arial" w:hAnsi="Arial"/>
                <w:sz w:val="12"/>
                <w:szCs w:val="12"/>
                <w:b w:val="1"/>
                <w:bCs w:val="1"/>
                <w:color w:val="auto"/>
                <w:w w:val="90"/>
              </w:rPr>
              <w:t>Second lien,</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3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subordinated debt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3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ind w:left="60"/>
              <w:spacing w:after="0"/>
              <w:rPr>
                <w:sz w:val="20"/>
                <w:szCs w:val="20"/>
                <w:color w:val="auto"/>
              </w:rPr>
            </w:pPr>
            <w:r>
              <w:rPr>
                <w:rFonts w:ascii="Arial" w:cs="Arial" w:eastAsia="Arial" w:hAnsi="Arial"/>
                <w:sz w:val="13"/>
                <w:szCs w:val="13"/>
                <w:b w:val="1"/>
                <w:bCs w:val="1"/>
                <w:color w:val="auto"/>
              </w:rPr>
              <w:t>First Lien</w:t>
            </w:r>
          </w:p>
        </w:tc>
        <w:tc>
          <w:tcPr>
            <w:tcW w:w="18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Arial" w:cs="Arial" w:eastAsia="Arial" w:hAnsi="Arial"/>
                <w:sz w:val="13"/>
                <w:szCs w:val="13"/>
                <w:b w:val="1"/>
                <w:bCs w:val="1"/>
                <w:color w:val="auto"/>
                <w:w w:val="99"/>
              </w:rPr>
              <w:t>and equity investments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6"/>
              </w:rPr>
              <w:t>Beginning</w:t>
            </w:r>
          </w:p>
        </w:tc>
        <w:tc>
          <w:tcPr>
            <w:tcW w:w="67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w w:val="87"/>
              </w:rPr>
              <w:t>302,565,355</w:t>
            </w:r>
          </w:p>
        </w:tc>
        <w:tc>
          <w:tcPr>
            <w:tcW w:w="240" w:type="dxa"/>
            <w:vAlign w:val="bottom"/>
            <w:tcBorders>
              <w:top w:val="single" w:sz="8" w:color="CCEEFF"/>
            </w:tcBorders>
            <w:gridSpan w:val="2"/>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40,707,230</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343,272,585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losses</w:t>
            </w:r>
          </w:p>
        </w:tc>
        <w:tc>
          <w:tcPr>
            <w:tcW w:w="10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(171,920)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(171,920)</w:t>
            </w:r>
          </w:p>
        </w:tc>
        <w:tc>
          <w:tcPr>
            <w:tcW w:w="0" w:type="dxa"/>
            <w:vAlign w:val="bottom"/>
          </w:tcPr>
          <w:p>
            <w:pPr>
              <w:spacing w:after="0"/>
              <w:rPr>
                <w:sz w:val="1"/>
                <w:szCs w:val="1"/>
                <w:color w:val="auto"/>
              </w:rPr>
            </w:pPr>
          </w:p>
        </w:tc>
      </w:tr>
      <w:tr>
        <w:trPr>
          <w:trHeight w:val="148"/>
        </w:trPr>
        <w:tc>
          <w:tcPr>
            <w:tcW w:w="73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(3,201,049)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(1,186,681)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(4,387,730)</w:t>
            </w:r>
          </w:p>
        </w:tc>
        <w:tc>
          <w:tcPr>
            <w:tcW w:w="0" w:type="dxa"/>
            <w:vAlign w:val="bottom"/>
          </w:tcPr>
          <w:p>
            <w:pPr>
              <w:spacing w:after="0"/>
              <w:rPr>
                <w:sz w:val="1"/>
                <w:szCs w:val="1"/>
                <w:color w:val="auto"/>
              </w:rPr>
            </w:pPr>
          </w:p>
        </w:tc>
      </w:tr>
      <w:tr>
        <w:trPr>
          <w:trHeight w:val="148"/>
        </w:trPr>
        <w:tc>
          <w:tcPr>
            <w:tcW w:w="73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100" w:type="dxa"/>
            <w:vAlign w:val="bottom"/>
          </w:tcPr>
          <w:p>
            <w:pPr>
              <w:spacing w:after="0"/>
              <w:rPr>
                <w:sz w:val="12"/>
                <w:szCs w:val="12"/>
                <w:color w:val="auto"/>
              </w:rPr>
            </w:pPr>
          </w:p>
        </w:tc>
        <w:tc>
          <w:tcPr>
            <w:tcW w:w="10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34,337,890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10,391,025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44,728,915</w:t>
            </w:r>
          </w:p>
        </w:tc>
        <w:tc>
          <w:tcPr>
            <w:tcW w:w="0" w:type="dxa"/>
            <w:vAlign w:val="bottom"/>
          </w:tcPr>
          <w:p>
            <w:pPr>
              <w:spacing w:after="0"/>
              <w:rPr>
                <w:sz w:val="1"/>
                <w:szCs w:val="1"/>
                <w:color w:val="auto"/>
              </w:rPr>
            </w:pPr>
          </w:p>
        </w:tc>
      </w:tr>
      <w:tr>
        <w:trPr>
          <w:trHeight w:val="148"/>
        </w:trPr>
        <w:tc>
          <w:tcPr>
            <w:tcW w:w="73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exchanges</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(44,918,307)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(44,918,307)</w:t>
            </w:r>
          </w:p>
        </w:tc>
        <w:tc>
          <w:tcPr>
            <w:tcW w:w="0" w:type="dxa"/>
            <w:vAlign w:val="bottom"/>
          </w:tcPr>
          <w:p>
            <w:pPr>
              <w:spacing w:after="0"/>
              <w:rPr>
                <w:sz w:val="1"/>
                <w:szCs w:val="1"/>
                <w:color w:val="auto"/>
              </w:rPr>
            </w:pPr>
          </w:p>
        </w:tc>
      </w:tr>
      <w:tr>
        <w:trPr>
          <w:trHeight w:val="156"/>
        </w:trPr>
        <w:tc>
          <w:tcPr>
            <w:tcW w:w="73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3,370,599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3,370,599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5"/>
              </w:rPr>
              <w:t>288,611,969</w:t>
            </w: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53,282,173</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341,894,142</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appreciation reported within the net change in unrealized depreciation on investments in our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3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360" w:type="dxa"/>
            <w:vAlign w:val="bottom"/>
            <w:gridSpan w:val="2"/>
          </w:tcPr>
          <w:p>
            <w:pPr>
              <w:ind w:left="160"/>
              <w:spacing w:after="0"/>
              <w:rPr>
                <w:sz w:val="20"/>
                <w:szCs w:val="20"/>
                <w:color w:val="auto"/>
              </w:rPr>
            </w:pPr>
            <w:r>
              <w:rPr>
                <w:rFonts w:ascii="Arial" w:cs="Arial" w:eastAsia="Arial" w:hAnsi="Arial"/>
                <w:sz w:val="14"/>
                <w:szCs w:val="14"/>
                <w:color w:val="auto"/>
              </w:rPr>
              <w:t>Consolidated Statement of Operations attributable to our Level 3 assets still held at the reporting date.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(3,046,683)</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(1,377,721)</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(4,424,404)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Three Months Ended December 31, 2013</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tcPr>
          <w:p>
            <w:pPr>
              <w:jc w:val="center"/>
              <w:ind w:right="320"/>
              <w:spacing w:after="0" w:line="110" w:lineRule="exact"/>
              <w:rPr>
                <w:sz w:val="20"/>
                <w:szCs w:val="20"/>
                <w:color w:val="auto"/>
              </w:rPr>
            </w:pPr>
            <w:r>
              <w:rPr>
                <w:rFonts w:ascii="Arial" w:cs="Arial" w:eastAsia="Arial" w:hAnsi="Arial"/>
                <w:sz w:val="12"/>
                <w:szCs w:val="12"/>
                <w:b w:val="1"/>
                <w:bCs w:val="1"/>
                <w:color w:val="auto"/>
                <w:w w:val="90"/>
              </w:rPr>
              <w:t>Second lien,</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3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subordinated debt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3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ind w:left="60"/>
              <w:spacing w:after="0"/>
              <w:rPr>
                <w:sz w:val="20"/>
                <w:szCs w:val="20"/>
                <w:color w:val="auto"/>
              </w:rPr>
            </w:pPr>
            <w:r>
              <w:rPr>
                <w:rFonts w:ascii="Arial" w:cs="Arial" w:eastAsia="Arial" w:hAnsi="Arial"/>
                <w:sz w:val="13"/>
                <w:szCs w:val="13"/>
                <w:b w:val="1"/>
                <w:bCs w:val="1"/>
                <w:color w:val="auto"/>
              </w:rPr>
              <w:t>First Lien</w:t>
            </w:r>
          </w:p>
        </w:tc>
        <w:tc>
          <w:tcPr>
            <w:tcW w:w="18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Arial" w:cs="Arial" w:eastAsia="Arial" w:hAnsi="Arial"/>
                <w:sz w:val="13"/>
                <w:szCs w:val="13"/>
                <w:b w:val="1"/>
                <w:bCs w:val="1"/>
                <w:color w:val="auto"/>
                <w:w w:val="99"/>
              </w:rPr>
              <w:t>and equity investments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6"/>
              </w:rPr>
              <w:t>Beginning</w:t>
            </w:r>
          </w:p>
        </w:tc>
        <w:tc>
          <w:tcPr>
            <w:tcW w:w="67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w w:val="87"/>
              </w:rPr>
              <w:t>281,046,248</w:t>
            </w:r>
          </w:p>
        </w:tc>
        <w:tc>
          <w:tcPr>
            <w:tcW w:w="240" w:type="dxa"/>
            <w:vAlign w:val="bottom"/>
            <w:tcBorders>
              <w:top w:val="single" w:sz="8" w:color="CCEEFF"/>
            </w:tcBorders>
            <w:gridSpan w:val="2"/>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32,698,220</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313,744,468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gains</w:t>
            </w:r>
          </w:p>
        </w:tc>
        <w:tc>
          <w:tcPr>
            <w:tcW w:w="100" w:type="dxa"/>
            <w:vAlign w:val="bottom"/>
          </w:tcPr>
          <w:p>
            <w:pPr>
              <w:spacing w:after="0"/>
              <w:rPr>
                <w:sz w:val="12"/>
                <w:szCs w:val="12"/>
                <w:color w:val="auto"/>
              </w:rPr>
            </w:pPr>
          </w:p>
        </w:tc>
        <w:tc>
          <w:tcPr>
            <w:tcW w:w="10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582,127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49,674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631,801</w:t>
            </w:r>
          </w:p>
        </w:tc>
        <w:tc>
          <w:tcPr>
            <w:tcW w:w="0" w:type="dxa"/>
            <w:vAlign w:val="bottom"/>
          </w:tcPr>
          <w:p>
            <w:pPr>
              <w:spacing w:after="0"/>
              <w:rPr>
                <w:sz w:val="1"/>
                <w:szCs w:val="1"/>
                <w:color w:val="auto"/>
              </w:rPr>
            </w:pPr>
          </w:p>
        </w:tc>
      </w:tr>
      <w:tr>
        <w:trPr>
          <w:trHeight w:val="148"/>
        </w:trPr>
        <w:tc>
          <w:tcPr>
            <w:tcW w:w="73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appreciation</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678,919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105,240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784,159</w:t>
            </w:r>
          </w:p>
        </w:tc>
        <w:tc>
          <w:tcPr>
            <w:tcW w:w="0" w:type="dxa"/>
            <w:vAlign w:val="bottom"/>
          </w:tcPr>
          <w:p>
            <w:pPr>
              <w:spacing w:after="0"/>
              <w:rPr>
                <w:sz w:val="1"/>
                <w:szCs w:val="1"/>
                <w:color w:val="auto"/>
              </w:rPr>
            </w:pPr>
          </w:p>
        </w:tc>
      </w:tr>
      <w:tr>
        <w:trPr>
          <w:trHeight w:val="149"/>
        </w:trPr>
        <w:tc>
          <w:tcPr>
            <w:tcW w:w="73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100" w:type="dxa"/>
            <w:vAlign w:val="bottom"/>
          </w:tcPr>
          <w:p>
            <w:pPr>
              <w:spacing w:after="0"/>
              <w:rPr>
                <w:sz w:val="12"/>
                <w:szCs w:val="12"/>
                <w:color w:val="auto"/>
              </w:rPr>
            </w:pPr>
          </w:p>
        </w:tc>
        <w:tc>
          <w:tcPr>
            <w:tcW w:w="10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95,547,262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8,171,207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103,718,469</w:t>
            </w:r>
          </w:p>
        </w:tc>
        <w:tc>
          <w:tcPr>
            <w:tcW w:w="0" w:type="dxa"/>
            <w:vAlign w:val="bottom"/>
          </w:tcPr>
          <w:p>
            <w:pPr>
              <w:spacing w:after="0"/>
              <w:rPr>
                <w:sz w:val="1"/>
                <w:szCs w:val="1"/>
                <w:color w:val="auto"/>
              </w:rPr>
            </w:pPr>
          </w:p>
        </w:tc>
      </w:tr>
      <w:tr>
        <w:trPr>
          <w:trHeight w:val="148"/>
        </w:trPr>
        <w:tc>
          <w:tcPr>
            <w:tcW w:w="73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exchanges</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(51,614,701)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(2,159,107)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(53,773,808)</w:t>
            </w:r>
          </w:p>
        </w:tc>
        <w:tc>
          <w:tcPr>
            <w:tcW w:w="0" w:type="dxa"/>
            <w:vAlign w:val="bottom"/>
          </w:tcPr>
          <w:p>
            <w:pPr>
              <w:spacing w:after="0"/>
              <w:rPr>
                <w:sz w:val="1"/>
                <w:szCs w:val="1"/>
                <w:color w:val="auto"/>
              </w:rPr>
            </w:pPr>
          </w:p>
        </w:tc>
      </w:tr>
      <w:tr>
        <w:trPr>
          <w:trHeight w:val="155"/>
        </w:trPr>
        <w:tc>
          <w:tcPr>
            <w:tcW w:w="73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5"/>
              </w:rPr>
              <w:t>326,239,855</w:t>
            </w: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38,865,234</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365,105,089</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appreciation reported within the net change in unrealized appreciation on investments in our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3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360" w:type="dxa"/>
            <w:vAlign w:val="bottom"/>
            <w:gridSpan w:val="2"/>
          </w:tcPr>
          <w:p>
            <w:pPr>
              <w:ind w:left="160"/>
              <w:spacing w:after="0"/>
              <w:rPr>
                <w:sz w:val="20"/>
                <w:szCs w:val="20"/>
                <w:color w:val="auto"/>
              </w:rPr>
            </w:pPr>
            <w:r>
              <w:rPr>
                <w:rFonts w:ascii="Arial" w:cs="Arial" w:eastAsia="Arial" w:hAnsi="Arial"/>
                <w:sz w:val="14"/>
                <w:szCs w:val="14"/>
                <w:color w:val="auto"/>
              </w:rPr>
              <w:t>Consolidated Statement of Operations attributable to our Level 3 assets still held at the reporting date.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3"/>
          </w:tcPr>
          <w:p>
            <w:pPr>
              <w:jc w:val="right"/>
              <w:ind w:right="240"/>
              <w:spacing w:after="0"/>
              <w:rPr>
                <w:sz w:val="20"/>
                <w:szCs w:val="20"/>
                <w:color w:val="auto"/>
              </w:rPr>
            </w:pPr>
            <w:r>
              <w:rPr>
                <w:rFonts w:ascii="Arial" w:cs="Arial" w:eastAsia="Arial" w:hAnsi="Arial"/>
                <w:sz w:val="14"/>
                <w:szCs w:val="14"/>
                <w:color w:val="auto"/>
              </w:rPr>
              <w:t>1,026,713</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190,040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1,216,753</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ind w:left="5560"/>
              <w:spacing w:after="0"/>
              <w:rPr>
                <w:sz w:val="20"/>
                <w:szCs w:val="20"/>
                <w:color w:val="auto"/>
              </w:rPr>
            </w:pPr>
            <w:r>
              <w:rPr>
                <w:rFonts w:ascii="Arial" w:cs="Arial" w:eastAsia="Arial" w:hAnsi="Arial"/>
                <w:sz w:val="14"/>
                <w:szCs w:val="14"/>
                <w:color w:val="auto"/>
              </w:rPr>
              <w:t>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73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gridSpan w:val="6"/>
          </w:tcPr>
          <w:p>
            <w:pPr>
              <w:jc w:val="right"/>
              <w:ind w:right="640"/>
              <w:spacing w:after="0"/>
              <w:rPr>
                <w:sz w:val="20"/>
                <w:szCs w:val="20"/>
                <w:color w:val="auto"/>
              </w:rPr>
            </w:pPr>
            <w:r>
              <w:rPr>
                <w:rFonts w:ascii="Arial" w:cs="Arial" w:eastAsia="Arial" w:hAnsi="Arial"/>
                <w:sz w:val="13"/>
                <w:szCs w:val="13"/>
                <w:b w:val="1"/>
                <w:bCs w:val="1"/>
                <w:color w:val="auto"/>
              </w:rPr>
              <w:t>Carrying/Fair Value</w:t>
            </w:r>
          </w:p>
        </w:tc>
        <w:tc>
          <w:tcPr>
            <w:tcW w:w="0" w:type="dxa"/>
            <w:vAlign w:val="bottom"/>
          </w:tcPr>
          <w:p>
            <w:pPr>
              <w:spacing w:after="0"/>
              <w:rPr>
                <w:sz w:val="1"/>
                <w:szCs w:val="1"/>
                <w:color w:val="auto"/>
              </w:rPr>
            </w:pPr>
          </w:p>
        </w:tc>
      </w:tr>
      <w:tr>
        <w:trPr>
          <w:trHeight w:val="153"/>
        </w:trPr>
        <w:tc>
          <w:tcPr>
            <w:tcW w:w="7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Long-Term Credit Facility</w:t>
            </w:r>
          </w:p>
        </w:tc>
        <w:tc>
          <w:tcPr>
            <w:tcW w:w="20" w:type="dxa"/>
            <w:vAlign w:val="bottom"/>
          </w:tcPr>
          <w:p>
            <w:pPr>
              <w:spacing w:after="0"/>
              <w:rPr>
                <w:sz w:val="13"/>
                <w:szCs w:val="13"/>
                <w:color w:val="auto"/>
              </w:rPr>
            </w:pPr>
          </w:p>
        </w:tc>
        <w:tc>
          <w:tcPr>
            <w:tcW w:w="228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w w:val="93"/>
              </w:rPr>
              <w:t>Three Months Ended December 31,</w:t>
            </w:r>
          </w:p>
        </w:tc>
        <w:tc>
          <w:tcPr>
            <w:tcW w:w="0" w:type="dxa"/>
            <w:vAlign w:val="bottom"/>
          </w:tcPr>
          <w:p>
            <w:pPr>
              <w:spacing w:after="0"/>
              <w:rPr>
                <w:sz w:val="1"/>
                <w:szCs w:val="1"/>
                <w:color w:val="auto"/>
              </w:rPr>
            </w:pPr>
          </w:p>
        </w:tc>
      </w:tr>
      <w:tr>
        <w:trPr>
          <w:trHeight w:val="128"/>
        </w:trPr>
        <w:tc>
          <w:tcPr>
            <w:tcW w:w="71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Borders>
              <w:top w:val="single" w:sz="8" w:color="auto"/>
            </w:tcBorders>
          </w:tcPr>
          <w:p>
            <w:pPr>
              <w:jc w:val="right"/>
              <w:ind w:right="233"/>
              <w:spacing w:after="0" w:line="129" w:lineRule="exact"/>
              <w:rPr>
                <w:sz w:val="20"/>
                <w:szCs w:val="20"/>
                <w:color w:val="auto"/>
              </w:rPr>
            </w:pPr>
            <w:r>
              <w:rPr>
                <w:rFonts w:ascii="Arial" w:cs="Arial" w:eastAsia="Arial" w:hAnsi="Arial"/>
                <w:sz w:val="13"/>
                <w:szCs w:val="13"/>
                <w:b w:val="1"/>
                <w:bCs w:val="1"/>
                <w:color w:val="auto"/>
              </w:rPr>
              <w:t>2014</w:t>
            </w: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5"/>
              </w:rPr>
              <w:t>Beginning Balance (cost</w:t>
            </w:r>
          </w:p>
        </w:tc>
        <w:tc>
          <w:tcPr>
            <w:tcW w:w="5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 $146,400,000 and $99,600,000, respectively)</w:t>
            </w:r>
          </w:p>
        </w:tc>
        <w:tc>
          <w:tcPr>
            <w:tcW w:w="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$ 146,949,000</w:t>
            </w:r>
          </w:p>
        </w:tc>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99,600,000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change in unrealized appreciation included in earnings</w:t>
            </w:r>
          </w:p>
        </w:tc>
        <w:tc>
          <w:tcPr>
            <w:tcW w:w="1300" w:type="dxa"/>
            <w:vAlign w:val="bottom"/>
            <w:gridSpan w:val="4"/>
          </w:tcPr>
          <w:p>
            <w:pPr>
              <w:jc w:val="right"/>
              <w:ind w:right="400"/>
              <w:spacing w:after="0" w:line="149" w:lineRule="exact"/>
              <w:rPr>
                <w:sz w:val="20"/>
                <w:szCs w:val="20"/>
                <w:color w:val="auto"/>
              </w:rPr>
            </w:pPr>
            <w:r>
              <w:rPr>
                <w:rFonts w:ascii="Arial" w:cs="Arial" w:eastAsia="Arial" w:hAnsi="Arial"/>
                <w:sz w:val="14"/>
                <w:szCs w:val="14"/>
                <w:color w:val="auto"/>
              </w:rPr>
              <w:t>(40,875)</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1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Borrowings</w:t>
            </w:r>
          </w:p>
        </w:tc>
        <w:tc>
          <w:tcPr>
            <w:tcW w:w="8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34,300,000</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54,800,000</w:t>
            </w:r>
          </w:p>
        </w:tc>
        <w:tc>
          <w:tcPr>
            <w:tcW w:w="0" w:type="dxa"/>
            <w:vAlign w:val="bottom"/>
          </w:tcPr>
          <w:p>
            <w:pPr>
              <w:spacing w:after="0"/>
              <w:rPr>
                <w:sz w:val="1"/>
                <w:szCs w:val="1"/>
                <w:color w:val="auto"/>
              </w:rPr>
            </w:pPr>
          </w:p>
        </w:tc>
      </w:tr>
      <w:tr>
        <w:trPr>
          <w:trHeight w:val="148"/>
        </w:trPr>
        <w:tc>
          <w:tcPr>
            <w:tcW w:w="71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Repayments</w:t>
            </w:r>
          </w:p>
        </w:tc>
        <w:tc>
          <w:tcPr>
            <w:tcW w:w="1300" w:type="dxa"/>
            <w:vAlign w:val="bottom"/>
            <w:gridSpan w:val="4"/>
          </w:tcPr>
          <w:p>
            <w:pPr>
              <w:jc w:val="right"/>
              <w:ind w:right="400"/>
              <w:spacing w:after="0" w:line="149" w:lineRule="exact"/>
              <w:rPr>
                <w:sz w:val="20"/>
                <w:szCs w:val="20"/>
                <w:color w:val="auto"/>
              </w:rPr>
            </w:pPr>
            <w:r>
              <w:rPr>
                <w:rFonts w:ascii="Arial" w:cs="Arial" w:eastAsia="Arial" w:hAnsi="Arial"/>
                <w:sz w:val="14"/>
                <w:szCs w:val="14"/>
                <w:color w:val="auto"/>
              </w:rPr>
              <w:t>(45,200,000)</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(15,200,000)</w:t>
            </w:r>
          </w:p>
        </w:tc>
        <w:tc>
          <w:tcPr>
            <w:tcW w:w="0" w:type="dxa"/>
            <w:vAlign w:val="bottom"/>
          </w:tcPr>
          <w:p>
            <w:pPr>
              <w:spacing w:after="0"/>
              <w:rPr>
                <w:sz w:val="1"/>
                <w:szCs w:val="1"/>
                <w:color w:val="auto"/>
              </w:rPr>
            </w:pPr>
          </w:p>
        </w:tc>
      </w:tr>
      <w:tr>
        <w:trPr>
          <w:trHeight w:val="148"/>
        </w:trPr>
        <w:tc>
          <w:tcPr>
            <w:tcW w:w="71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14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$135,500,000 and $139,200,000, respectively)</w:t>
            </w:r>
          </w:p>
        </w:tc>
        <w:tc>
          <w:tcPr>
            <w:tcW w:w="20" w:type="dxa"/>
            <w:vAlign w:val="bottom"/>
            <w:tcBorders>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$ 136,008,125</w:t>
            </w:r>
          </w:p>
        </w:tc>
        <w:tc>
          <w:tcPr>
            <w:tcW w:w="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139,200,000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786"/>
        <w:spacing w:after="0" w:line="244" w:lineRule="auto"/>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zero and $0.7 million, respectively, relating to amendment fees on the Credit Facility during the three months ended December 31, 2014 and 2013.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We elected not to apply ASC 825-10 to any other financial assets or liabilities. For the three months ended December 31, 2014 and 2013, we had a net change in unrealized appreciation of less than $0.1 million and zero, respectively. As of December 31, 2014 and September 30, 2014, the net unrealized appreciation on our Credit Facility totaled $0.5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6"/>
          </w:tcPr>
          <w:p>
            <w:pPr>
              <w:jc w:val="right"/>
              <w:ind w:right="260"/>
              <w:spacing w:after="0"/>
              <w:rPr>
                <w:sz w:val="20"/>
                <w:szCs w:val="20"/>
                <w:color w:val="auto"/>
              </w:rPr>
            </w:pPr>
            <w:r>
              <w:rPr>
                <w:rFonts w:ascii="Arial" w:cs="Arial" w:eastAsia="Arial" w:hAnsi="Arial"/>
                <w:sz w:val="13"/>
                <w:szCs w:val="13"/>
                <w:b w:val="1"/>
                <w:bCs w:val="1"/>
                <w:color w:val="auto"/>
                <w:w w:val="89"/>
              </w:rPr>
              <w:t>Three Months Ended December 31,</w:t>
            </w:r>
          </w:p>
        </w:tc>
      </w:tr>
      <w:tr>
        <w:trPr>
          <w:trHeight w:val="142"/>
        </w:trPr>
        <w:tc>
          <w:tcPr>
            <w:tcW w:w="580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3"/>
                <w:szCs w:val="13"/>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0"/>
              <w:spacing w:after="0" w:line="142" w:lineRule="exact"/>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42"/>
        </w:trPr>
        <w:tc>
          <w:tcPr>
            <w:tcW w:w="5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438,202</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6,056,781</w:t>
            </w:r>
          </w:p>
        </w:tc>
        <w:tc>
          <w:tcPr>
            <w:tcW w:w="100" w:type="dxa"/>
            <w:vAlign w:val="bottom"/>
            <w:shd w:val="clear" w:color="auto" w:fill="CCEEFF"/>
          </w:tcPr>
          <w:p>
            <w:pPr>
              <w:spacing w:after="0"/>
              <w:rPr>
                <w:sz w:val="12"/>
                <w:szCs w:val="12"/>
                <w:color w:val="auto"/>
              </w:rPr>
            </w:pPr>
          </w:p>
        </w:tc>
      </w:tr>
      <w:tr>
        <w:trPr>
          <w:trHeight w:val="148"/>
        </w:trPr>
        <w:tc>
          <w:tcPr>
            <w:tcW w:w="580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14,898,056</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14,898,056</w:t>
            </w:r>
          </w:p>
        </w:tc>
      </w:tr>
      <w:tr>
        <w:trPr>
          <w:trHeight w:val="149"/>
        </w:trPr>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per share resulting from operations</w:t>
            </w:r>
          </w:p>
        </w:tc>
        <w:tc>
          <w:tcPr>
            <w:tcW w:w="14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0.03</w:t>
            </w:r>
          </w:p>
        </w:tc>
        <w:tc>
          <w:tcPr>
            <w:tcW w:w="4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0.41</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CASH EQUIVALENTS</w:t>
      </w:r>
    </w:p>
    <w:p>
      <w:pPr>
        <w:spacing w:after="0" w:line="100" w:lineRule="exact"/>
        <w:rPr>
          <w:sz w:val="20"/>
          <w:szCs w:val="20"/>
          <w:color w:val="auto"/>
        </w:rPr>
      </w:pPr>
    </w:p>
    <w:p>
      <w:pPr>
        <w:ind w:right="60" w:firstLine="786"/>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December 31, 2014 and September 30, 2014, our cash equivalents consisted of money market funds in the amounts of $10.4 million and $13.1 million, respectively.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00"/>
          </w:cols>
          <w:pgMar w:left="320" w:top="45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FINANCIAL HIGHLIGHTS</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Below are the financial highlights: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6"/>
          </w:tcPr>
          <w:p>
            <w:pPr>
              <w:jc w:val="right"/>
              <w:ind w:right="300"/>
              <w:spacing w:after="0"/>
              <w:rPr>
                <w:sz w:val="20"/>
                <w:szCs w:val="20"/>
                <w:color w:val="auto"/>
              </w:rPr>
            </w:pPr>
            <w:r>
              <w:rPr>
                <w:rFonts w:ascii="Arial" w:cs="Arial" w:eastAsia="Arial" w:hAnsi="Arial"/>
                <w:sz w:val="13"/>
                <w:szCs w:val="13"/>
                <w:b w:val="1"/>
                <w:bCs w:val="1"/>
                <w:color w:val="auto"/>
                <w:w w:val="90"/>
              </w:rPr>
              <w:t>Three Months Ended December 31,</w:t>
            </w:r>
          </w:p>
        </w:tc>
        <w:tc>
          <w:tcPr>
            <w:tcW w:w="0" w:type="dxa"/>
            <w:vAlign w:val="bottom"/>
          </w:tcPr>
          <w:p>
            <w:pPr>
              <w:spacing w:after="0"/>
              <w:rPr>
                <w:sz w:val="1"/>
                <w:szCs w:val="1"/>
                <w:color w:val="auto"/>
              </w:rPr>
            </w:pPr>
          </w:p>
        </w:tc>
      </w:tr>
      <w:tr>
        <w:trPr>
          <w:trHeight w:val="128"/>
        </w:trPr>
        <w:tc>
          <w:tcPr>
            <w:tcW w:w="494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49"/>
              <w:spacing w:after="0" w:line="129" w:lineRule="exact"/>
              <w:rPr>
                <w:sz w:val="20"/>
                <w:szCs w:val="20"/>
                <w:color w:val="auto"/>
              </w:rPr>
            </w:pPr>
            <w:r>
              <w:rPr>
                <w:rFonts w:ascii="Arial" w:cs="Arial" w:eastAsia="Arial" w:hAnsi="Arial"/>
                <w:sz w:val="13"/>
                <w:szCs w:val="13"/>
                <w:b w:val="1"/>
                <w:bCs w:val="1"/>
                <w:color w:val="auto"/>
              </w:rPr>
              <w:t>2014</w:t>
            </w:r>
          </w:p>
        </w:tc>
        <w:tc>
          <w:tcPr>
            <w:tcW w:w="32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49"/>
              <w:spacing w:after="0" w:line="129" w:lineRule="exact"/>
              <w:rPr>
                <w:sz w:val="20"/>
                <w:szCs w:val="20"/>
                <w:color w:val="auto"/>
              </w:rPr>
            </w:pPr>
            <w:r>
              <w:rPr>
                <w:rFonts w:ascii="Arial" w:cs="Arial" w:eastAsia="Arial" w:hAnsi="Arial"/>
                <w:sz w:val="13"/>
                <w:szCs w:val="13"/>
                <w:b w:val="1"/>
                <w:bCs w:val="1"/>
                <w:color w:val="auto"/>
              </w:rPr>
              <w:t>2013</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9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14.40</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0.37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56"/>
        </w:trPr>
        <w:tc>
          <w:tcPr>
            <w:tcW w:w="494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(1)</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(0.34)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1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(0.27)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14.16</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14.24</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13.73</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1.55%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14,898,056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14,898,056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Ratios **/ Supplemental Data:</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12"/>
                <w:szCs w:val="12"/>
                <w:color w:val="auto"/>
              </w:rPr>
              <w:t>(5)</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4"/>
                <w:szCs w:val="14"/>
                <w:color w:val="auto"/>
              </w:rPr>
              <w:t>Ratio of total expenses to average net assets</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3.78%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10.29%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5"/>
              </w:rPr>
              <w:t>210,943,437</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212,137,945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debt outstanding</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5"/>
              </w:rPr>
              <w:t>143,708,696</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119,535,870</w:t>
            </w:r>
          </w:p>
        </w:tc>
        <w:tc>
          <w:tcPr>
            <w:tcW w:w="0" w:type="dxa"/>
            <w:vAlign w:val="bottom"/>
          </w:tcPr>
          <w:p>
            <w:pPr>
              <w:spacing w:after="0"/>
              <w:rPr>
                <w:sz w:val="1"/>
                <w:szCs w:val="1"/>
                <w:color w:val="auto"/>
              </w:rPr>
            </w:pPr>
          </w:p>
        </w:tc>
      </w:tr>
      <w:tr>
        <w:trPr>
          <w:trHeight w:val="156"/>
        </w:trPr>
        <w:tc>
          <w:tcPr>
            <w:tcW w:w="494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12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9.65</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2,551</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2,524</w:t>
            </w:r>
          </w:p>
        </w:tc>
        <w:tc>
          <w:tcPr>
            <w:tcW w:w="0" w:type="dxa"/>
            <w:vAlign w:val="bottom"/>
          </w:tcPr>
          <w:p>
            <w:pPr>
              <w:spacing w:after="0"/>
              <w:rPr>
                <w:sz w:val="1"/>
                <w:szCs w:val="1"/>
                <w:color w:val="auto"/>
              </w:rPr>
            </w:pPr>
          </w:p>
        </w:tc>
      </w:tr>
      <w:tr>
        <w:trPr>
          <w:trHeight w:val="182"/>
        </w:trPr>
        <w:tc>
          <w:tcPr>
            <w:tcW w:w="494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51.92%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12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7" w:lineRule="exact"/>
        <w:rPr>
          <w:sz w:val="20"/>
          <w:szCs w:val="20"/>
          <w:color w:val="auto"/>
        </w:rPr>
      </w:pPr>
    </w:p>
    <w:p>
      <w:pPr>
        <w:ind w:right="8240" w:firstLine="8"/>
        <w:spacing w:after="0" w:line="248" w:lineRule="auto"/>
        <w:tabs>
          <w:tab w:leader="none" w:pos="324" w:val="left"/>
        </w:tabs>
        <w:numPr>
          <w:ilvl w:val="0"/>
          <w:numId w:val="7"/>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ind w:left="34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40" w:right="34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4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34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Excludes Credit Facility related costs.</w:t>
      </w:r>
    </w:p>
    <w:p>
      <w:pPr>
        <w:ind w:left="34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Credit Facility amendment costs, if any, are not annualized.</w:t>
      </w:r>
    </w:p>
    <w:p>
      <w:pPr>
        <w:ind w:left="340" w:right="80" w:hanging="332"/>
        <w:spacing w:after="0" w:line="271" w:lineRule="auto"/>
        <w:tabs>
          <w:tab w:leader="none" w:pos="340" w:val="left"/>
        </w:tabs>
        <w:numPr>
          <w:ilvl w:val="0"/>
          <w:numId w:val="8"/>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CREDIT FACILITY</w:t>
      </w:r>
    </w:p>
    <w:p>
      <w:pPr>
        <w:spacing w:after="0" w:line="100" w:lineRule="exact"/>
        <w:rPr>
          <w:sz w:val="20"/>
          <w:szCs w:val="20"/>
          <w:color w:val="auto"/>
        </w:rPr>
      </w:pPr>
    </w:p>
    <w:p>
      <w:pPr>
        <w:ind w:right="80" w:firstLine="786"/>
        <w:spacing w:after="0" w:line="231" w:lineRule="auto"/>
        <w:rPr>
          <w:sz w:val="20"/>
          <w:szCs w:val="20"/>
          <w:color w:val="auto"/>
        </w:rPr>
      </w:pPr>
      <w:r>
        <w:rPr>
          <w:rFonts w:ascii="Arial" w:cs="Arial" w:eastAsia="Arial" w:hAnsi="Arial"/>
          <w:sz w:val="14"/>
          <w:szCs w:val="14"/>
          <w:color w:val="auto"/>
        </w:rPr>
        <w:t>Funding I’s Credit Facility with affiliates of SunTrust Bank, or the Lender, is $200 million, subject to satisfaction of certain conditions and the regulatory restrictions that the 1940 Act imposes on us as a BDC, has an interest rate spread above LIBOR of 200 basis points, a maturity date of May 2018 and a revolving period that ends in May 2016. As of December 31, 2014 and September 30, 2014, Funding I had $135.5 million and $146.4 million of outstanding borrowings under the Credit Facility, respectively, and carried an interest rate of 2.18% and 2.16%, respectively, excluding the 0.375% undrawn commitment fee. The annualized weighted average cost of debt for the three months ended December 31, 2014 and 2013, inclusive of the fee on the undrawn commitment on the Credit Facility but excluding amendment costs, was 2.47% and 2.46%, respectively.</w:t>
      </w:r>
    </w:p>
    <w:p>
      <w:pPr>
        <w:spacing w:after="0" w:line="184" w:lineRule="exact"/>
        <w:rPr>
          <w:sz w:val="20"/>
          <w:szCs w:val="20"/>
          <w:color w:val="auto"/>
        </w:rPr>
      </w:pPr>
    </w:p>
    <w:p>
      <w:pPr>
        <w:jc w:val="both"/>
        <w:ind w:right="220" w:firstLine="786"/>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68" w:lineRule="exact"/>
        <w:rPr>
          <w:sz w:val="20"/>
          <w:szCs w:val="20"/>
          <w:color w:val="auto"/>
        </w:rPr>
      </w:pPr>
    </w:p>
    <w:p>
      <w:pPr>
        <w:ind w:firstLine="786"/>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December 31, 2014, we were in compliance with the covenants relating to our Credit Facility.</w:t>
      </w:r>
    </w:p>
    <w:p>
      <w:pPr>
        <w:spacing w:after="0" w:line="175" w:lineRule="exact"/>
        <w:rPr>
          <w:sz w:val="20"/>
          <w:szCs w:val="20"/>
          <w:color w:val="auto"/>
        </w:rPr>
      </w:pPr>
    </w:p>
    <w:p>
      <w:pPr>
        <w:jc w:val="both"/>
        <w:ind w:right="140" w:firstLine="786"/>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00"/>
          </w:cols>
          <w:pgMar w:left="32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jc w:val="both"/>
        <w:ind w:right="100" w:firstLine="786"/>
        <w:spacing w:after="0" w:line="233" w:lineRule="auto"/>
        <w:rPr>
          <w:sz w:val="20"/>
          <w:szCs w:val="20"/>
          <w:color w:val="auto"/>
        </w:rPr>
      </w:pPr>
      <w:r>
        <w:rPr>
          <w:rFonts w:ascii="Arial" w:cs="Arial" w:eastAsia="Arial" w:hAnsi="Arial"/>
          <w:sz w:val="14"/>
          <w:szCs w:val="14"/>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COMMITMENTS AND CONTINGENCIES</w:t>
      </w:r>
    </w:p>
    <w:p>
      <w:pPr>
        <w:spacing w:after="0" w:line="100" w:lineRule="exact"/>
        <w:rPr>
          <w:sz w:val="20"/>
          <w:szCs w:val="20"/>
          <w:color w:val="auto"/>
        </w:rPr>
      </w:pPr>
    </w:p>
    <w:p>
      <w:pPr>
        <w:ind w:firstLine="786"/>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 of Investments. As of December 31, 2014 and 2013, we had $3.0 million and $2.7 million, respectively, in commitments to fund various revolving and delayed draw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SUBSEQUENT EVENTS</w:t>
      </w:r>
    </w:p>
    <w:p>
      <w:pPr>
        <w:spacing w:after="0" w:line="100" w:lineRule="exact"/>
        <w:rPr>
          <w:sz w:val="20"/>
          <w:szCs w:val="20"/>
          <w:color w:val="auto"/>
        </w:rPr>
      </w:pPr>
    </w:p>
    <w:p>
      <w:pPr>
        <w:jc w:val="both"/>
        <w:ind w:right="60" w:firstLine="786"/>
        <w:spacing w:after="0" w:line="238" w:lineRule="auto"/>
        <w:rPr>
          <w:sz w:val="20"/>
          <w:szCs w:val="20"/>
          <w:color w:val="auto"/>
        </w:rPr>
      </w:pPr>
      <w:r>
        <w:rPr>
          <w:rFonts w:ascii="Arial" w:cs="Arial" w:eastAsia="Arial" w:hAnsi="Arial"/>
          <w:sz w:val="14"/>
          <w:szCs w:val="14"/>
          <w:color w:val="auto"/>
        </w:rPr>
        <w:t>After quarter-end, Patriot National, Inc. priced and closed an initial public offering. Our proceeds of approximately $14 million resulted in about $0.09 per share of realized gain, an increase in NAV per share of about $0.06 and about $0.05 per share of other income. Additionally, subsequent to quarter-end, UniTek Global Services, Inc. restructured its debt, and is no longer on non-accrual status.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92" w:lineRule="exact"/>
        <w:rPr>
          <w:sz w:val="20"/>
          <w:szCs w:val="20"/>
          <w:color w:val="auto"/>
        </w:rPr>
      </w:pPr>
    </w:p>
    <w:p>
      <w:pPr>
        <w:ind w:right="200" w:firstLine="786"/>
        <w:spacing w:after="0" w:line="238" w:lineRule="auto"/>
        <w:rPr>
          <w:sz w:val="20"/>
          <w:szCs w:val="20"/>
          <w:color w:val="auto"/>
        </w:rPr>
      </w:pPr>
      <w:r>
        <w:rPr>
          <w:rFonts w:ascii="Arial" w:cs="Arial" w:eastAsia="Arial" w:hAnsi="Arial"/>
          <w:sz w:val="14"/>
          <w:szCs w:val="14"/>
          <w:color w:val="auto"/>
        </w:rPr>
        <w:t>We have reviewed the accompanying consolidated statement of assets and liabilities of PennantPark Floating Rate Capital Ltd. and its Subsidiary (the “Company”), including the consolidated schedule of investments, as of December 31, 2014, and the related consolidated statements of operations, changes in net assets, and cash flows for the three months ended December 31, 2014 and 2013. These consolidated financial statements are the responsibility of the Company’s management.</w:t>
      </w:r>
    </w:p>
    <w:p>
      <w:pPr>
        <w:spacing w:after="0" w:line="183" w:lineRule="exact"/>
        <w:rPr>
          <w:sz w:val="20"/>
          <w:szCs w:val="20"/>
          <w:color w:val="auto"/>
        </w:rPr>
      </w:pPr>
    </w:p>
    <w:p>
      <w:pPr>
        <w:ind w:firstLine="786"/>
        <w:spacing w:after="0" w:line="233" w:lineRule="auto"/>
        <w:rPr>
          <w:sz w:val="20"/>
          <w:szCs w:val="20"/>
          <w:color w:val="auto"/>
        </w:rPr>
      </w:pPr>
      <w:r>
        <w:rPr>
          <w:rFonts w:ascii="Arial" w:cs="Arial" w:eastAsia="Arial" w:hAnsi="Arial"/>
          <w:sz w:val="14"/>
          <w:szCs w:val="14"/>
          <w:color w:val="auto"/>
        </w:rPr>
        <w:t>We conducted our reviews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85" w:lineRule="exact"/>
        <w:rPr>
          <w:sz w:val="20"/>
          <w:szCs w:val="20"/>
          <w:color w:val="auto"/>
        </w:rPr>
      </w:pPr>
    </w:p>
    <w:p>
      <w:pPr>
        <w:ind w:right="20" w:firstLine="786"/>
        <w:spacing w:after="0" w:line="253" w:lineRule="auto"/>
        <w:rPr>
          <w:sz w:val="20"/>
          <w:szCs w:val="20"/>
          <w:color w:val="auto"/>
        </w:rPr>
      </w:pPr>
      <w:r>
        <w:rPr>
          <w:rFonts w:ascii="Arial" w:cs="Arial" w:eastAsia="Arial" w:hAnsi="Arial"/>
          <w:sz w:val="14"/>
          <w:szCs w:val="14"/>
          <w:color w:val="auto"/>
        </w:rPr>
        <w:t>Based on our reviews, we are not aware of any material modifications that should be made to the accompanying consolidated financial statements referred to above for them to be in conformity with U.S. generally accepted accounting principles.</w:t>
      </w:r>
    </w:p>
    <w:p>
      <w:pPr>
        <w:spacing w:after="0" w:line="174" w:lineRule="exact"/>
        <w:rPr>
          <w:sz w:val="20"/>
          <w:szCs w:val="20"/>
          <w:color w:val="auto"/>
        </w:rPr>
      </w:pPr>
    </w:p>
    <w:p>
      <w:pPr>
        <w:ind w:right="100" w:firstLine="786"/>
        <w:spacing w:after="0" w:line="238"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the consolidated statement of assets and liabilities of the Company, including the consolidated schedule of investments, as of September 30, 2014, and the related consolidated statements of operations, changes in net assets, and cash flows for the year then ended (not presented herein); and in our report dated November 13, 2014, we expressed an unqualified opinion on those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February 5, 2015</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00" w:lineRule="exact"/>
        <w:rPr>
          <w:sz w:val="20"/>
          <w:szCs w:val="20"/>
          <w:color w:val="auto"/>
        </w:rPr>
      </w:pPr>
    </w:p>
    <w:p>
      <w:pPr>
        <w:jc w:val="both"/>
        <w:ind w:right="180" w:firstLine="786"/>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subsidiary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90" w:lineRule="exact"/>
        <w:rPr>
          <w:sz w:val="20"/>
          <w:szCs w:val="20"/>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 and our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ability of the Investment Adviser to locate suitable investments for us and to monitor and administer our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European sovereign debt issues.</w:t>
      </w:r>
    </w:p>
    <w:p>
      <w:pPr>
        <w:spacing w:after="0" w:line="204" w:lineRule="exact"/>
        <w:rPr>
          <w:sz w:val="20"/>
          <w:szCs w:val="20"/>
          <w:color w:val="auto"/>
        </w:rPr>
      </w:pPr>
    </w:p>
    <w:p>
      <w:pPr>
        <w:jc w:val="both"/>
        <w:ind w:right="120" w:firstLine="786"/>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83" w:lineRule="exact"/>
        <w:rPr>
          <w:sz w:val="20"/>
          <w:szCs w:val="20"/>
          <w:color w:val="auto"/>
        </w:rPr>
      </w:pPr>
    </w:p>
    <w:p>
      <w:pPr>
        <w:ind w:right="20" w:firstLine="786"/>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85" w:lineRule="exact"/>
        <w:rPr>
          <w:sz w:val="20"/>
          <w:szCs w:val="20"/>
          <w:color w:val="auto"/>
        </w:rPr>
      </w:pPr>
    </w:p>
    <w:p>
      <w:pPr>
        <w:ind w:right="200" w:firstLine="786"/>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85" w:lineRule="exact"/>
        <w:rPr>
          <w:sz w:val="20"/>
          <w:szCs w:val="20"/>
          <w:color w:val="auto"/>
        </w:rPr>
      </w:pPr>
    </w:p>
    <w:p>
      <w:pPr>
        <w:ind w:right="160" w:firstLine="786"/>
        <w:spacing w:after="0" w:line="290" w:lineRule="auto"/>
        <w:rPr>
          <w:sz w:val="20"/>
          <w:szCs w:val="20"/>
          <w:color w:val="auto"/>
        </w:rPr>
      </w:pPr>
      <w:r>
        <w:rPr>
          <w:rFonts w:ascii="Arial" w:cs="Arial" w:eastAsia="Arial" w:hAnsi="Arial"/>
          <w:sz w:val="13"/>
          <w:szCs w:val="13"/>
          <w:color w:val="auto"/>
        </w:rPr>
        <w:t>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w:t>
      </w:r>
    </w:p>
    <w:p>
      <w:pPr>
        <w:spacing w:after="0" w:line="152" w:lineRule="exact"/>
        <w:rPr>
          <w:sz w:val="20"/>
          <w:szCs w:val="20"/>
          <w:color w:val="auto"/>
        </w:rPr>
      </w:pPr>
    </w:p>
    <w:p>
      <w:pPr>
        <w:ind w:right="220" w:firstLine="786"/>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right="140" w:firstLine="786"/>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174" w:lineRule="exact"/>
        <w:rPr>
          <w:sz w:val="20"/>
          <w:szCs w:val="20"/>
          <w:color w:val="auto"/>
        </w:rPr>
      </w:pPr>
    </w:p>
    <w:p>
      <w:pPr>
        <w:ind w:firstLine="786"/>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firstLine="786"/>
        <w:spacing w:after="0" w:line="255"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175" w:lineRule="exact"/>
        <w:rPr>
          <w:sz w:val="20"/>
          <w:szCs w:val="20"/>
          <w:color w:val="auto"/>
        </w:rPr>
      </w:pPr>
    </w:p>
    <w:p>
      <w:pPr>
        <w:ind w:right="20" w:firstLine="786"/>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96" w:lineRule="exact"/>
        <w:rPr>
          <w:sz w:val="20"/>
          <w:szCs w:val="20"/>
          <w:color w:val="auto"/>
        </w:rPr>
      </w:pPr>
    </w:p>
    <w:p>
      <w:pPr>
        <w:ind w:right="360" w:firstLine="786"/>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52" w:lineRule="exact"/>
        <w:rPr>
          <w:sz w:val="20"/>
          <w:szCs w:val="20"/>
          <w:color w:val="auto"/>
        </w:rPr>
      </w:pPr>
    </w:p>
    <w:p>
      <w:pPr>
        <w:ind w:firstLine="786"/>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right="40" w:firstLine="786"/>
        <w:spacing w:after="0" w:line="247"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We record prepayment penalties on loans and debt securities as income. Dividend income, if any, is recognized on an accrual basis on the ex-dividend date to the extent that we expect to collect such amounts.</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80" w:firstLine="786"/>
        <w:spacing w:after="0" w:line="233" w:lineRule="auto"/>
        <w:rPr>
          <w:sz w:val="20"/>
          <w:szCs w:val="20"/>
          <w:color w:val="auto"/>
        </w:rPr>
      </w:pPr>
      <w:r>
        <w:rPr>
          <w:rFonts w:ascii="Arial" w:cs="Arial" w:eastAsia="Arial" w:hAnsi="Arial"/>
          <w:sz w:val="14"/>
          <w:szCs w:val="14"/>
          <w:color w:val="auto"/>
        </w:rPr>
        <w:t>Our primary operating expenses include the payment of a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Credit Facility. We bear all other direct or indirect costs and expenses of our operations and transactions, including:</w:t>
      </w:r>
    </w:p>
    <w:p>
      <w:pPr>
        <w:spacing w:after="0" w:line="90" w:lineRule="exact"/>
        <w:rPr>
          <w:sz w:val="20"/>
          <w:szCs w:val="20"/>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09" w:lineRule="exact"/>
        <w:rPr>
          <w:rFonts w:ascii="Arial" w:cs="Arial" w:eastAsia="Arial" w:hAnsi="Arial"/>
          <w:sz w:val="14"/>
          <w:szCs w:val="14"/>
          <w:color w:val="auto"/>
        </w:rPr>
      </w:pPr>
    </w:p>
    <w:p>
      <w:pPr>
        <w:ind w:left="1120" w:right="580" w:hanging="329"/>
        <w:spacing w:after="0" w:line="253" w:lineRule="auto"/>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20" w:right="60" w:hanging="329"/>
        <w:spacing w:after="0" w:line="264" w:lineRule="auto"/>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68" w:lineRule="exact"/>
        <w:rPr>
          <w:sz w:val="20"/>
          <w:szCs w:val="20"/>
          <w:color w:val="auto"/>
        </w:rPr>
      </w:pPr>
    </w:p>
    <w:p>
      <w:pPr>
        <w:ind w:right="140" w:firstLine="786"/>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jc w:val="both"/>
        <w:ind w:right="40" w:firstLine="786"/>
        <w:spacing w:after="0" w:line="244" w:lineRule="auto"/>
        <w:rPr>
          <w:sz w:val="20"/>
          <w:szCs w:val="20"/>
          <w:color w:val="auto"/>
        </w:rPr>
      </w:pPr>
      <w:r>
        <w:rPr>
          <w:rFonts w:ascii="Arial" w:cs="Arial" w:eastAsia="Arial" w:hAnsi="Arial"/>
          <w:sz w:val="13"/>
          <w:szCs w:val="13"/>
          <w:color w:val="auto"/>
        </w:rPr>
        <w:t>As of December 31, 2014, our portfolio totaled $343.2 million and consisted of $288.6 million of senior secured loans, $45.4 million of second lien secured debt and $9.2 million of subordinated debt, preferred and common equity. Our debt portfolio consisted of 95% variable-rate investments (including 92% with a LIBOR or prime floor) and 5% fixed-rate investments. As of December 31, 2014, we had one non-accrual debt investment, representing 0.7% of our overall portfolio on a cost basis. Overall, the portfolio had net unrealized depreciation of $4.8 million.</w:t>
      </w:r>
    </w:p>
    <w:p>
      <w:pPr>
        <w:spacing w:after="0" w:line="2" w:lineRule="exact"/>
        <w:rPr>
          <w:sz w:val="20"/>
          <w:szCs w:val="20"/>
          <w:color w:val="auto"/>
        </w:rPr>
      </w:pPr>
    </w:p>
    <w:p>
      <w:pPr>
        <w:ind w:right="380"/>
        <w:spacing w:after="0" w:line="237" w:lineRule="auto"/>
        <w:rPr>
          <w:sz w:val="20"/>
          <w:szCs w:val="20"/>
          <w:color w:val="auto"/>
        </w:rPr>
      </w:pPr>
      <w:r>
        <w:rPr>
          <w:rFonts w:ascii="Arial" w:cs="Arial" w:eastAsia="Arial" w:hAnsi="Arial"/>
          <w:sz w:val="14"/>
          <w:szCs w:val="14"/>
          <w:color w:val="auto"/>
        </w:rPr>
        <w:t>Our overall portfolio consisted of 72 companies with an average investment size of $4.8 million, had a weighted average yield on debt investments of 8.5%, and was invested 84% in senior secured loans, 13% in second lien secured debt and 3% in subordinated debt, preferred and common equity.</w:t>
      </w:r>
    </w:p>
    <w:p>
      <w:pPr>
        <w:spacing w:after="0" w:line="183" w:lineRule="exact"/>
        <w:rPr>
          <w:sz w:val="20"/>
          <w:szCs w:val="20"/>
          <w:color w:val="auto"/>
        </w:rPr>
      </w:pPr>
    </w:p>
    <w:p>
      <w:pPr>
        <w:ind w:right="20" w:firstLine="786"/>
        <w:spacing w:after="0" w:line="231" w:lineRule="auto"/>
        <w:rPr>
          <w:sz w:val="20"/>
          <w:szCs w:val="20"/>
          <w:color w:val="auto"/>
        </w:rPr>
      </w:pPr>
      <w:r>
        <w:rPr>
          <w:rFonts w:ascii="Arial" w:cs="Arial" w:eastAsia="Arial" w:hAnsi="Arial"/>
          <w:sz w:val="14"/>
          <w:szCs w:val="14"/>
          <w:color w:val="auto"/>
        </w:rPr>
        <w:t>As of September 30, 2014, our portfolio totaled $348.4 million and consisted of $302.5 million of senior secured loans, $36.5 million of second lien secured debt and $9.4 million of subordinated debt, preferred and common equity. Our debt portfolio consisted of 95% variable-rate investments (including 92% with a LIBOR or prime floor) and 5% fixed-rate investments. As of September 30, 2014, we had one non-accrual debt investment, representing 0.6% of our overall portfolio on a cost basis. Overall, the portfolio had net unrealized appreciation of $0.1 million. Our overall portfolio consisted of 72 companies with an average investment size of $4.8 million, had a weighted average yield on debt investments of 8.2%, and was invested 87% in senior secured loans, 10% in second lien secured debt and 3% in subordinated debt, preferred and common equity.</w:t>
      </w:r>
    </w:p>
    <w:p>
      <w:pPr>
        <w:spacing w:after="0" w:line="184" w:lineRule="exact"/>
        <w:rPr>
          <w:sz w:val="20"/>
          <w:szCs w:val="20"/>
          <w:color w:val="auto"/>
        </w:rPr>
      </w:pPr>
    </w:p>
    <w:p>
      <w:pPr>
        <w:ind w:right="100" w:firstLine="786"/>
        <w:spacing w:after="0" w:line="253" w:lineRule="auto"/>
        <w:rPr>
          <w:sz w:val="20"/>
          <w:szCs w:val="20"/>
          <w:color w:val="auto"/>
        </w:rPr>
      </w:pPr>
      <w:r>
        <w:rPr>
          <w:rFonts w:ascii="Arial" w:cs="Arial" w:eastAsia="Arial" w:hAnsi="Arial"/>
          <w:sz w:val="14"/>
          <w:szCs w:val="14"/>
          <w:color w:val="auto"/>
        </w:rPr>
        <w:t>For the three months ended December 31, 2014, we invested $47.0 million in eight new and five existing portfolio companies with a weighted average yield on debt investments of 8.5%. Sales and repayments of investments for the three months ended December 31, 2014 totaled $44.9 million.</w:t>
      </w:r>
    </w:p>
    <w:p>
      <w:pPr>
        <w:spacing w:after="0" w:line="174" w:lineRule="exact"/>
        <w:rPr>
          <w:sz w:val="20"/>
          <w:szCs w:val="20"/>
          <w:color w:val="auto"/>
        </w:rPr>
      </w:pPr>
    </w:p>
    <w:p>
      <w:pPr>
        <w:ind w:right="260" w:firstLine="786"/>
        <w:spacing w:after="0" w:line="253" w:lineRule="auto"/>
        <w:rPr>
          <w:sz w:val="20"/>
          <w:szCs w:val="20"/>
          <w:color w:val="auto"/>
        </w:rPr>
      </w:pPr>
      <w:r>
        <w:rPr>
          <w:rFonts w:ascii="Arial" w:cs="Arial" w:eastAsia="Arial" w:hAnsi="Arial"/>
          <w:sz w:val="14"/>
          <w:szCs w:val="14"/>
          <w:color w:val="auto"/>
        </w:rPr>
        <w:t>For the three months ended December 31, 2013, we invested $103.9 million in 17 new and 11 existing portfolio companies with a weighted average yield on debt investments of 7.7%. Sales and repayments of investments for the three months ended December 31, 2013 totaled $55.4 million.</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20" w:firstLine="786"/>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786"/>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79" w:lineRule="exact"/>
        <w:rPr>
          <w:sz w:val="20"/>
          <w:szCs w:val="20"/>
          <w:color w:val="auto"/>
        </w:rPr>
      </w:pPr>
    </w:p>
    <w:p>
      <w:pPr>
        <w:ind w:right="100" w:firstLine="786"/>
        <w:spacing w:after="0" w:line="290"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1120" w:right="20" w:hanging="329"/>
        <w:spacing w:after="0" w:line="253" w:lineRule="auto"/>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ind w:left="1120" w:right="40" w:hanging="329"/>
        <w:spacing w:after="0" w:line="264" w:lineRule="auto"/>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1120" w:right="120" w:hanging="329"/>
        <w:spacing w:after="0" w:line="238" w:lineRule="auto"/>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1120" w:right="140" w:hanging="329"/>
        <w:spacing w:after="0" w:line="253" w:lineRule="auto"/>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786"/>
        <w:spacing w:after="0" w:line="251"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77" w:lineRule="exact"/>
        <w:rPr>
          <w:sz w:val="20"/>
          <w:szCs w:val="20"/>
          <w:color w:val="auto"/>
        </w:rPr>
      </w:pPr>
    </w:p>
    <w:p>
      <w:pPr>
        <w:ind w:firstLine="786"/>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Level 1:  Inputs that are quoted prices (unadjusted) in active markets for identical assets or liabilities, accessible by us at the measurement date.</w:t>
      </w:r>
    </w:p>
    <w:p>
      <w:pPr>
        <w:spacing w:after="0" w:line="96" w:lineRule="exact"/>
        <w:rPr>
          <w:sz w:val="20"/>
          <w:szCs w:val="20"/>
          <w:color w:val="auto"/>
        </w:rPr>
      </w:pPr>
    </w:p>
    <w:p>
      <w:pPr>
        <w:ind w:left="1380" w:right="940" w:hanging="579"/>
        <w:spacing w:after="0" w:line="238" w:lineRule="auto"/>
        <w:rPr>
          <w:sz w:val="20"/>
          <w:szCs w:val="20"/>
          <w:color w:val="auto"/>
        </w:rPr>
      </w:pPr>
      <w:r>
        <w:rPr>
          <w:rFonts w:ascii="Arial" w:cs="Arial" w:eastAsia="Arial" w:hAnsi="Arial"/>
          <w:sz w:val="14"/>
          <w:szCs w:val="14"/>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380" w:right="940" w:hanging="579"/>
        <w:spacing w:after="0" w:line="253" w:lineRule="auto"/>
        <w:rPr>
          <w:sz w:val="20"/>
          <w:szCs w:val="20"/>
          <w:color w:val="auto"/>
        </w:rPr>
      </w:pPr>
      <w:r>
        <w:rPr>
          <w:rFonts w:ascii="Arial" w:cs="Arial" w:eastAsia="Arial" w:hAnsi="Arial"/>
          <w:sz w:val="14"/>
          <w:szCs w:val="14"/>
          <w:color w:val="auto"/>
        </w:rPr>
        <w:t>Level 3: Inputs that are unobservable for an asset or liability because they are based on our own assumptions about how market participants would price the asset or liability.</w:t>
      </w:r>
    </w:p>
    <w:p>
      <w:pPr>
        <w:spacing w:after="0" w:line="174" w:lineRule="exact"/>
        <w:rPr>
          <w:sz w:val="20"/>
          <w:szCs w:val="20"/>
          <w:color w:val="auto"/>
        </w:rPr>
      </w:pPr>
    </w:p>
    <w:p>
      <w:pPr>
        <w:ind w:right="60" w:firstLine="786"/>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68" w:lineRule="exact"/>
        <w:rPr>
          <w:sz w:val="20"/>
          <w:szCs w:val="20"/>
          <w:color w:val="auto"/>
        </w:rPr>
      </w:pPr>
    </w:p>
    <w:p>
      <w:pPr>
        <w:ind w:right="180" w:firstLine="786"/>
        <w:spacing w:after="0" w:line="290"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52" w:lineRule="exact"/>
        <w:rPr>
          <w:sz w:val="20"/>
          <w:szCs w:val="20"/>
          <w:color w:val="auto"/>
        </w:rPr>
      </w:pPr>
    </w:p>
    <w:p>
      <w:pPr>
        <w:ind w:right="20" w:firstLine="786"/>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zero and $0.7 million, respectively, relating to amendment fees on the Credit Facility during the three months ended December 31, 2014 and 2013,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months ended December 31, 2014 and 2013, the Credit Facility had a net change in unrealized appreciation of less than $0.1 million and zero, respectively. As of December 31, 2014 and September 30, 2014, the net unrealized appreciation on our Credit Facility totaled $0.5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firstLine="786"/>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420" w:firstLine="786"/>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96" w:lineRule="exact"/>
        <w:rPr>
          <w:sz w:val="20"/>
          <w:szCs w:val="20"/>
          <w:color w:val="auto"/>
        </w:rPr>
      </w:pPr>
    </w:p>
    <w:p>
      <w:pPr>
        <w:ind w:right="40" w:firstLine="786"/>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may not collect any cash with respect to interest on PIK securities.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firstLine="786"/>
        <w:spacing w:after="0" w:line="245"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net capital gain income (i.e., the excess, if any, of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83" w:lineRule="exact"/>
        <w:rPr>
          <w:sz w:val="20"/>
          <w:szCs w:val="20"/>
          <w:color w:val="auto"/>
        </w:rPr>
      </w:pPr>
    </w:p>
    <w:p>
      <w:pPr>
        <w:jc w:val="both"/>
        <w:ind w:right="40" w:firstLine="786"/>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Set forth below are the results of operations for the three months ended December 31, 2014 and 2013.</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jc w:val="both"/>
        <w:ind w:firstLine="786"/>
        <w:spacing w:after="0" w:line="233" w:lineRule="auto"/>
        <w:rPr>
          <w:sz w:val="20"/>
          <w:szCs w:val="20"/>
          <w:color w:val="auto"/>
        </w:rPr>
      </w:pPr>
      <w:r>
        <w:rPr>
          <w:rFonts w:ascii="Arial" w:cs="Arial" w:eastAsia="Arial" w:hAnsi="Arial"/>
          <w:sz w:val="14"/>
          <w:szCs w:val="14"/>
          <w:color w:val="auto"/>
        </w:rPr>
        <w:t>Investment income for the three months ended December 31, 2014 was $7.5 million and was attributable to $5.8 million from senior secured loans and $1.7 million from second lien secured debt and subordinated debt. This compares to investment income for the three months ended December 31, 2013, which was $6.8 million, and was attributable to $5.5 million from senior secured loans and $1.3 million from second lien secured debt and subordinated debt. The increase in investment income compared to the same period in the prior year is primarily due to a higher yielding portfolio.</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20" w:firstLine="786"/>
        <w:spacing w:after="0" w:line="228" w:lineRule="auto"/>
        <w:rPr>
          <w:sz w:val="20"/>
          <w:szCs w:val="20"/>
          <w:color w:val="auto"/>
        </w:rPr>
      </w:pPr>
      <w:r>
        <w:rPr>
          <w:rFonts w:ascii="Arial" w:cs="Arial" w:eastAsia="Arial" w:hAnsi="Arial"/>
          <w:sz w:val="14"/>
          <w:szCs w:val="14"/>
          <w:color w:val="auto"/>
        </w:rPr>
        <w:t>Expenses for the three months ended December 31, 2014 totaled $2.0 million. Base management fee for the same period totaled $0.9 million, incentive fee totaled $(0.3) million (including $(0.4) million on realized gains and $(0.6) million on unrealized gains accrued but not payable), Credit Facility expenses totaled $0.9 million, general and administrative expenses totaled $0.4 million and excise taxes were $0.1 million. This compares to expenses for the three months ended December 31, 2013, which totaled $3.6 million. Base management fee for the same period totaled $0.9 million, incentive fee totaled $0.7 million (including $0.4 million on realized gains and $0.2 million on unrealized gains accrued but not payable), Credit Facility expenses totaled $1.4 million (including $0.7 million of Credit Facility amendment expenses), general and administrative expenses totaled $0.5 million and excise taxes were $0.1 million. The decrease in expenses compared to the same period in the prior year was primarily due to a reduction in the accrual of incentive fees on realized and unrealized gains on the portfolio and no Credit Facility amendment fees in the current period.</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right="300" w:firstLine="786"/>
        <w:spacing w:after="0" w:line="238" w:lineRule="auto"/>
        <w:rPr>
          <w:sz w:val="20"/>
          <w:szCs w:val="20"/>
          <w:color w:val="auto"/>
        </w:rPr>
      </w:pPr>
      <w:r>
        <w:rPr>
          <w:rFonts w:ascii="Arial" w:cs="Arial" w:eastAsia="Arial" w:hAnsi="Arial"/>
          <w:sz w:val="14"/>
          <w:szCs w:val="14"/>
          <w:color w:val="auto"/>
        </w:rPr>
        <w:t>Net investment income totaled $5.5 million, or $0.37 per share, for the three months ended December 31, 2014, and $3.2 million, or $0.22 per share, for the three months ended December 31, 2013. The increase in net investment income compared to the same period in the prior year was due to a higher yielding portfolio, reduction in incentive fees on realized and unrealized gains on the portfolio and no amendment fees in the current period on our Credit Facility.</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ind w:right="120" w:firstLine="786"/>
        <w:spacing w:after="0" w:line="238" w:lineRule="auto"/>
        <w:rPr>
          <w:sz w:val="20"/>
          <w:szCs w:val="20"/>
          <w:color w:val="auto"/>
        </w:rPr>
      </w:pPr>
      <w:r>
        <w:rPr>
          <w:rFonts w:ascii="Arial" w:cs="Arial" w:eastAsia="Arial" w:hAnsi="Arial"/>
          <w:sz w:val="14"/>
          <w:szCs w:val="14"/>
          <w:color w:val="auto"/>
        </w:rPr>
        <w:t>Sales and repayments of investments for the three months ended December 31, 2014 totaled $44.9 million and realized losses totaled $0.2 million. Sales and repayments of investments totaled $55.4 million and realized gains totaled $0.6 million for the three months ended December 31, 2013. The decrease in realized gains compared to the same period in the prior year was driven by changes in market conditions of our investments.</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96" w:lineRule="exact"/>
        <w:rPr>
          <w:sz w:val="20"/>
          <w:szCs w:val="20"/>
          <w:color w:val="auto"/>
        </w:rPr>
      </w:pPr>
    </w:p>
    <w:p>
      <w:pPr>
        <w:ind w:right="60" w:firstLine="786"/>
        <w:spacing w:after="0" w:line="238" w:lineRule="auto"/>
        <w:rPr>
          <w:sz w:val="20"/>
          <w:szCs w:val="20"/>
          <w:color w:val="auto"/>
        </w:rPr>
      </w:pPr>
      <w:r>
        <w:rPr>
          <w:rFonts w:ascii="Arial" w:cs="Arial" w:eastAsia="Arial" w:hAnsi="Arial"/>
          <w:sz w:val="14"/>
          <w:szCs w:val="14"/>
          <w:color w:val="auto"/>
        </w:rPr>
        <w:t>For the three months ended December 31, 2014 and 2013, we reported net unrealized (depreciation) appreciation on investments of $(4.9) million and $2.2 million, respectively. As of December 31, 2014 and September 30, 2014, net unrealized (depreciation) appreciation on investments totaled $(4.8) million and $0.1 million, respectively. The change in net unrealized depreciation compared to the same period in the prior year was the result of the overall variation in the leveraged finance markets.</w:t>
      </w:r>
    </w:p>
    <w:p>
      <w:pPr>
        <w:spacing w:after="0" w:line="183" w:lineRule="exact"/>
        <w:rPr>
          <w:sz w:val="20"/>
          <w:szCs w:val="20"/>
          <w:color w:val="auto"/>
        </w:rPr>
      </w:pPr>
    </w:p>
    <w:p>
      <w:pPr>
        <w:jc w:val="both"/>
        <w:ind w:right="240" w:firstLine="786"/>
        <w:spacing w:after="0" w:line="238" w:lineRule="auto"/>
        <w:rPr>
          <w:sz w:val="20"/>
          <w:szCs w:val="20"/>
          <w:color w:val="auto"/>
        </w:rPr>
      </w:pPr>
      <w:r>
        <w:rPr>
          <w:rFonts w:ascii="Arial" w:cs="Arial" w:eastAsia="Arial" w:hAnsi="Arial"/>
          <w:sz w:val="14"/>
          <w:szCs w:val="14"/>
          <w:color w:val="auto"/>
        </w:rPr>
        <w:t>For the three months ended December 31, 2014 and 2013, our Credit Facility had an unrealized appreciation of less than $0.1 million and zero, respectively. As of December 31, 2014 and September 30, 2014, net unrealized appreciation on our Credit Facility totaled $0.5 million and $0.5 million, respectively. The change in net unrealized appreciation compared to the same period in the prior year was due to changes in the capital markets.</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ind w:right="320" w:firstLine="786"/>
        <w:spacing w:after="0" w:line="238" w:lineRule="auto"/>
        <w:rPr>
          <w:sz w:val="20"/>
          <w:szCs w:val="20"/>
          <w:color w:val="auto"/>
        </w:rPr>
      </w:pPr>
      <w:r>
        <w:rPr>
          <w:rFonts w:ascii="Arial" w:cs="Arial" w:eastAsia="Arial" w:hAnsi="Arial"/>
          <w:sz w:val="14"/>
          <w:szCs w:val="14"/>
          <w:color w:val="auto"/>
        </w:rPr>
        <w:t>Net change in net assets resulting from operations totaled $0.4 million, or $0.03 per share, for the three months ended December 31, 2014. This compares to a net change in net assets resulting from operations which totaled $6.1 million, or $0.41 per share, for the three months ended December 31, 2013. The decrease in the net change in net assets from operations compared to the same period in the prior year reflects the change in portfolio investment values during the reporting period.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20"/>
          </w:cols>
          <w:pgMar w:left="32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20" w:firstLine="786"/>
        <w:spacing w:after="0" w:line="238" w:lineRule="auto"/>
        <w:rPr>
          <w:sz w:val="20"/>
          <w:szCs w:val="20"/>
          <w:color w:val="auto"/>
        </w:rPr>
      </w:pPr>
      <w:r>
        <w:rPr>
          <w:rFonts w:ascii="Arial" w:cs="Arial" w:eastAsia="Arial" w:hAnsi="Arial"/>
          <w:sz w:val="14"/>
          <w:szCs w:val="14"/>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3" w:lineRule="exact"/>
        <w:rPr>
          <w:sz w:val="20"/>
          <w:szCs w:val="20"/>
          <w:color w:val="auto"/>
        </w:rPr>
      </w:pPr>
    </w:p>
    <w:p>
      <w:pPr>
        <w:ind w:right="120" w:firstLine="786"/>
        <w:spacing w:after="0" w:line="248" w:lineRule="auto"/>
        <w:rPr>
          <w:sz w:val="20"/>
          <w:szCs w:val="20"/>
          <w:color w:val="auto"/>
        </w:rPr>
      </w:pPr>
      <w:r>
        <w:rPr>
          <w:rFonts w:ascii="Arial" w:cs="Arial" w:eastAsia="Arial" w:hAnsi="Arial"/>
          <w:sz w:val="13"/>
          <w:szCs w:val="13"/>
          <w:color w:val="auto"/>
        </w:rPr>
        <w:t>Funding I’s Credit Facility with affiliates of SunTrust Bank, or the Lender, is $200 million, subject to satisfaction of certain conditions and the regulatory restrictions that the 1940 Act imposes on us as a BDC, has an interest rate spread above LIBOR of 200 basis points, a maturity date of May 2018 and a revolving period that ends in May 2016. As of December 31, 2014 and September 30, 2014, Funding I had $135.5 million and $146.4 million of outstanding borrowings under the Credit Facility, respectively, and carried an interest rate of 2.18% and 2.16%, respectively, excluding the 0.375% undrawn commitment fee. The annualized weighted average cost of debt for the three months ended December 31, 2014 and 2013, inclusive of the fee on the undrawn commitment on the Credit Facility but excluding amendment costs, was 2.47% and 2.46%, respectively. As of December 31, 2014 and September 30, 2014, we had $64.5 million and $53.6 million of unused borrowing capacity, respectively, subject to the regulatory restrictions that the 1940 Act imposes on us as a BDC.</w:t>
      </w:r>
    </w:p>
    <w:p>
      <w:pPr>
        <w:spacing w:after="0" w:line="180" w:lineRule="exact"/>
        <w:rPr>
          <w:sz w:val="20"/>
          <w:szCs w:val="20"/>
          <w:color w:val="auto"/>
        </w:rPr>
      </w:pPr>
    </w:p>
    <w:p>
      <w:pPr>
        <w:jc w:val="both"/>
        <w:ind w:right="260" w:firstLine="786"/>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68" w:lineRule="exact"/>
        <w:rPr>
          <w:sz w:val="20"/>
          <w:szCs w:val="20"/>
          <w:color w:val="auto"/>
        </w:rPr>
      </w:pPr>
    </w:p>
    <w:p>
      <w:pPr>
        <w:ind w:right="40" w:firstLine="786"/>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December 31, 2014, we were in compliance with the covenants relating to our Credit Facility.</w:t>
      </w:r>
    </w:p>
    <w:p>
      <w:pPr>
        <w:spacing w:after="0" w:line="175" w:lineRule="exact"/>
        <w:rPr>
          <w:sz w:val="20"/>
          <w:szCs w:val="20"/>
          <w:color w:val="auto"/>
        </w:rPr>
      </w:pPr>
    </w:p>
    <w:p>
      <w:pPr>
        <w:jc w:val="both"/>
        <w:ind w:right="160" w:firstLine="786"/>
        <w:spacing w:after="0" w:line="238" w:lineRule="auto"/>
        <w:rPr>
          <w:sz w:val="20"/>
          <w:szCs w:val="20"/>
          <w:color w:val="auto"/>
        </w:rPr>
      </w:pPr>
      <w:r>
        <w:rPr>
          <w:rFonts w:ascii="Arial" w:cs="Arial" w:eastAsia="Arial" w:hAnsi="Arial"/>
          <w:sz w:val="14"/>
          <w:szCs w:val="14"/>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83" w:lineRule="exact"/>
        <w:rPr>
          <w:sz w:val="20"/>
          <w:szCs w:val="20"/>
          <w:color w:val="auto"/>
        </w:rPr>
      </w:pPr>
    </w:p>
    <w:p>
      <w:pPr>
        <w:ind w:right="140" w:firstLine="786"/>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84" w:lineRule="exact"/>
        <w:rPr>
          <w:sz w:val="20"/>
          <w:szCs w:val="20"/>
          <w:color w:val="auto"/>
        </w:rPr>
      </w:pPr>
    </w:p>
    <w:p>
      <w:pPr>
        <w:jc w:val="both"/>
        <w:ind w:right="40" w:firstLine="786"/>
        <w:spacing w:after="0" w:line="264" w:lineRule="auto"/>
        <w:rPr>
          <w:sz w:val="20"/>
          <w:szCs w:val="20"/>
          <w:color w:val="auto"/>
        </w:rPr>
      </w:pPr>
      <w:r>
        <w:rPr>
          <w:rFonts w:ascii="Arial" w:cs="Arial" w:eastAsia="Arial" w:hAnsi="Arial"/>
          <w:sz w:val="13"/>
          <w:szCs w:val="13"/>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3"/>
          <w:szCs w:val="13"/>
          <w:color w:val="auto"/>
        </w:rPr>
        <w:t>On December 31, 2014 and September 30, 2014, we had cash equivalents of $10.4 million and $13.1 million, respectively, available for investing and general corporate purposes.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liquidity and capital resources are sufficient to take advantage of market opportunities.</w:t>
      </w:r>
    </w:p>
    <w:p>
      <w:pPr>
        <w:spacing w:after="0" w:line="19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Our operating activities provided cash of $12.2 million for the three months ended December 31, 2014, and our financing activities used cash of $14.9 million for the same period.</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Our operating activities provided cash primarily from sales and repayments on our investments and our financing activities used cash primarily from net repayments under the Credit Facility.</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Our operating activities used cash of $34.9 million for the three months ended December 31, 2013, and our financing activities provided cash of $35.7 million for the same period.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Our operating activities used cash primarily for our investment activities and our financing activities provided cash primarily from net draws under the Credit Facility.</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 summary of our significant contractual payment obligations as of December 31, 2014, including borrowings under our Credit Facility and other contractual obligations, is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85"/>
              </w:rPr>
              <w:t>Payments due by period (millions)</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10"/>
        </w:trPr>
        <w:tc>
          <w:tcPr>
            <w:tcW w:w="4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160"/>
              <w:spacing w:after="0" w:line="110" w:lineRule="exact"/>
              <w:rPr>
                <w:sz w:val="20"/>
                <w:szCs w:val="20"/>
                <w:color w:val="auto"/>
              </w:rPr>
            </w:pPr>
            <w:r>
              <w:rPr>
                <w:rFonts w:ascii="Arial" w:cs="Arial" w:eastAsia="Arial" w:hAnsi="Arial"/>
                <w:sz w:val="12"/>
                <w:szCs w:val="12"/>
                <w:b w:val="1"/>
                <w:bCs w:val="1"/>
                <w:color w:val="auto"/>
                <w:w w:val="92"/>
              </w:rPr>
              <w:t>Less than</w:t>
            </w: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ind w:right="253"/>
              <w:spacing w:after="0" w:line="110" w:lineRule="exact"/>
              <w:rPr>
                <w:sz w:val="20"/>
                <w:szCs w:val="20"/>
                <w:color w:val="auto"/>
              </w:rPr>
            </w:pPr>
            <w:r>
              <w:rPr>
                <w:rFonts w:ascii="Arial" w:cs="Arial" w:eastAsia="Arial" w:hAnsi="Arial"/>
                <w:sz w:val="12"/>
                <w:szCs w:val="12"/>
                <w:b w:val="1"/>
                <w:bCs w:val="1"/>
                <w:color w:val="auto"/>
              </w:rPr>
              <w:t>1-3</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ind w:right="253"/>
              <w:spacing w:after="0" w:line="110" w:lineRule="exact"/>
              <w:rPr>
                <w:sz w:val="20"/>
                <w:szCs w:val="20"/>
                <w:color w:val="auto"/>
              </w:rPr>
            </w:pPr>
            <w:r>
              <w:rPr>
                <w:rFonts w:ascii="Arial" w:cs="Arial" w:eastAsia="Arial" w:hAnsi="Arial"/>
                <w:sz w:val="12"/>
                <w:szCs w:val="12"/>
                <w:b w:val="1"/>
                <w:bCs w:val="1"/>
                <w:color w:val="auto"/>
              </w:rPr>
              <w:t>3-5</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33"/>
              <w:spacing w:after="0" w:line="110" w:lineRule="exact"/>
              <w:rPr>
                <w:sz w:val="20"/>
                <w:szCs w:val="20"/>
                <w:color w:val="auto"/>
              </w:rPr>
            </w:pPr>
            <w:r>
              <w:rPr>
                <w:rFonts w:ascii="Arial" w:cs="Arial" w:eastAsia="Arial" w:hAnsi="Arial"/>
                <w:sz w:val="12"/>
                <w:szCs w:val="12"/>
                <w:b w:val="1"/>
                <w:bCs w:val="1"/>
                <w:color w:val="auto"/>
              </w:rPr>
              <w:t>More than</w:t>
            </w:r>
          </w:p>
        </w:tc>
        <w:tc>
          <w:tcPr>
            <w:tcW w:w="80" w:type="dxa"/>
            <w:vAlign w:val="bottom"/>
          </w:tcPr>
          <w:p>
            <w:pPr>
              <w:spacing w:after="0"/>
              <w:rPr>
                <w:sz w:val="9"/>
                <w:szCs w:val="9"/>
                <w:color w:val="auto"/>
              </w:rPr>
            </w:pPr>
          </w:p>
        </w:tc>
      </w:tr>
      <w:tr>
        <w:trPr>
          <w:trHeight w:val="153"/>
        </w:trPr>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1 year</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82"/>
              </w:rPr>
              <w:t>years</w:t>
            </w:r>
          </w:p>
        </w:tc>
        <w:tc>
          <w:tcPr>
            <w:tcW w:w="160" w:type="dxa"/>
            <w:vAlign w:val="bottom"/>
          </w:tcPr>
          <w:p>
            <w:pPr>
              <w:spacing w:after="0"/>
              <w:rPr>
                <w:sz w:val="13"/>
                <w:szCs w:val="13"/>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years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5 years</w:t>
            </w:r>
          </w:p>
        </w:tc>
      </w:tr>
      <w:tr>
        <w:trPr>
          <w:trHeight w:val="142"/>
        </w:trPr>
        <w:tc>
          <w:tcPr>
            <w:tcW w:w="49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135.5</w:t>
            </w:r>
          </w:p>
        </w:tc>
        <w:tc>
          <w:tcPr>
            <w:tcW w:w="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135.5</w:t>
            </w:r>
          </w:p>
        </w:tc>
        <w:tc>
          <w:tcPr>
            <w:tcW w:w="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ind w:left="50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498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r>
      <w:tr>
        <w:trPr>
          <w:trHeight w:val="27"/>
        </w:trPr>
        <w:tc>
          <w:tcPr>
            <w:tcW w:w="4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138.5</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6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138.1</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r>
      <w:tr>
        <w:trPr>
          <w:trHeight w:val="20"/>
        </w:trPr>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2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2"/>
          <w:szCs w:val="12"/>
          <w:color w:val="auto"/>
        </w:rPr>
      </w:pPr>
      <w:r>
        <w:rPr>
          <w:rFonts w:ascii="Arial" w:cs="Arial" w:eastAsia="Arial" w:hAnsi="Arial"/>
          <w:sz w:val="14"/>
          <w:szCs w:val="14"/>
          <w:color w:val="auto"/>
        </w:rPr>
        <w:t>Unfunded investments are disclosed in the Consolidated Schedule of Investments.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firstLine="786"/>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2015,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85" w:lineRule="exact"/>
        <w:rPr>
          <w:sz w:val="20"/>
          <w:szCs w:val="20"/>
          <w:color w:val="auto"/>
        </w:rPr>
      </w:pPr>
    </w:p>
    <w:p>
      <w:pPr>
        <w:ind w:right="20" w:firstLine="786"/>
        <w:spacing w:after="0" w:line="231" w:lineRule="auto"/>
        <w:rPr>
          <w:sz w:val="20"/>
          <w:szCs w:val="20"/>
          <w:color w:val="auto"/>
        </w:rPr>
      </w:pPr>
      <w:r>
        <w:rPr>
          <w:rFonts w:ascii="Arial" w:cs="Arial" w:eastAsia="Arial" w:hAnsi="Arial"/>
          <w:sz w:val="14"/>
          <w:szCs w:val="14"/>
          <w:color w:val="auto"/>
        </w:rPr>
        <w:t>Under our Administration Agreement, which was reapproved by our board of directors, including a majority of our directors who are not interested persons of us, in February 2015,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84" w:lineRule="exact"/>
        <w:rPr>
          <w:sz w:val="20"/>
          <w:szCs w:val="20"/>
          <w:color w:val="auto"/>
        </w:rPr>
      </w:pPr>
    </w:p>
    <w:p>
      <w:pPr>
        <w:ind w:right="200" w:firstLine="786"/>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96"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14"/>
          <w:szCs w:val="14"/>
          <w:color w:val="auto"/>
        </w:rPr>
        <w:t>After quarter-end, Patriot National, Inc. priced and closed an initial public offering. Our proceeds of approximately $14 million resulted in about $0.09 per share of realized gain, an increase in NAV per share of about $0.06 and about $0.05 per share of other income. Additionally, subsequent to quarter-end, UniTek Global Services, Inc. restructured its debt, and is no longer on non-accrual status.</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60" w:firstLine="786"/>
        <w:spacing w:after="0" w:line="227" w:lineRule="auto"/>
        <w:rPr>
          <w:sz w:val="20"/>
          <w:szCs w:val="20"/>
          <w:color w:val="auto"/>
        </w:rPr>
      </w:pPr>
      <w:r>
        <w:rPr>
          <w:rFonts w:ascii="Arial" w:cs="Arial" w:eastAsia="Arial" w:hAnsi="Arial"/>
          <w:sz w:val="14"/>
          <w:szCs w:val="14"/>
          <w:color w:val="auto"/>
        </w:rPr>
        <w:t>In order to qualify as a RIC and to not be subject to corporate-level tax on income, we are required, under Subchapter M of the Code, to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86" w:lineRule="exact"/>
        <w:rPr>
          <w:sz w:val="20"/>
          <w:szCs w:val="20"/>
          <w:color w:val="auto"/>
        </w:rPr>
      </w:pPr>
    </w:p>
    <w:p>
      <w:pPr>
        <w:ind w:right="80" w:firstLine="786"/>
        <w:spacing w:after="0" w:line="233" w:lineRule="auto"/>
        <w:rPr>
          <w:sz w:val="20"/>
          <w:szCs w:val="20"/>
          <w:color w:val="auto"/>
        </w:rPr>
      </w:pPr>
      <w:r>
        <w:rPr>
          <w:rFonts w:ascii="Arial" w:cs="Arial" w:eastAsia="Arial" w:hAnsi="Arial"/>
          <w:sz w:val="14"/>
          <w:szCs w:val="14"/>
          <w:color w:val="auto"/>
        </w:rPr>
        <w:t>During the three months ended December 31, 2014 and 2013, we declared distributions of $0.27 and $0.27 per share, respectively, for total distributions of $4.0 million and $4.0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distributions will be reported to stockholders on Form 1099-DIV after the end of the calendar year and in our periodic reports filed with the SEC.</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204" w:lineRule="exact"/>
        <w:rPr>
          <w:sz w:val="20"/>
          <w:szCs w:val="20"/>
          <w:color w:val="auto"/>
        </w:rPr>
      </w:pPr>
    </w:p>
    <w:p>
      <w:pPr>
        <w:ind w:right="680" w:firstLine="786"/>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52" w:lineRule="exact"/>
        <w:rPr>
          <w:sz w:val="20"/>
          <w:szCs w:val="20"/>
          <w:color w:val="auto"/>
        </w:rPr>
      </w:pPr>
    </w:p>
    <w:p>
      <w:pPr>
        <w:ind w:right="100" w:firstLine="786"/>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85" w:lineRule="exact"/>
        <w:rPr>
          <w:sz w:val="20"/>
          <w:szCs w:val="20"/>
          <w:color w:val="auto"/>
        </w:rPr>
      </w:pPr>
    </w:p>
    <w:p>
      <w:pPr>
        <w:jc w:val="both"/>
        <w:ind w:right="60" w:firstLine="786"/>
        <w:spacing w:after="0" w:line="238"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180"/>
          </w:cols>
          <w:pgMar w:left="32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208" w:lineRule="exact"/>
        <w:rPr>
          <w:sz w:val="20"/>
          <w:szCs w:val="20"/>
          <w:color w:val="auto"/>
        </w:rPr>
      </w:pPr>
    </w:p>
    <w:p>
      <w:pPr>
        <w:ind w:firstLine="786"/>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December 31, 2014, our debt portfolio consisted of 95% variable-rate investments (including 92% with a LIBOR or prime floor) and 5%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84" w:lineRule="exact"/>
        <w:rPr>
          <w:sz w:val="20"/>
          <w:szCs w:val="20"/>
          <w:color w:val="auto"/>
        </w:rPr>
      </w:pPr>
    </w:p>
    <w:p>
      <w:pPr>
        <w:ind w:right="220" w:firstLine="786"/>
        <w:spacing w:after="0" w:line="253" w:lineRule="auto"/>
        <w:rPr>
          <w:sz w:val="20"/>
          <w:szCs w:val="20"/>
          <w:color w:val="auto"/>
        </w:rPr>
      </w:pPr>
      <w:r>
        <w:rPr>
          <w:rFonts w:ascii="Arial" w:cs="Arial" w:eastAsia="Arial" w:hAnsi="Arial"/>
          <w:sz w:val="14"/>
          <w:szCs w:val="14"/>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88"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2"/>
          </w:tcPr>
          <w:p>
            <w:pPr>
              <w:jc w:val="right"/>
              <w:ind w:right="1240"/>
              <w:spacing w:after="0"/>
              <w:rPr>
                <w:sz w:val="20"/>
                <w:szCs w:val="20"/>
                <w:color w:val="auto"/>
              </w:rPr>
            </w:pPr>
            <w:r>
              <w:rPr>
                <w:rFonts w:ascii="Arial" w:cs="Arial" w:eastAsia="Arial" w:hAnsi="Arial"/>
                <w:sz w:val="14"/>
                <w:szCs w:val="14"/>
                <w:color w:val="auto"/>
                <w:w w:val="93"/>
              </w:rPr>
              <w:t>Change In Interest</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60" w:type="dxa"/>
            <w:vAlign w:val="bottom"/>
            <w:gridSpan w:val="2"/>
            <w:vMerge w:val="restart"/>
          </w:tcPr>
          <w:p>
            <w:pPr>
              <w:spacing w:after="0"/>
              <w:rPr>
                <w:sz w:val="20"/>
                <w:szCs w:val="20"/>
                <w:color w:val="auto"/>
              </w:rPr>
            </w:pPr>
            <w:r>
              <w:rPr>
                <w:rFonts w:ascii="Arial" w:cs="Arial" w:eastAsia="Arial" w:hAnsi="Arial"/>
                <w:sz w:val="14"/>
                <w:szCs w:val="14"/>
                <w:color w:val="auto"/>
              </w:rPr>
              <w:t>Change In Interest Rates</w:t>
            </w:r>
          </w:p>
        </w:tc>
        <w:tc>
          <w:tcPr>
            <w:tcW w:w="1640" w:type="dxa"/>
            <w:vAlign w:val="bottom"/>
          </w:tcPr>
          <w:p>
            <w:pPr>
              <w:spacing w:after="0"/>
              <w:rPr>
                <w:sz w:val="12"/>
                <w:szCs w:val="12"/>
                <w:color w:val="auto"/>
              </w:rPr>
            </w:pPr>
          </w:p>
        </w:tc>
        <w:tc>
          <w:tcPr>
            <w:tcW w:w="2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Income, Net Of Interest</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60" w:type="dxa"/>
            <w:vAlign w:val="bottom"/>
            <w:gridSpan w:val="2"/>
            <w:vMerge w:val="continue"/>
          </w:tcPr>
          <w:p>
            <w:pPr>
              <w:spacing w:after="0"/>
              <w:rPr>
                <w:sz w:val="14"/>
                <w:szCs w:val="14"/>
                <w:color w:val="auto"/>
              </w:rPr>
            </w:pPr>
          </w:p>
        </w:tc>
        <w:tc>
          <w:tcPr>
            <w:tcW w:w="1640" w:type="dxa"/>
            <w:vAlign w:val="bottom"/>
          </w:tcPr>
          <w:p>
            <w:pPr>
              <w:spacing w:after="0"/>
              <w:rPr>
                <w:sz w:val="14"/>
                <w:szCs w:val="14"/>
                <w:color w:val="auto"/>
              </w:rPr>
            </w:pPr>
          </w:p>
        </w:tc>
        <w:tc>
          <w:tcPr>
            <w:tcW w:w="2460" w:type="dxa"/>
            <w:vAlign w:val="bottom"/>
            <w:gridSpan w:val="3"/>
          </w:tcPr>
          <w:p>
            <w:pPr>
              <w:ind w:left="20"/>
              <w:spacing w:after="0"/>
              <w:rPr>
                <w:sz w:val="20"/>
                <w:szCs w:val="20"/>
                <w:color w:val="auto"/>
              </w:rPr>
            </w:pPr>
            <w:r>
              <w:rPr>
                <w:rFonts w:ascii="Arial" w:cs="Arial" w:eastAsia="Arial" w:hAnsi="Arial"/>
                <w:sz w:val="14"/>
                <w:szCs w:val="14"/>
                <w:color w:val="auto"/>
              </w:rPr>
              <w:t>Expense (in thousands)</w:t>
            </w:r>
          </w:p>
        </w:tc>
        <w:tc>
          <w:tcPr>
            <w:tcW w:w="22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42"/>
        </w:trPr>
        <w:tc>
          <w:tcPr>
            <w:tcW w:w="1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Up 1%</w:t>
            </w:r>
          </w:p>
        </w:tc>
        <w:tc>
          <w:tcPr>
            <w:tcW w:w="164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(1,266)</w:t>
            </w:r>
          </w:p>
        </w:tc>
        <w:tc>
          <w:tcPr>
            <w:tcW w:w="10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(0.09)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Up 2%</w:t>
            </w:r>
          </w:p>
        </w:tc>
        <w:tc>
          <w:tcPr>
            <w:tcW w:w="1760" w:type="dxa"/>
            <w:vAlign w:val="bottom"/>
            <w:gridSpan w:val="2"/>
          </w:tcPr>
          <w:p>
            <w:pPr>
              <w:ind w:left="1640"/>
              <w:spacing w:after="0" w:line="149" w:lineRule="exact"/>
              <w:rPr>
                <w:sz w:val="20"/>
                <w:szCs w:val="20"/>
                <w:color w:val="auto"/>
              </w:rPr>
            </w:pPr>
            <w:r>
              <w:rPr>
                <w:rFonts w:ascii="Arial" w:cs="Arial" w:eastAsia="Arial" w:hAnsi="Arial"/>
                <w:sz w:val="14"/>
                <w:szCs w:val="14"/>
                <w:color w:val="auto"/>
              </w:rPr>
              <w:t>$</w:t>
            </w:r>
          </w:p>
        </w:tc>
        <w:tc>
          <w:tcPr>
            <w:tcW w:w="2340" w:type="dxa"/>
            <w:vAlign w:val="bottom"/>
            <w:gridSpan w:val="2"/>
          </w:tcPr>
          <w:p>
            <w:pPr>
              <w:jc w:val="right"/>
              <w:ind w:right="1080"/>
              <w:spacing w:after="0" w:line="149" w:lineRule="exact"/>
              <w:rPr>
                <w:sz w:val="20"/>
                <w:szCs w:val="20"/>
                <w:color w:val="auto"/>
              </w:rPr>
            </w:pPr>
            <w:r>
              <w:rPr>
                <w:rFonts w:ascii="Arial" w:cs="Arial" w:eastAsia="Arial" w:hAnsi="Arial"/>
                <w:sz w:val="14"/>
                <w:szCs w:val="14"/>
                <w:color w:val="auto"/>
              </w:rPr>
              <w:t>643</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48"/>
        </w:trPr>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3%</w:t>
            </w:r>
          </w:p>
        </w:tc>
        <w:tc>
          <w:tcPr>
            <w:tcW w:w="1760" w:type="dxa"/>
            <w:vAlign w:val="bottom"/>
            <w:gridSpan w:val="2"/>
            <w:shd w:val="clear" w:color="auto" w:fill="CCEEFF"/>
          </w:tcPr>
          <w:p>
            <w:pPr>
              <w:ind w:left="1640"/>
              <w:spacing w:after="0" w:line="149" w:lineRule="exact"/>
              <w:rPr>
                <w:sz w:val="20"/>
                <w:szCs w:val="20"/>
                <w:color w:val="auto"/>
              </w:rPr>
            </w:pPr>
            <w:r>
              <w:rPr>
                <w:rFonts w:ascii="Arial" w:cs="Arial" w:eastAsia="Arial" w:hAnsi="Arial"/>
                <w:sz w:val="14"/>
                <w:szCs w:val="14"/>
                <w:color w:val="auto"/>
              </w:rPr>
              <w:t>$</w:t>
            </w:r>
          </w:p>
        </w:tc>
        <w:tc>
          <w:tcPr>
            <w:tcW w:w="2340" w:type="dxa"/>
            <w:vAlign w:val="bottom"/>
            <w:gridSpan w:val="2"/>
            <w:shd w:val="clear" w:color="auto" w:fill="CCEEFF"/>
          </w:tcPr>
          <w:p>
            <w:pPr>
              <w:jc w:val="right"/>
              <w:ind w:right="1080"/>
              <w:spacing w:after="0" w:line="149" w:lineRule="exact"/>
              <w:rPr>
                <w:sz w:val="20"/>
                <w:szCs w:val="20"/>
                <w:color w:val="auto"/>
              </w:rPr>
            </w:pPr>
            <w:r>
              <w:rPr>
                <w:rFonts w:ascii="Arial" w:cs="Arial" w:eastAsia="Arial" w:hAnsi="Arial"/>
                <w:sz w:val="14"/>
                <w:szCs w:val="14"/>
                <w:color w:val="auto"/>
              </w:rPr>
              <w:t>2,609</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82"/>
        </w:trPr>
        <w:tc>
          <w:tcPr>
            <w:tcW w:w="3060" w:type="dxa"/>
            <w:vAlign w:val="bottom"/>
            <w:gridSpan w:val="2"/>
          </w:tcPr>
          <w:p>
            <w:pPr>
              <w:spacing w:after="0"/>
              <w:rPr>
                <w:sz w:val="20"/>
                <w:szCs w:val="20"/>
                <w:color w:val="auto"/>
              </w:rPr>
            </w:pPr>
            <w:r>
              <w:rPr>
                <w:rFonts w:ascii="Arial" w:cs="Arial" w:eastAsia="Arial" w:hAnsi="Arial"/>
                <w:sz w:val="14"/>
                <w:szCs w:val="14"/>
                <w:color w:val="auto"/>
              </w:rPr>
              <w:t>Up 4%</w:t>
            </w:r>
          </w:p>
        </w:tc>
        <w:tc>
          <w:tcPr>
            <w:tcW w:w="1760" w:type="dxa"/>
            <w:vAlign w:val="bottom"/>
            <w:gridSpan w:val="2"/>
          </w:tcPr>
          <w:p>
            <w:pPr>
              <w:ind w:left="1640"/>
              <w:spacing w:after="0"/>
              <w:rPr>
                <w:sz w:val="20"/>
                <w:szCs w:val="20"/>
                <w:color w:val="auto"/>
              </w:rPr>
            </w:pPr>
            <w:r>
              <w:rPr>
                <w:rFonts w:ascii="Arial" w:cs="Arial" w:eastAsia="Arial" w:hAnsi="Arial"/>
                <w:sz w:val="14"/>
                <w:szCs w:val="14"/>
                <w:color w:val="auto"/>
              </w:rPr>
              <w:t>$</w:t>
            </w:r>
          </w:p>
        </w:tc>
        <w:tc>
          <w:tcPr>
            <w:tcW w:w="2340" w:type="dxa"/>
            <w:vAlign w:val="bottom"/>
            <w:gridSpan w:val="2"/>
          </w:tcPr>
          <w:p>
            <w:pPr>
              <w:jc w:val="right"/>
              <w:ind w:right="1080"/>
              <w:spacing w:after="0"/>
              <w:rPr>
                <w:sz w:val="20"/>
                <w:szCs w:val="20"/>
                <w:color w:val="auto"/>
              </w:rPr>
            </w:pPr>
            <w:r>
              <w:rPr>
                <w:rFonts w:ascii="Arial" w:cs="Arial" w:eastAsia="Arial" w:hAnsi="Arial"/>
                <w:sz w:val="14"/>
                <w:szCs w:val="14"/>
                <w:color w:val="auto"/>
              </w:rPr>
              <w:t>4,575</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right="160" w:firstLine="786"/>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3" w:lineRule="exact"/>
        <w:rPr>
          <w:sz w:val="20"/>
          <w:szCs w:val="20"/>
          <w:color w:val="auto"/>
        </w:rPr>
      </w:pPr>
    </w:p>
    <w:p>
      <w:pPr>
        <w:ind w:right="200" w:firstLine="786"/>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3" w:lineRule="exact"/>
        <w:rPr>
          <w:sz w:val="20"/>
          <w:szCs w:val="20"/>
          <w:color w:val="auto"/>
        </w:rPr>
      </w:pPr>
    </w:p>
    <w:p>
      <w:pPr>
        <w:jc w:val="both"/>
        <w:ind w:right="20" w:firstLine="786"/>
        <w:spacing w:after="0" w:line="264" w:lineRule="auto"/>
        <w:rPr>
          <w:sz w:val="20"/>
          <w:szCs w:val="20"/>
          <w:color w:val="auto"/>
        </w:rPr>
      </w:pPr>
      <w:r>
        <w:rPr>
          <w:rFonts w:ascii="Arial" w:cs="Arial" w:eastAsia="Arial" w:hAnsi="Arial"/>
          <w:sz w:val="13"/>
          <w:szCs w:val="13"/>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the benefits of lower interest rates with respect to our portfolio of investments with fixed interest rates. During the periods covered by this Report, we did not engage in interest rate hedging activities.</w:t>
      </w:r>
    </w:p>
    <w:p>
      <w:pPr>
        <w:spacing w:after="0" w:line="200" w:lineRule="exact"/>
        <w:rPr>
          <w:sz w:val="20"/>
          <w:szCs w:val="20"/>
          <w:color w:val="auto"/>
        </w:rPr>
      </w:pPr>
    </w:p>
    <w:p>
      <w:pPr>
        <w:spacing w:after="0" w:line="248"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ind w:right="160" w:firstLine="786"/>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79" w:lineRule="exact"/>
        <w:rPr>
          <w:sz w:val="20"/>
          <w:szCs w:val="20"/>
          <w:color w:val="auto"/>
        </w:rPr>
      </w:pPr>
    </w:p>
    <w:p>
      <w:pPr>
        <w:ind w:right="640" w:firstLine="786"/>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December 31, 2014 that have materially affected, or are reasonably likely to materially affect, our internal control over financial reporting.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10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27" w:lineRule="exact"/>
        <w:rPr>
          <w:sz w:val="20"/>
          <w:szCs w:val="20"/>
          <w:color w:val="auto"/>
        </w:rPr>
      </w:pPr>
    </w:p>
    <w:p>
      <w:pPr>
        <w:ind w:right="40" w:firstLine="786"/>
        <w:spacing w:after="0" w:line="255" w:lineRule="auto"/>
        <w:rPr>
          <w:sz w:val="20"/>
          <w:szCs w:val="20"/>
          <w:color w:val="auto"/>
        </w:rPr>
      </w:pPr>
      <w:r>
        <w:rPr>
          <w:rFonts w:ascii="Arial" w:cs="Arial" w:eastAsia="Arial" w:hAnsi="Arial"/>
          <w:sz w:val="13"/>
          <w:szCs w:val="13"/>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our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31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ind w:firstLine="786"/>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2014, which could materially affect our business, financial condition and/or operating results. The risks described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32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None.</w:t>
      </w:r>
    </w:p>
    <w:p>
      <w:pPr>
        <w:spacing w:after="0" w:line="348"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None.</w:t>
      </w:r>
    </w:p>
    <w:p>
      <w:pPr>
        <w:spacing w:after="0" w:line="348"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Not Applicable.</w:t>
      </w:r>
    </w:p>
    <w:p>
      <w:pPr>
        <w:spacing w:after="0" w:line="348"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60" w:type="dxa"/>
            <w:vAlign w:val="bottom"/>
          </w:tcPr>
          <w:p>
            <w:pPr>
              <w:jc w:val="right"/>
              <w:ind w:right="208"/>
              <w:spacing w:after="0"/>
              <w:rPr>
                <w:sz w:val="20"/>
                <w:szCs w:val="20"/>
                <w:color w:val="auto"/>
              </w:rPr>
            </w:pPr>
            <w:r>
              <w:rPr>
                <w:rFonts w:ascii="Arial" w:cs="Arial" w:eastAsia="Arial" w:hAnsi="Arial"/>
                <w:sz w:val="14"/>
                <w:szCs w:val="14"/>
                <w:color w:val="auto"/>
                <w:w w:val="81"/>
              </w:rPr>
              <w:t>3.1</w:t>
            </w:r>
          </w:p>
        </w:tc>
        <w:tc>
          <w:tcPr>
            <w:tcW w:w="10660" w:type="dxa"/>
            <w:vAlign w:val="bottom"/>
          </w:tcPr>
          <w:p>
            <w:pPr>
              <w:ind w:left="260"/>
              <w:spacing w:after="0"/>
              <w:rPr>
                <w:sz w:val="20"/>
                <w:szCs w:val="20"/>
                <w:color w:val="auto"/>
              </w:rPr>
            </w:pPr>
            <w:r>
              <w:rPr>
                <w:rFonts w:ascii="Arial" w:cs="Arial" w:eastAsia="Arial" w:hAnsi="Arial"/>
                <w:sz w:val="14"/>
                <w:szCs w:val="14"/>
                <w:color w:val="auto"/>
                <w:w w:val="93"/>
              </w:rPr>
              <w:t>Articles of Amendment and Restatement of the Registrant (Incorporated by reference to the Registrant’s Pre-Effective Amendment No. 3 to the Registration Statement on Form N-2</w:t>
            </w:r>
          </w:p>
        </w:tc>
      </w:tr>
      <w:tr>
        <w:trPr>
          <w:trHeight w:val="182"/>
        </w:trPr>
        <w:tc>
          <w:tcPr>
            <w:tcW w:w="460" w:type="dxa"/>
            <w:vAlign w:val="bottom"/>
          </w:tcPr>
          <w:p>
            <w:pPr>
              <w:spacing w:after="0"/>
              <w:rPr>
                <w:sz w:val="15"/>
                <w:szCs w:val="15"/>
                <w:color w:val="auto"/>
              </w:rPr>
            </w:pPr>
          </w:p>
        </w:tc>
        <w:tc>
          <w:tcPr>
            <w:tcW w:w="10660" w:type="dxa"/>
            <w:vAlign w:val="bottom"/>
          </w:tcPr>
          <w:p>
            <w:pPr>
              <w:ind w:left="260"/>
              <w:spacing w:after="0"/>
              <w:rPr>
                <w:sz w:val="20"/>
                <w:szCs w:val="20"/>
                <w:color w:val="auto"/>
              </w:rPr>
            </w:pPr>
            <w:r>
              <w:rPr>
                <w:rFonts w:ascii="Arial" w:cs="Arial" w:eastAsia="Arial" w:hAnsi="Arial"/>
                <w:sz w:val="14"/>
                <w:szCs w:val="14"/>
                <w:color w:val="auto"/>
              </w:rPr>
              <w:t>(File No. 333-170243), filed on March 29, 2011).</w:t>
            </w:r>
          </w:p>
        </w:tc>
      </w:tr>
      <w:tr>
        <w:trPr>
          <w:trHeight w:val="223"/>
        </w:trPr>
        <w:tc>
          <w:tcPr>
            <w:tcW w:w="460" w:type="dxa"/>
            <w:vAlign w:val="bottom"/>
          </w:tcPr>
          <w:p>
            <w:pPr>
              <w:jc w:val="right"/>
              <w:ind w:right="208"/>
              <w:spacing w:after="0"/>
              <w:rPr>
                <w:sz w:val="20"/>
                <w:szCs w:val="20"/>
                <w:color w:val="auto"/>
              </w:rPr>
            </w:pPr>
            <w:r>
              <w:rPr>
                <w:rFonts w:ascii="Arial" w:cs="Arial" w:eastAsia="Arial" w:hAnsi="Arial"/>
                <w:sz w:val="14"/>
                <w:szCs w:val="14"/>
                <w:color w:val="auto"/>
                <w:w w:val="81"/>
              </w:rPr>
              <w:t>3.2</w:t>
            </w:r>
          </w:p>
        </w:tc>
        <w:tc>
          <w:tcPr>
            <w:tcW w:w="10660" w:type="dxa"/>
            <w:vAlign w:val="bottom"/>
          </w:tcPr>
          <w:p>
            <w:pPr>
              <w:ind w:left="260"/>
              <w:spacing w:after="0"/>
              <w:rPr>
                <w:sz w:val="20"/>
                <w:szCs w:val="20"/>
                <w:color w:val="auto"/>
              </w:rPr>
            </w:pPr>
            <w:r>
              <w:rPr>
                <w:rFonts w:ascii="Arial" w:cs="Arial" w:eastAsia="Arial" w:hAnsi="Arial"/>
                <w:sz w:val="14"/>
                <w:szCs w:val="14"/>
                <w:color w:val="auto"/>
              </w:rPr>
              <w:t>Amended and Restated Bylaws of the Registrant (Incorporated by reference to the Registrant’s Annual Report on Form 10-K (File No. 814-00891),</w:t>
            </w:r>
          </w:p>
        </w:tc>
      </w:tr>
      <w:tr>
        <w:trPr>
          <w:trHeight w:val="182"/>
        </w:trPr>
        <w:tc>
          <w:tcPr>
            <w:tcW w:w="460" w:type="dxa"/>
            <w:vAlign w:val="bottom"/>
          </w:tcPr>
          <w:p>
            <w:pPr>
              <w:spacing w:after="0"/>
              <w:rPr>
                <w:sz w:val="15"/>
                <w:szCs w:val="15"/>
                <w:color w:val="auto"/>
              </w:rPr>
            </w:pPr>
          </w:p>
        </w:tc>
        <w:tc>
          <w:tcPr>
            <w:tcW w:w="10660" w:type="dxa"/>
            <w:vAlign w:val="bottom"/>
          </w:tcPr>
          <w:p>
            <w:pPr>
              <w:ind w:left="260"/>
              <w:spacing w:after="0"/>
              <w:rPr>
                <w:sz w:val="20"/>
                <w:szCs w:val="20"/>
                <w:color w:val="auto"/>
              </w:rPr>
            </w:pPr>
            <w:r>
              <w:rPr>
                <w:rFonts w:ascii="Arial" w:cs="Arial" w:eastAsia="Arial" w:hAnsi="Arial"/>
                <w:sz w:val="14"/>
                <w:szCs w:val="14"/>
                <w:color w:val="auto"/>
              </w:rPr>
              <w:t>filed on November 14, 2013).</w:t>
            </w:r>
          </w:p>
        </w:tc>
      </w:tr>
      <w:tr>
        <w:trPr>
          <w:trHeight w:val="236"/>
        </w:trPr>
        <w:tc>
          <w:tcPr>
            <w:tcW w:w="460" w:type="dxa"/>
            <w:vAlign w:val="bottom"/>
          </w:tcPr>
          <w:p>
            <w:pPr>
              <w:jc w:val="right"/>
              <w:ind w:right="208"/>
              <w:spacing w:after="0"/>
              <w:rPr>
                <w:sz w:val="20"/>
                <w:szCs w:val="20"/>
                <w:color w:val="auto"/>
              </w:rPr>
            </w:pPr>
            <w:r>
              <w:rPr>
                <w:rFonts w:ascii="Arial" w:cs="Arial" w:eastAsia="Arial" w:hAnsi="Arial"/>
                <w:sz w:val="14"/>
                <w:szCs w:val="14"/>
                <w:color w:val="auto"/>
                <w:w w:val="81"/>
              </w:rPr>
              <w:t>4.1</w:t>
            </w:r>
          </w:p>
        </w:tc>
        <w:tc>
          <w:tcPr>
            <w:tcW w:w="10660" w:type="dxa"/>
            <w:vAlign w:val="bottom"/>
          </w:tcPr>
          <w:p>
            <w:pPr>
              <w:ind w:left="260"/>
              <w:spacing w:after="0"/>
              <w:rPr>
                <w:sz w:val="20"/>
                <w:szCs w:val="20"/>
                <w:color w:val="auto"/>
              </w:rPr>
            </w:pPr>
            <w:r>
              <w:rPr>
                <w:rFonts w:ascii="Arial" w:cs="Arial" w:eastAsia="Arial" w:hAnsi="Arial"/>
                <w:sz w:val="14"/>
                <w:szCs w:val="14"/>
                <w:color w:val="auto"/>
              </w:rPr>
              <w:t>Form of Share Certificate (Incorporated by reference to the Registrant’s Pre-Effective Amendment No. 5 to the Registration Statement on Form N-2</w:t>
            </w:r>
          </w:p>
        </w:tc>
      </w:tr>
      <w:tr>
        <w:trPr>
          <w:trHeight w:val="182"/>
        </w:trPr>
        <w:tc>
          <w:tcPr>
            <w:tcW w:w="460" w:type="dxa"/>
            <w:vAlign w:val="bottom"/>
          </w:tcPr>
          <w:p>
            <w:pPr>
              <w:spacing w:after="0"/>
              <w:rPr>
                <w:sz w:val="15"/>
                <w:szCs w:val="15"/>
                <w:color w:val="auto"/>
              </w:rPr>
            </w:pPr>
          </w:p>
        </w:tc>
        <w:tc>
          <w:tcPr>
            <w:tcW w:w="10660" w:type="dxa"/>
            <w:vAlign w:val="bottom"/>
          </w:tcPr>
          <w:p>
            <w:pPr>
              <w:ind w:left="260"/>
              <w:spacing w:after="0"/>
              <w:rPr>
                <w:sz w:val="20"/>
                <w:szCs w:val="20"/>
                <w:color w:val="auto"/>
              </w:rPr>
            </w:pPr>
            <w:r>
              <w:rPr>
                <w:rFonts w:ascii="Arial" w:cs="Arial" w:eastAsia="Arial" w:hAnsi="Arial"/>
                <w:sz w:val="14"/>
                <w:szCs w:val="14"/>
                <w:color w:val="auto"/>
              </w:rPr>
              <w:t>(File No. 333-170243), filed on April 5, 2011).</w:t>
            </w:r>
          </w:p>
        </w:tc>
      </w:tr>
    </w:tbl>
    <w:p>
      <w:pPr>
        <w:spacing w:after="0" w:line="88" w:lineRule="exact"/>
        <w:rPr>
          <w:sz w:val="20"/>
          <w:szCs w:val="20"/>
          <w:color w:val="auto"/>
        </w:rPr>
      </w:pPr>
    </w:p>
    <w:p>
      <w:pPr>
        <w:ind w:left="800" w:hanging="792"/>
        <w:spacing w:after="0"/>
        <w:tabs>
          <w:tab w:leader="none" w:pos="8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Consolidated Financial Statements contained in this Report).</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 *</w:t>
      </w:r>
      <w:r>
        <w:rPr>
          <w:rFonts w:ascii="Arial" w:cs="Arial" w:eastAsia="Arial" w:hAnsi="Arial"/>
          <w:sz w:val="13"/>
          <w:szCs w:val="13"/>
          <w:color w:val="auto"/>
        </w:rPr>
        <w:t>Certification of Chief Executive Officer pursuant to Rule 13a-14 of the Securities Exchange Act of 1934, as amended.</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 *</w:t>
      </w:r>
      <w:r>
        <w:rPr>
          <w:rFonts w:ascii="Arial" w:cs="Arial" w:eastAsia="Arial" w:hAnsi="Arial"/>
          <w:sz w:val="13"/>
          <w:szCs w:val="13"/>
          <w:color w:val="auto"/>
        </w:rPr>
        <w:t>Certification of Chief Financial Officer pursuant to Rule 13a-14 of the Securities Exchange Act of 1934, as amended.</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 *</w:t>
      </w:r>
      <w:r>
        <w:rPr>
          <w:rFonts w:ascii="Arial" w:cs="Arial" w:eastAsia="Arial" w:hAnsi="Arial"/>
          <w:sz w:val="13"/>
          <w:szCs w:val="13"/>
          <w:color w:val="auto"/>
        </w:rPr>
        <w:t>Certification of Chief Executive Officer pursuant to section 906 of The Sarbanes-Oxley Act of 2002.</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 *</w:t>
      </w:r>
      <w:r>
        <w:rPr>
          <w:rFonts w:ascii="Arial" w:cs="Arial" w:eastAsia="Arial" w:hAnsi="Arial"/>
          <w:sz w:val="13"/>
          <w:szCs w:val="13"/>
          <w:color w:val="auto"/>
        </w:rPr>
        <w:t>Certification of Chief Financial Officer pursuant to section 906 of The Sarbanes-Oxley Act of 2002.</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3"/>
          <w:szCs w:val="13"/>
          <w:color w:val="auto"/>
        </w:rPr>
        <w:t>Privacy Policy of the Registrant (Incorporated by reference to the Registrant’s Annual Report on Form 10-K (File No. 814-00891), filed on November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12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00"/>
          </w:cols>
          <w:pgMar w:left="32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right="540" w:firstLine="786"/>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280" w:type="dxa"/>
            <w:vAlign w:val="bottom"/>
          </w:tcPr>
          <w:p>
            <w:pPr>
              <w:ind w:left="800"/>
              <w:spacing w:after="0"/>
              <w:rPr>
                <w:sz w:val="20"/>
                <w:szCs w:val="20"/>
                <w:color w:val="auto"/>
              </w:rPr>
            </w:pPr>
            <w:r>
              <w:rPr>
                <w:rFonts w:ascii="Arial" w:cs="Arial" w:eastAsia="Arial" w:hAnsi="Arial"/>
                <w:sz w:val="14"/>
                <w:szCs w:val="14"/>
                <w:color w:val="auto"/>
              </w:rPr>
              <w:t>PENNANTPARK FLOATING RATE CAPITAL LTD.</w:t>
            </w:r>
          </w:p>
        </w:tc>
      </w:tr>
      <w:tr>
        <w:trPr>
          <w:trHeight w:val="350"/>
        </w:trPr>
        <w:tc>
          <w:tcPr>
            <w:tcW w:w="3440" w:type="dxa"/>
            <w:vAlign w:val="bottom"/>
          </w:tcPr>
          <w:p>
            <w:pPr>
              <w:spacing w:after="0"/>
              <w:rPr>
                <w:sz w:val="20"/>
                <w:szCs w:val="20"/>
                <w:color w:val="auto"/>
              </w:rPr>
            </w:pPr>
            <w:r>
              <w:rPr>
                <w:rFonts w:ascii="Arial" w:cs="Arial" w:eastAsia="Arial" w:hAnsi="Arial"/>
                <w:sz w:val="14"/>
                <w:szCs w:val="14"/>
                <w:color w:val="auto"/>
              </w:rPr>
              <w:t>Date: February 5, 2015</w:t>
            </w:r>
          </w:p>
        </w:tc>
        <w:tc>
          <w:tcPr>
            <w:tcW w:w="2520" w:type="dxa"/>
            <w:vAlign w:val="bottom"/>
          </w:tcPr>
          <w:p>
            <w:pPr>
              <w:ind w:left="2200"/>
              <w:spacing w:after="0"/>
              <w:rPr>
                <w:sz w:val="20"/>
                <w:szCs w:val="20"/>
                <w:color w:val="auto"/>
              </w:rPr>
            </w:pPr>
            <w:r>
              <w:rPr>
                <w:rFonts w:ascii="Arial" w:cs="Arial" w:eastAsia="Arial" w:hAnsi="Arial"/>
                <w:sz w:val="14"/>
                <w:szCs w:val="14"/>
                <w:color w:val="auto"/>
              </w:rPr>
              <w:t>By:</w:t>
            </w:r>
          </w:p>
        </w:tc>
        <w:tc>
          <w:tcPr>
            <w:tcW w:w="52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/s/  Arthur H. Penn</w:t>
            </w:r>
          </w:p>
        </w:tc>
      </w:tr>
      <w:tr>
        <w:trPr>
          <w:trHeight w:val="133"/>
        </w:trPr>
        <w:tc>
          <w:tcPr>
            <w:tcW w:w="34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52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Arthur H. Penn</w:t>
            </w:r>
          </w:p>
        </w:tc>
      </w:tr>
      <w:tr>
        <w:trPr>
          <w:trHeight w:val="148"/>
        </w:trPr>
        <w:tc>
          <w:tcPr>
            <w:tcW w:w="34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 Directors</w:t>
            </w:r>
          </w:p>
        </w:tc>
      </w:tr>
      <w:tr>
        <w:trPr>
          <w:trHeight w:val="186"/>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Executive Officer)</w:t>
            </w:r>
          </w:p>
        </w:tc>
      </w:tr>
      <w:tr>
        <w:trPr>
          <w:trHeight w:val="363"/>
        </w:trPr>
        <w:tc>
          <w:tcPr>
            <w:tcW w:w="3440" w:type="dxa"/>
            <w:vAlign w:val="bottom"/>
          </w:tcPr>
          <w:p>
            <w:pPr>
              <w:spacing w:after="0"/>
              <w:rPr>
                <w:sz w:val="20"/>
                <w:szCs w:val="20"/>
                <w:color w:val="auto"/>
              </w:rPr>
            </w:pPr>
            <w:r>
              <w:rPr>
                <w:rFonts w:ascii="Arial" w:cs="Arial" w:eastAsia="Arial" w:hAnsi="Arial"/>
                <w:sz w:val="14"/>
                <w:szCs w:val="14"/>
                <w:color w:val="auto"/>
              </w:rPr>
              <w:t>Date: February 5, 2015</w:t>
            </w:r>
          </w:p>
        </w:tc>
        <w:tc>
          <w:tcPr>
            <w:tcW w:w="2520" w:type="dxa"/>
            <w:vAlign w:val="bottom"/>
          </w:tcPr>
          <w:p>
            <w:pPr>
              <w:ind w:left="2200"/>
              <w:spacing w:after="0"/>
              <w:rPr>
                <w:sz w:val="20"/>
                <w:szCs w:val="20"/>
                <w:color w:val="auto"/>
              </w:rPr>
            </w:pPr>
            <w:r>
              <w:rPr>
                <w:rFonts w:ascii="Arial" w:cs="Arial" w:eastAsia="Arial" w:hAnsi="Arial"/>
                <w:sz w:val="14"/>
                <w:szCs w:val="14"/>
                <w:color w:val="auto"/>
              </w:rPr>
              <w:t>By:</w:t>
            </w:r>
          </w:p>
        </w:tc>
        <w:tc>
          <w:tcPr>
            <w:tcW w:w="52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/s/  Aviv Efrat</w:t>
            </w:r>
          </w:p>
        </w:tc>
      </w:tr>
      <w:tr>
        <w:trPr>
          <w:trHeight w:val="133"/>
        </w:trPr>
        <w:tc>
          <w:tcPr>
            <w:tcW w:w="34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52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Aviv Efrat</w:t>
            </w:r>
          </w:p>
        </w:tc>
      </w:tr>
      <w:tr>
        <w:trPr>
          <w:trHeight w:val="148"/>
        </w:trPr>
        <w:tc>
          <w:tcPr>
            <w:tcW w:w="34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Financial Officer and Treasurer</w:t>
            </w:r>
          </w:p>
        </w:tc>
      </w:tr>
      <w:tr>
        <w:trPr>
          <w:trHeight w:val="186"/>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and Accounting Officer)</w:t>
            </w:r>
          </w:p>
        </w:tc>
      </w:tr>
      <w:tr>
        <w:trPr>
          <w:trHeight w:val="310"/>
        </w:trPr>
        <w:tc>
          <w:tcPr>
            <w:tcW w:w="3440" w:type="dxa"/>
            <w:vAlign w:val="bottom"/>
          </w:tcPr>
          <w:p>
            <w:pPr>
              <w:spacing w:after="0"/>
              <w:rPr>
                <w:sz w:val="24"/>
                <w:szCs w:val="24"/>
                <w:color w:val="auto"/>
              </w:rPr>
            </w:pPr>
          </w:p>
        </w:tc>
        <w:tc>
          <w:tcPr>
            <w:tcW w:w="2520" w:type="dxa"/>
            <w:vAlign w:val="bottom"/>
          </w:tcPr>
          <w:p>
            <w:pPr>
              <w:jc w:val="right"/>
              <w:ind w:right="188"/>
              <w:spacing w:after="0"/>
              <w:rPr>
                <w:sz w:val="20"/>
                <w:szCs w:val="20"/>
                <w:color w:val="auto"/>
              </w:rPr>
            </w:pPr>
            <w:r>
              <w:rPr>
                <w:rFonts w:ascii="Arial" w:cs="Arial" w:eastAsia="Arial" w:hAnsi="Arial"/>
                <w:sz w:val="14"/>
                <w:szCs w:val="14"/>
                <w:color w:val="auto"/>
              </w:rPr>
              <w:t>35</w:t>
            </w:r>
          </w:p>
        </w:tc>
        <w:tc>
          <w:tcPr>
            <w:tcW w:w="52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3"/>
          <w:szCs w:val="13"/>
          <w:b w:val="1"/>
          <w:bCs w:val="1"/>
          <w:color w:val="auto"/>
        </w:rPr>
        <w:t>EXHIBIT 31.1</w:t>
      </w:r>
    </w:p>
    <w:p>
      <w:pPr>
        <w:spacing w:after="0" w:line="16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CHIEF EXECUTIVE OFFICER CERTIFICATION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I, Arthur H. Penn, Chief Executive Officer of PennantPark Floating Rate Capital Ltd., certify that:</w:t>
      </w:r>
    </w:p>
    <w:p>
      <w:pPr>
        <w:spacing w:after="0" w:line="161" w:lineRule="exact"/>
        <w:rPr>
          <w:sz w:val="20"/>
          <w:szCs w:val="20"/>
          <w:color w:val="auto"/>
        </w:rPr>
      </w:pPr>
    </w:p>
    <w:p>
      <w:pPr>
        <w:ind w:left="480" w:hanging="135"/>
        <w:spacing w:after="0"/>
        <w:tabs>
          <w:tab w:leader="none" w:pos="4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 have reviewed this Report on Form 10-Q of PennantPark Floating Rate Capital Ltd.;</w:t>
      </w:r>
    </w:p>
    <w:p>
      <w:pPr>
        <w:spacing w:after="0" w:line="161" w:lineRule="exact"/>
        <w:rPr>
          <w:rFonts w:ascii="Arial" w:cs="Arial" w:eastAsia="Arial" w:hAnsi="Arial"/>
          <w:sz w:val="13"/>
          <w:szCs w:val="13"/>
          <w:color w:val="auto"/>
        </w:rPr>
      </w:pPr>
    </w:p>
    <w:p>
      <w:pPr>
        <w:ind w:right="340" w:firstLine="345"/>
        <w:spacing w:after="0" w:line="274" w:lineRule="auto"/>
        <w:tabs>
          <w:tab w:leader="none" w:pos="472" w:val="left"/>
        </w:tabs>
        <w:numPr>
          <w:ilvl w:val="0"/>
          <w:numId w:val="1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3"/>
          <w:szCs w:val="13"/>
          <w:color w:val="auto"/>
        </w:rPr>
      </w:pPr>
    </w:p>
    <w:p>
      <w:pPr>
        <w:ind w:right="120" w:firstLine="345"/>
        <w:spacing w:after="0" w:line="274" w:lineRule="auto"/>
        <w:tabs>
          <w:tab w:leader="none" w:pos="472" w:val="left"/>
        </w:tabs>
        <w:numPr>
          <w:ilvl w:val="0"/>
          <w:numId w:val="1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3"/>
          <w:szCs w:val="13"/>
          <w:color w:val="auto"/>
        </w:rPr>
      </w:pPr>
    </w:p>
    <w:p>
      <w:pPr>
        <w:ind w:right="280" w:firstLine="345"/>
        <w:spacing w:after="0" w:line="274" w:lineRule="auto"/>
        <w:tabs>
          <w:tab w:leader="none" w:pos="472"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3"/>
          <w:szCs w:val="13"/>
          <w:color w:val="auto"/>
        </w:rPr>
      </w:pPr>
    </w:p>
    <w:p>
      <w:pPr>
        <w:ind w:right="100" w:firstLine="794"/>
        <w:spacing w:after="0" w:line="274" w:lineRule="auto"/>
        <w:tabs>
          <w:tab w:leader="none" w:pos="925" w:val="left"/>
        </w:tabs>
        <w:numPr>
          <w:ilvl w:val="1"/>
          <w:numId w:val="1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17" w:lineRule="exact"/>
        <w:rPr>
          <w:rFonts w:ascii="Arial" w:cs="Arial" w:eastAsia="Arial" w:hAnsi="Arial"/>
          <w:sz w:val="13"/>
          <w:szCs w:val="13"/>
          <w:color w:val="auto"/>
        </w:rPr>
      </w:pPr>
    </w:p>
    <w:p>
      <w:pPr>
        <w:ind w:right="500" w:firstLine="794"/>
        <w:spacing w:after="0" w:line="274" w:lineRule="auto"/>
        <w:tabs>
          <w:tab w:leader="none" w:pos="932" w:val="left"/>
        </w:tabs>
        <w:numPr>
          <w:ilvl w:val="1"/>
          <w:numId w:val="1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7" w:lineRule="exact"/>
        <w:rPr>
          <w:rFonts w:ascii="Arial" w:cs="Arial" w:eastAsia="Arial" w:hAnsi="Arial"/>
          <w:sz w:val="13"/>
          <w:szCs w:val="13"/>
          <w:color w:val="auto"/>
        </w:rPr>
      </w:pPr>
    </w:p>
    <w:p>
      <w:pPr>
        <w:ind w:right="620" w:firstLine="794"/>
        <w:spacing w:after="0" w:line="274" w:lineRule="auto"/>
        <w:tabs>
          <w:tab w:leader="none" w:pos="925" w:val="left"/>
        </w:tabs>
        <w:numPr>
          <w:ilvl w:val="1"/>
          <w:numId w:val="1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3"/>
          <w:szCs w:val="13"/>
          <w:color w:val="auto"/>
        </w:rPr>
      </w:pPr>
    </w:p>
    <w:p>
      <w:pPr>
        <w:ind w:right="60" w:firstLine="794"/>
        <w:spacing w:after="0" w:line="274" w:lineRule="auto"/>
        <w:tabs>
          <w:tab w:leader="none" w:pos="932" w:val="left"/>
        </w:tabs>
        <w:numPr>
          <w:ilvl w:val="1"/>
          <w:numId w:val="1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3"/>
          <w:szCs w:val="13"/>
          <w:color w:val="auto"/>
        </w:rPr>
      </w:pPr>
    </w:p>
    <w:p>
      <w:pPr>
        <w:ind w:right="40" w:firstLine="345"/>
        <w:spacing w:after="0" w:line="274" w:lineRule="auto"/>
        <w:tabs>
          <w:tab w:leader="none" w:pos="472"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Arial" w:cs="Arial" w:eastAsia="Arial" w:hAnsi="Arial"/>
          <w:sz w:val="13"/>
          <w:szCs w:val="13"/>
          <w:color w:val="auto"/>
        </w:rPr>
      </w:pPr>
    </w:p>
    <w:p>
      <w:pPr>
        <w:ind w:right="380" w:firstLine="794"/>
        <w:spacing w:after="0" w:line="274" w:lineRule="auto"/>
        <w:tabs>
          <w:tab w:leader="none" w:pos="925" w:val="left"/>
        </w:tabs>
        <w:numPr>
          <w:ilvl w:val="1"/>
          <w:numId w:val="1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3"/>
          <w:szCs w:val="13"/>
          <w:color w:val="auto"/>
        </w:rPr>
      </w:pPr>
    </w:p>
    <w:p>
      <w:pPr>
        <w:ind w:left="940" w:hanging="146"/>
        <w:spacing w:after="0"/>
        <w:tabs>
          <w:tab w:leader="none" w:pos="940" w:val="left"/>
        </w:tabs>
        <w:numPr>
          <w:ilvl w:val="1"/>
          <w:numId w:val="1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Dated: February 5, 2015</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6"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color w:val="auto"/>
        </w:rPr>
        <w:t>Name:</w:t>
        <w:tab/>
        <w:t>Arthur H. Penn</w:t>
      </w:r>
    </w:p>
    <w:p>
      <w:pPr>
        <w:spacing w:after="0" w:line="11"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color w:val="auto"/>
        </w:rPr>
        <w:t>Title:</w:t>
        <w:tab/>
        <w:t>Chief Executive Officer</w:t>
      </w:r>
    </w:p>
    <w:p>
      <w:pPr>
        <w:sectPr>
          <w:pgSz w:w="11900" w:h="16838" w:orient="portrait"/>
          <w:cols w:equalWidth="0" w:num="1">
            <w:col w:w="11240"/>
          </w:cols>
          <w:pgMar w:left="320" w:top="12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3"/>
          <w:szCs w:val="13"/>
          <w:b w:val="1"/>
          <w:bCs w:val="1"/>
          <w:color w:val="auto"/>
        </w:rPr>
        <w:t>EXHIBIT 31.2</w:t>
      </w:r>
    </w:p>
    <w:p>
      <w:pPr>
        <w:spacing w:after="0" w:line="16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CHIEF FINANCIAL OFFICER CERTIFICATION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I, Aviv Efrat, Chief Financial Officer of PennantPark Floating Rate Capital Ltd., certify that:</w:t>
      </w:r>
    </w:p>
    <w:p>
      <w:pPr>
        <w:spacing w:after="0" w:line="161" w:lineRule="exact"/>
        <w:rPr>
          <w:sz w:val="20"/>
          <w:szCs w:val="20"/>
          <w:color w:val="auto"/>
        </w:rPr>
      </w:pPr>
    </w:p>
    <w:p>
      <w:pPr>
        <w:ind w:left="480" w:hanging="135"/>
        <w:spacing w:after="0"/>
        <w:tabs>
          <w:tab w:leader="none" w:pos="4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 have reviewed this Report on Form 10-Q of PennantPark Floating Rate Capital Ltd.;</w:t>
      </w:r>
    </w:p>
    <w:p>
      <w:pPr>
        <w:spacing w:after="0" w:line="161" w:lineRule="exact"/>
        <w:rPr>
          <w:rFonts w:ascii="Arial" w:cs="Arial" w:eastAsia="Arial" w:hAnsi="Arial"/>
          <w:sz w:val="13"/>
          <w:szCs w:val="13"/>
          <w:color w:val="auto"/>
        </w:rPr>
      </w:pPr>
    </w:p>
    <w:p>
      <w:pPr>
        <w:ind w:right="340" w:firstLine="345"/>
        <w:spacing w:after="0" w:line="274" w:lineRule="auto"/>
        <w:tabs>
          <w:tab w:leader="none" w:pos="472" w:val="left"/>
        </w:tabs>
        <w:numPr>
          <w:ilvl w:val="0"/>
          <w:numId w:val="1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3"/>
          <w:szCs w:val="13"/>
          <w:color w:val="auto"/>
        </w:rPr>
      </w:pPr>
    </w:p>
    <w:p>
      <w:pPr>
        <w:ind w:right="120" w:firstLine="345"/>
        <w:spacing w:after="0" w:line="274" w:lineRule="auto"/>
        <w:tabs>
          <w:tab w:leader="none" w:pos="472" w:val="left"/>
        </w:tabs>
        <w:numPr>
          <w:ilvl w:val="0"/>
          <w:numId w:val="1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3"/>
          <w:szCs w:val="13"/>
          <w:color w:val="auto"/>
        </w:rPr>
      </w:pPr>
    </w:p>
    <w:p>
      <w:pPr>
        <w:ind w:right="80" w:firstLine="345"/>
        <w:spacing w:after="0" w:line="274" w:lineRule="auto"/>
        <w:tabs>
          <w:tab w:leader="none" w:pos="472"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internal control over financial reporting (as defined in Exchange Act Rules 13a-15(f) and 15d-15(f)) for the registrant and have:</w:t>
      </w:r>
    </w:p>
    <w:p>
      <w:pPr>
        <w:spacing w:after="0" w:line="117" w:lineRule="exact"/>
        <w:rPr>
          <w:rFonts w:ascii="Arial" w:cs="Arial" w:eastAsia="Arial" w:hAnsi="Arial"/>
          <w:sz w:val="13"/>
          <w:szCs w:val="13"/>
          <w:color w:val="auto"/>
        </w:rPr>
      </w:pPr>
    </w:p>
    <w:p>
      <w:pPr>
        <w:ind w:right="100" w:firstLine="794"/>
        <w:spacing w:after="0" w:line="274" w:lineRule="auto"/>
        <w:tabs>
          <w:tab w:leader="none" w:pos="925" w:val="left"/>
        </w:tabs>
        <w:numPr>
          <w:ilvl w:val="1"/>
          <w:numId w:val="1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17" w:lineRule="exact"/>
        <w:rPr>
          <w:rFonts w:ascii="Arial" w:cs="Arial" w:eastAsia="Arial" w:hAnsi="Arial"/>
          <w:sz w:val="13"/>
          <w:szCs w:val="13"/>
          <w:color w:val="auto"/>
        </w:rPr>
      </w:pPr>
    </w:p>
    <w:p>
      <w:pPr>
        <w:ind w:right="500" w:firstLine="794"/>
        <w:spacing w:after="0" w:line="274" w:lineRule="auto"/>
        <w:tabs>
          <w:tab w:leader="none" w:pos="932" w:val="left"/>
        </w:tabs>
        <w:numPr>
          <w:ilvl w:val="1"/>
          <w:numId w:val="1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7" w:lineRule="exact"/>
        <w:rPr>
          <w:rFonts w:ascii="Arial" w:cs="Arial" w:eastAsia="Arial" w:hAnsi="Arial"/>
          <w:sz w:val="13"/>
          <w:szCs w:val="13"/>
          <w:color w:val="auto"/>
        </w:rPr>
      </w:pPr>
    </w:p>
    <w:p>
      <w:pPr>
        <w:ind w:right="620" w:firstLine="794"/>
        <w:spacing w:after="0" w:line="274" w:lineRule="auto"/>
        <w:tabs>
          <w:tab w:leader="none" w:pos="925" w:val="left"/>
        </w:tabs>
        <w:numPr>
          <w:ilvl w:val="1"/>
          <w:numId w:val="1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3"/>
          <w:szCs w:val="13"/>
          <w:color w:val="auto"/>
        </w:rPr>
      </w:pPr>
    </w:p>
    <w:p>
      <w:pPr>
        <w:ind w:right="60" w:firstLine="794"/>
        <w:spacing w:after="0" w:line="274" w:lineRule="auto"/>
        <w:tabs>
          <w:tab w:leader="none" w:pos="932" w:val="left"/>
        </w:tabs>
        <w:numPr>
          <w:ilvl w:val="1"/>
          <w:numId w:val="1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3"/>
          <w:szCs w:val="13"/>
          <w:color w:val="auto"/>
        </w:rPr>
      </w:pPr>
    </w:p>
    <w:p>
      <w:pPr>
        <w:ind w:right="40" w:firstLine="345"/>
        <w:spacing w:after="0" w:line="274" w:lineRule="auto"/>
        <w:tabs>
          <w:tab w:leader="none" w:pos="472"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Arial" w:cs="Arial" w:eastAsia="Arial" w:hAnsi="Arial"/>
          <w:sz w:val="13"/>
          <w:szCs w:val="13"/>
          <w:color w:val="auto"/>
        </w:rPr>
      </w:pPr>
    </w:p>
    <w:p>
      <w:pPr>
        <w:ind w:right="380" w:firstLine="794"/>
        <w:spacing w:after="0" w:line="274" w:lineRule="auto"/>
        <w:tabs>
          <w:tab w:leader="none" w:pos="925" w:val="left"/>
        </w:tabs>
        <w:numPr>
          <w:ilvl w:val="1"/>
          <w:numId w:val="1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3"/>
          <w:szCs w:val="13"/>
          <w:color w:val="auto"/>
        </w:rPr>
      </w:pPr>
    </w:p>
    <w:p>
      <w:pPr>
        <w:ind w:left="940" w:hanging="146"/>
        <w:spacing w:after="0"/>
        <w:tabs>
          <w:tab w:leader="none" w:pos="940" w:val="left"/>
        </w:tabs>
        <w:numPr>
          <w:ilvl w:val="1"/>
          <w:numId w:val="1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Dated: February 5, 2015</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6"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color w:val="auto"/>
        </w:rPr>
        <w:t>Name:</w:t>
        <w:tab/>
        <w:t>Aviv Efrat</w:t>
      </w:r>
    </w:p>
    <w:p>
      <w:pPr>
        <w:spacing w:after="0" w:line="11"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color w:val="auto"/>
        </w:rPr>
        <w:t>Title:</w:t>
        <w:tab/>
        <w:t>Chief Financial Officer</w:t>
      </w:r>
    </w:p>
    <w:p>
      <w:pPr>
        <w:sectPr>
          <w:pgSz w:w="11900" w:h="16838" w:orient="portrait"/>
          <w:cols w:equalWidth="0" w:num="1">
            <w:col w:w="11240"/>
          </w:cols>
          <w:pgMar w:left="320" w:top="12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3"/>
          <w:szCs w:val="13"/>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w:t>
      </w:r>
    </w:p>
    <w:p>
      <w:pPr>
        <w:jc w:val="center"/>
        <w:spacing w:after="0"/>
        <w:rPr>
          <w:sz w:val="20"/>
          <w:szCs w:val="20"/>
          <w:color w:val="auto"/>
        </w:rPr>
      </w:pPr>
      <w:r>
        <w:rPr>
          <w:rFonts w:ascii="Arial" w:cs="Arial" w:eastAsia="Arial" w:hAnsi="Arial"/>
          <w:sz w:val="13"/>
          <w:szCs w:val="13"/>
          <w:b w:val="1"/>
          <w:bCs w:val="1"/>
          <w:color w:val="auto"/>
        </w:rPr>
        <w:t>SECTION 906 OF THE SARBANES-OXLEY ACT OF 2002 (18 U.S.C. 1350)</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12"/>
          <w:szCs w:val="12"/>
          <w:color w:val="auto"/>
        </w:rPr>
        <w:t>In connection with this Report on Form 10-Q for the three months ended December 31, 2014, or the Report, of PennantPark Floating Rate Capital Ltd., or the Registrant, as filed with the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Exchange Commission on the date hereof, I, Arthur H. Penn, Chief Executive Officer of the Registrant, hereby certify, to the best of my knowledge, that:</w:t>
      </w:r>
    </w:p>
    <w:p>
      <w:pPr>
        <w:spacing w:after="0" w:line="68" w:lineRule="exact"/>
        <w:rPr>
          <w:sz w:val="20"/>
          <w:szCs w:val="20"/>
          <w:color w:val="auto"/>
        </w:rPr>
      </w:pPr>
    </w:p>
    <w:p>
      <w:pPr>
        <w:ind w:left="780" w:hanging="448"/>
        <w:spacing w:after="0"/>
        <w:tabs>
          <w:tab w:leader="none" w:pos="7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80" w:lineRule="exact"/>
        <w:rPr>
          <w:rFonts w:ascii="Arial" w:cs="Arial" w:eastAsia="Arial" w:hAnsi="Arial"/>
          <w:sz w:val="13"/>
          <w:szCs w:val="13"/>
          <w:color w:val="auto"/>
        </w:rPr>
      </w:pPr>
    </w:p>
    <w:p>
      <w:pPr>
        <w:ind w:left="780" w:hanging="448"/>
        <w:spacing w:after="0"/>
        <w:tabs>
          <w:tab w:leader="none" w:pos="7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color w:val="auto"/>
        </w:rPr>
        <w:t>Name:</w:t>
        <w:tab/>
        <w:t>Arthur H. Penn</w:t>
      </w:r>
    </w:p>
    <w:p>
      <w:pPr>
        <w:spacing w:after="0" w:line="10"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color w:val="auto"/>
        </w:rPr>
        <w:t>Title:</w:t>
        <w:tab/>
        <w:t>Chief Executive Officer</w:t>
      </w:r>
    </w:p>
    <w:p>
      <w:pPr>
        <w:spacing w:after="0"/>
        <w:tabs>
          <w:tab w:leader="none" w:pos="480" w:val="left"/>
        </w:tabs>
        <w:rPr>
          <w:sz w:val="20"/>
          <w:szCs w:val="20"/>
          <w:color w:val="auto"/>
        </w:rPr>
      </w:pPr>
      <w:r>
        <w:rPr>
          <w:rFonts w:ascii="Arial" w:cs="Arial" w:eastAsia="Arial" w:hAnsi="Arial"/>
          <w:sz w:val="13"/>
          <w:szCs w:val="13"/>
          <w:color w:val="auto"/>
        </w:rPr>
        <w:t>Date:</w:t>
        <w:tab/>
        <w:t>February 5, 2015</w:t>
      </w:r>
    </w:p>
    <w:p>
      <w:pPr>
        <w:sectPr>
          <w:pgSz w:w="11900" w:h="16838" w:orient="portrait"/>
          <w:cols w:equalWidth="0" w:num="1">
            <w:col w:w="11240"/>
          </w:cols>
          <w:pgMar w:left="320" w:top="12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3"/>
          <w:szCs w:val="13"/>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w:t>
      </w:r>
    </w:p>
    <w:p>
      <w:pPr>
        <w:jc w:val="center"/>
        <w:spacing w:after="0"/>
        <w:rPr>
          <w:sz w:val="20"/>
          <w:szCs w:val="20"/>
          <w:color w:val="auto"/>
        </w:rPr>
      </w:pPr>
      <w:r>
        <w:rPr>
          <w:rFonts w:ascii="Arial" w:cs="Arial" w:eastAsia="Arial" w:hAnsi="Arial"/>
          <w:sz w:val="13"/>
          <w:szCs w:val="13"/>
          <w:b w:val="1"/>
          <w:bCs w:val="1"/>
          <w:color w:val="auto"/>
        </w:rPr>
        <w:t>SECTION 906 OF THE SARBANES-OXLEY ACT OF 2002 (18 U.S.C. 1350)</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12"/>
          <w:szCs w:val="12"/>
          <w:color w:val="auto"/>
        </w:rPr>
        <w:t>In connection with this Report on Form 10-Q for the three months ended December 31, 2014, or the Report, of PennantPark Floating Rate Capital Ltd., or the Registrant, as filed with the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Exchange Commission on the date hereof, I, Aviv Efrat, Chief Financial Officer of the Registrant, hereby certify, to the best of my knowledge, that:</w:t>
      </w:r>
    </w:p>
    <w:p>
      <w:pPr>
        <w:spacing w:after="0" w:line="68" w:lineRule="exact"/>
        <w:rPr>
          <w:sz w:val="20"/>
          <w:szCs w:val="20"/>
          <w:color w:val="auto"/>
        </w:rPr>
      </w:pPr>
    </w:p>
    <w:p>
      <w:pPr>
        <w:ind w:left="780" w:hanging="448"/>
        <w:spacing w:after="0"/>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80" w:lineRule="exact"/>
        <w:rPr>
          <w:rFonts w:ascii="Arial" w:cs="Arial" w:eastAsia="Arial" w:hAnsi="Arial"/>
          <w:sz w:val="13"/>
          <w:szCs w:val="13"/>
          <w:color w:val="auto"/>
        </w:rPr>
      </w:pPr>
    </w:p>
    <w:p>
      <w:pPr>
        <w:ind w:left="780" w:hanging="448"/>
        <w:spacing w:after="0"/>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color w:val="auto"/>
        </w:rPr>
        <w:t>Name:</w:t>
        <w:tab/>
        <w:t>Aviv Efrat</w:t>
      </w:r>
    </w:p>
    <w:p>
      <w:pPr>
        <w:spacing w:after="0" w:line="10"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color w:val="auto"/>
        </w:rPr>
        <w:t>Title:</w:t>
        <w:tab/>
        <w:t>Chief Financial Officer</w:t>
      </w:r>
    </w:p>
    <w:p>
      <w:pPr>
        <w:spacing w:after="0"/>
        <w:tabs>
          <w:tab w:leader="none" w:pos="480" w:val="left"/>
        </w:tabs>
        <w:rPr>
          <w:sz w:val="20"/>
          <w:szCs w:val="20"/>
          <w:color w:val="auto"/>
        </w:rPr>
      </w:pPr>
      <w:r>
        <w:rPr>
          <w:rFonts w:ascii="Arial" w:cs="Arial" w:eastAsia="Arial" w:hAnsi="Arial"/>
          <w:sz w:val="13"/>
          <w:szCs w:val="13"/>
          <w:color w:val="auto"/>
        </w:rPr>
        <w:t>Date:</w:t>
        <w:tab/>
        <w:t>February 5, 2015</w:t>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2020-05-05T12:05:12Z</dcterms:created>
  <dcterms:modified xsi:type="dcterms:W3CDTF">2020-05-05T12:05:12Z</dcterms:modified>
</cp:coreProperties>
</file>