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6,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March 6, 2019,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March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6, 2019</w:t>
            </w:r>
          </w:p>
        </w:tc>
        <w:tc>
          <w:tcPr>
            <w:tcW w:w="508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March 06, 2019 (GLOBE NEWSWIRE) -- PennantPark Floating Rate Capital Ltd. (the "Company") (NASDAQ: PFLT) (TASE: PFLT) declares its monthly distributions for March 2019 of $0.095 per share, payable on April 1, 2019 to stockholders of record as of March 20, 2019.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Percentage</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9460" w:type="dxa"/>
            <w:vAlign w:val="bottom"/>
            <w:tcBorders>
              <w:top w:val="single" w:sz="8" w:color="auto"/>
              <w:bottom w:val="single" w:sz="8" w:color="auto"/>
              <w:right w:val="single" w:sz="8" w:color="auto"/>
            </w:tcBorders>
            <w:gridSpan w:val="5"/>
          </w:tcPr>
          <w:p>
            <w:pPr>
              <w:ind w:left="4220"/>
              <w:spacing w:after="0"/>
              <w:rPr>
                <w:sz w:val="20"/>
                <w:szCs w:val="20"/>
                <w:color w:val="auto"/>
              </w:rPr>
            </w:pPr>
            <w:r>
              <w:rPr>
                <w:rFonts w:ascii="Arial" w:cs="Arial" w:eastAsia="Arial" w:hAnsi="Arial"/>
                <w:sz w:val="22"/>
                <w:szCs w:val="22"/>
                <w:color w:val="auto"/>
              </w:rPr>
              <w:t>Description</w:t>
            </w:r>
          </w:p>
        </w:tc>
      </w:tr>
      <w:tr>
        <w:trPr>
          <w:trHeight w:val="210"/>
        </w:trPr>
        <w:tc>
          <w:tcPr>
            <w:tcW w:w="102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90"/>
              </w:rPr>
              <w:t>23%</w:t>
            </w:r>
          </w:p>
        </w:tc>
        <w:tc>
          <w:tcPr>
            <w:tcW w:w="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2"/>
                <w:szCs w:val="22"/>
                <w:color w:val="auto"/>
                <w:w w:val="89"/>
              </w:rPr>
              <w:t>$0.022</w:t>
            </w:r>
          </w:p>
        </w:tc>
        <w:tc>
          <w:tcPr>
            <w:tcW w:w="9460" w:type="dxa"/>
            <w:vAlign w:val="bottom"/>
            <w:tcBorders>
              <w:right w:val="single" w:sz="8" w:color="auto"/>
            </w:tcBorders>
            <w:gridSpan w:val="5"/>
          </w:tcPr>
          <w:p>
            <w:pPr>
              <w:ind w:left="20"/>
              <w:spacing w:after="0" w:line="209" w:lineRule="exact"/>
              <w:rPr>
                <w:sz w:val="20"/>
                <w:szCs w:val="20"/>
                <w:color w:val="auto"/>
              </w:rPr>
            </w:pPr>
            <w:r>
              <w:rPr>
                <w:rFonts w:ascii="Arial" w:cs="Arial" w:eastAsia="Arial" w:hAnsi="Arial"/>
                <w:sz w:val="22"/>
                <w:szCs w:val="22"/>
                <w:color w:val="auto"/>
                <w:w w:val="89"/>
              </w:rPr>
              <w:t>Distribution has been identified by the Company as being derived from other sources and is not exempt from</w:t>
            </w:r>
          </w:p>
        </w:tc>
      </w:tr>
      <w:tr>
        <w:trPr>
          <w:trHeight w:val="275"/>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79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U.S. Nonresident withholding tax.</w:t>
            </w:r>
          </w:p>
        </w:tc>
        <w:tc>
          <w:tcPr>
            <w:tcW w:w="960" w:type="dxa"/>
            <w:vAlign w:val="bottom"/>
            <w:tcBorders>
              <w:top w:val="single" w:sz="8" w:color="auto"/>
              <w:bottom w:val="single" w:sz="8" w:color="auto"/>
            </w:tcBorders>
            <w:gridSpan w:val="2"/>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r>
      <w:tr>
        <w:trPr>
          <w:trHeight w:val="211"/>
        </w:trPr>
        <w:tc>
          <w:tcPr>
            <w:tcW w:w="1020" w:type="dxa"/>
            <w:vAlign w:val="bottom"/>
            <w:tcBorders>
              <w:left w:val="single" w:sz="8" w:color="auto"/>
              <w:right w:val="single" w:sz="8" w:color="auto"/>
            </w:tcBorders>
          </w:tcPr>
          <w:p>
            <w:pPr>
              <w:jc w:val="center"/>
              <w:spacing w:after="0" w:line="211" w:lineRule="exact"/>
              <w:rPr>
                <w:sz w:val="20"/>
                <w:szCs w:val="20"/>
                <w:color w:val="auto"/>
              </w:rPr>
            </w:pPr>
            <w:r>
              <w:rPr>
                <w:rFonts w:ascii="Arial" w:cs="Arial" w:eastAsia="Arial" w:hAnsi="Arial"/>
                <w:sz w:val="22"/>
                <w:szCs w:val="22"/>
                <w:color w:val="auto"/>
                <w:w w:val="90"/>
              </w:rPr>
              <w:t>77%</w:t>
            </w:r>
          </w:p>
        </w:tc>
        <w:tc>
          <w:tcPr>
            <w:tcW w:w="760" w:type="dxa"/>
            <w:vAlign w:val="bottom"/>
            <w:tcBorders>
              <w:right w:val="single" w:sz="8" w:color="auto"/>
            </w:tcBorders>
          </w:tcPr>
          <w:p>
            <w:pPr>
              <w:jc w:val="center"/>
              <w:spacing w:after="0" w:line="211" w:lineRule="exact"/>
              <w:rPr>
                <w:sz w:val="20"/>
                <w:szCs w:val="20"/>
                <w:color w:val="auto"/>
              </w:rPr>
            </w:pPr>
            <w:r>
              <w:rPr>
                <w:rFonts w:ascii="Arial" w:cs="Arial" w:eastAsia="Arial" w:hAnsi="Arial"/>
                <w:sz w:val="22"/>
                <w:szCs w:val="22"/>
                <w:color w:val="auto"/>
                <w:w w:val="89"/>
              </w:rPr>
              <w:t>$0.073</w:t>
            </w:r>
          </w:p>
        </w:tc>
        <w:tc>
          <w:tcPr>
            <w:tcW w:w="9460" w:type="dxa"/>
            <w:vAlign w:val="bottom"/>
            <w:tcBorders>
              <w:right w:val="single" w:sz="8" w:color="auto"/>
            </w:tcBorders>
            <w:gridSpan w:val="5"/>
          </w:tcPr>
          <w:p>
            <w:pPr>
              <w:ind w:left="20"/>
              <w:spacing w:after="0" w:line="211" w:lineRule="exact"/>
              <w:rPr>
                <w:sz w:val="20"/>
                <w:szCs w:val="20"/>
                <w:color w:val="auto"/>
              </w:rPr>
            </w:pPr>
            <w:r>
              <w:rPr>
                <w:rFonts w:ascii="Arial" w:cs="Arial" w:eastAsia="Arial" w:hAnsi="Arial"/>
                <w:sz w:val="22"/>
                <w:szCs w:val="22"/>
                <w:color w:val="auto"/>
                <w:w w:val="90"/>
              </w:rPr>
              <w:t>Distribution has been identified by the Company as an interest-related dividend generally exempt from U.S.</w:t>
            </w:r>
          </w:p>
        </w:tc>
      </w:tr>
      <w:tr>
        <w:trPr>
          <w:trHeight w:val="275"/>
        </w:trPr>
        <w:tc>
          <w:tcPr>
            <w:tcW w:w="1020" w:type="dxa"/>
            <w:vAlign w:val="bottom"/>
            <w:tcBorders>
              <w:left w:val="single" w:sz="8" w:color="auto"/>
              <w:bottom w:val="single" w:sz="8" w:color="auto"/>
              <w:right w:val="single" w:sz="8" w:color="auto"/>
            </w:tcBorders>
          </w:tcPr>
          <w:p>
            <w:pPr>
              <w:spacing w:after="0"/>
              <w:rPr>
                <w:sz w:val="23"/>
                <w:szCs w:val="23"/>
                <w:color w:val="auto"/>
              </w:rPr>
            </w:pPr>
          </w:p>
        </w:tc>
        <w:tc>
          <w:tcPr>
            <w:tcW w:w="760" w:type="dxa"/>
            <w:vAlign w:val="bottom"/>
            <w:tcBorders>
              <w:bottom w:val="single" w:sz="8" w:color="auto"/>
              <w:right w:val="single" w:sz="8" w:color="auto"/>
            </w:tcBorders>
          </w:tcPr>
          <w:p>
            <w:pPr>
              <w:spacing w:after="0"/>
              <w:rPr>
                <w:sz w:val="23"/>
                <w:szCs w:val="23"/>
                <w:color w:val="auto"/>
              </w:rPr>
            </w:pPr>
          </w:p>
        </w:tc>
        <w:tc>
          <w:tcPr>
            <w:tcW w:w="78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Nonresident withholding tax.</w:t>
            </w:r>
          </w:p>
        </w:tc>
        <w:tc>
          <w:tcPr>
            <w:tcW w:w="640" w:type="dxa"/>
            <w:vAlign w:val="bottom"/>
            <w:tcBorders>
              <w:top w:val="single" w:sz="8" w:color="auto"/>
              <w:bottom w:val="single" w:sz="8" w:color="auto"/>
            </w:tcBorders>
            <w:gridSpan w:val="2"/>
          </w:tcPr>
          <w:p>
            <w:pPr>
              <w:spacing w:after="0"/>
              <w:rPr>
                <w:sz w:val="23"/>
                <w:szCs w:val="23"/>
                <w:color w:val="auto"/>
              </w:rPr>
            </w:pPr>
          </w:p>
        </w:tc>
        <w:tc>
          <w:tcPr>
            <w:tcW w:w="960" w:type="dxa"/>
            <w:vAlign w:val="bottom"/>
            <w:tcBorders>
              <w:bottom w:val="single" w:sz="8" w:color="auto"/>
              <w:right w:val="single" w:sz="8" w:color="auto"/>
            </w:tcBorders>
            <w:gridSpan w:val="2"/>
          </w:tcPr>
          <w:p>
            <w:pPr>
              <w:spacing w:after="0"/>
              <w:rPr>
                <w:sz w:val="23"/>
                <w:szCs w:val="23"/>
                <w:color w:val="auto"/>
              </w:rPr>
            </w:pPr>
          </w:p>
        </w:tc>
      </w:tr>
    </w:tbl>
    <w:p>
      <w:pPr>
        <w:spacing w:after="0" w:line="19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pleased that we have been able to deliver a steady and stable dividend over a long period of time," said Art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2"/>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2020-05-05T12:04:42Z</dcterms:created>
  <dcterms:modified xsi:type="dcterms:W3CDTF">2020-05-05T12:04:42Z</dcterms:modified>
</cp:coreProperties>
</file>