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79"/>
        <w:spacing w:after="0" w:line="238" w:lineRule="auto"/>
        <w:rPr>
          <w:sz w:val="20"/>
          <w:szCs w:val="20"/>
          <w:color w:val="auto"/>
        </w:rPr>
      </w:pPr>
      <w:r>
        <w:rPr>
          <w:rFonts w:ascii="Arial" w:cs="Arial" w:eastAsia="Arial" w:hAnsi="Arial"/>
          <w:sz w:val="32"/>
          <w:szCs w:val="32"/>
          <w:b w:val="1"/>
          <w:bCs w:val="1"/>
          <w:color w:val="auto"/>
        </w:rPr>
        <w:t>Schedule 14A Information</w:t>
      </w:r>
    </w:p>
    <w:p>
      <w:pPr>
        <w:jc w:val="center"/>
        <w:ind w:right="-79"/>
        <w:spacing w:after="0" w:line="232"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34"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4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20" w:hanging="452"/>
        <w:spacing w:after="0" w:line="290"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-3058160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-2724150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-1926590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-1591945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-485775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35075"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66065"/>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191770</wp:posOffset>
            </wp:positionV>
            <wp:extent cx="12350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December 10,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are cordially invited to attend the 2015 Joint Annual Meeting of Stockholders of PennantPark Investment Corporation (“PNNT”) and PennantPark Floating Rate Capital Ltd. (“PFLT” and PNNT each, a “Company” and together, the “Companies”) to be held on February 3, 2015 at 9:30 a.m., Eastern Time, at the offices of Dechert LLP, located at 1095 Avenue of the Americas, New York, New York.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Notice of Joint Annual Meeting of Stockholders and the Joint Proxy Statement of the Boards of Directors of the Companies, which is accessible 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Internet or by request, provides an outline of the business to be conducted at the Joint Annual Meeting of Stockholders. At the meeting, you will be asked to:</w:t>
      </w:r>
    </w:p>
    <w:p>
      <w:pPr>
        <w:spacing w:after="0" w:line="32" w:lineRule="exact"/>
        <w:rPr>
          <w:sz w:val="20"/>
          <w:szCs w:val="20"/>
          <w:color w:val="auto"/>
        </w:rPr>
      </w:pPr>
    </w:p>
    <w:p>
      <w:pPr>
        <w:ind w:right="160" w:firstLine="8"/>
        <w:spacing w:after="0" w:line="255"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two directors for PNNT and/or two directors for PFLT and (2) ratify the selection of McGladrey LLP as your Company’s independent registered public accounting firm for the fiscal year ending September 30, 2015. I will also report on the progress of the Companies during the past year and respond to stockholders’ questions.</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It is important that your shares be represented at the Joint Annual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will also receive separate proxy materials for the Joint Special Meeting of Stockholders, which will be held on the same date and at the same location as the Joint Annual Meeting. Please be certain to vote separately each proxy card you receive from us. Your vote and participation in the governance of your Company is very important to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121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8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JOINT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3, 2015</w:t>
      </w:r>
    </w:p>
    <w:p>
      <w:pPr>
        <w:spacing w:after="0" w:line="165" w:lineRule="exact"/>
        <w:rPr>
          <w:sz w:val="20"/>
          <w:szCs w:val="20"/>
          <w:color w:val="auto"/>
        </w:rPr>
      </w:pPr>
    </w:p>
    <w:p>
      <w:pPr>
        <w:ind w:left="10040"/>
        <w:spacing w:after="0"/>
        <w:rPr>
          <w:sz w:val="20"/>
          <w:szCs w:val="20"/>
          <w:color w:val="auto"/>
        </w:rPr>
      </w:pPr>
      <w:r>
        <w:rPr>
          <w:rFonts w:ascii="Arial" w:cs="Arial" w:eastAsia="Arial" w:hAnsi="Arial"/>
          <w:sz w:val="15"/>
          <w:szCs w:val="15"/>
          <w:color w:val="auto"/>
        </w:rPr>
        <w:t>December 10, 2014</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and PennantPark Floating Rate Capital Ltd. (“PFLT” and PNNT each, a “Company” and together, the “Companies”) that: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2015 Joint Annual Meeting of Stockholders of the Companies (the “Annual Meeting”) will be held at the offices of Dechert LLP, located at 1095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Avenue of the Americas, New York, New York, on February 3, 2015 at 9:30 a.m., Eastern Time, for the following purposes, as to each Company:</w:t>
      </w:r>
    </w:p>
    <w:p>
      <w:pPr>
        <w:spacing w:after="0" w:line="107" w:lineRule="exact"/>
        <w:rPr>
          <w:sz w:val="20"/>
          <w:szCs w:val="20"/>
          <w:color w:val="auto"/>
        </w:rPr>
      </w:pPr>
    </w:p>
    <w:p>
      <w:pPr>
        <w:ind w:left="1080" w:right="640" w:hanging="613"/>
        <w:spacing w:after="0" w:line="254"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directors to the Board of the Company, who will each serve for a term of three years or until his successor is duly elected and qualifies; and</w:t>
      </w:r>
    </w:p>
    <w:p>
      <w:pPr>
        <w:ind w:left="1080" w:right="960" w:hanging="613"/>
        <w:spacing w:after="0" w:line="261"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McGladrey LLP to serve as the Company’s independent registered public accounting firm for the fiscal year ending September 30, 2015.</w:t>
      </w:r>
    </w:p>
    <w:p>
      <w:pPr>
        <w:spacing w:after="0" w:line="13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of PNNT and/or a stockholder of record of PFLT at the close of business on December 1, 2014.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Your vote is extremely important to us. If you are unable to attend the Annual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Internet Availability of Proxy Materials. As to each Company, in the event there are not sufficient votes for a quorum or to approve that Company’s proposals at the time of the Annual Meeting, the Annual Meeting may be adjourned in order to permit further solicitation of proxies by the Company.</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EACH OF THE PROPOSALS.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ind w:left="140" w:right="120"/>
        <w:spacing w:after="0" w:line="310"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if you wish to change your vote.</w:t>
      </w:r>
    </w:p>
    <w:p>
      <w:pPr>
        <w:sectPr>
          <w:pgSz w:w="11900" w:h="16838" w:orient="portrait"/>
          <w:cols w:equalWidth="0" w:num="1">
            <w:col w:w="11420"/>
          </w:cols>
          <w:pgMar w:left="240" w:top="274"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590 Madison Avenue, 15th Floor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32"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JOINT PROXY STATEMENT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2015 Joint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February 3, 2015</w:t>
      </w:r>
    </w:p>
    <w:p>
      <w:pPr>
        <w:spacing w:after="0" w:line="16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Joint Annual Meeting of Stockholders (“Notice of Annual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2015 Joint Annual Meeting of Stockholders (the “Meeting”) to be held on Tuesday, February 3, 2015 at 9:30 a.m., Eastern Time, at the offices of Dechert LLP, located at 1095 Avenue of the Americas, New York, New York, and at any postponements or adjournments thereof. This Joint Proxy Statement and each Company’s Annual Report for the fiscal year ended September 30, 2014 are being provided to the stockholders thereof (the “Stockholders”) via the Internet on or about December 10, 2014. In addition, a Notice of Annual Meeting and a Notice of Internet Availability of Proxy Materials are being sent to Stockholders of record of PNNT and Stockholders of record of PFLT as of December 1, 2014.</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Although each Company is a separate business development company that holds an annual meeting of stockholders, the Companies’ Proxy Statements have been combined into this Joint Proxy Statement to reduce expenses of each of the Companies of soliciting proxies for the Meeting.</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by the appropriate proxy’s discretion unless you specifically state otherwise on your proxy.</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proposals for your Company:</w:t>
      </w:r>
    </w:p>
    <w:p>
      <w:pPr>
        <w:spacing w:after="0" w:line="90" w:lineRule="exact"/>
        <w:rPr>
          <w:sz w:val="20"/>
          <w:szCs w:val="20"/>
          <w:color w:val="auto"/>
        </w:rPr>
      </w:pPr>
    </w:p>
    <w:p>
      <w:pPr>
        <w:ind w:left="1000" w:right="660" w:hanging="533"/>
        <w:spacing w:after="0" w:line="26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directors to the Board of the Company, who will each serve for a term of three years or until his successor is duly elected and qualifies (“Proposal 1”); and</w:t>
      </w:r>
    </w:p>
    <w:p>
      <w:pPr>
        <w:spacing w:after="0" w:line="77" w:lineRule="exact"/>
        <w:rPr>
          <w:rFonts w:ascii="Arial" w:cs="Arial" w:eastAsia="Arial" w:hAnsi="Arial"/>
          <w:sz w:val="18"/>
          <w:szCs w:val="18"/>
          <w:color w:val="auto"/>
        </w:rPr>
      </w:pPr>
    </w:p>
    <w:p>
      <w:pPr>
        <w:ind w:left="1000" w:right="460" w:hanging="533"/>
        <w:spacing w:after="0" w:line="26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McGladrey LLP to serve as the Company’s independent registered public accounting firm for the fiscal year ending September 30, 2015 (“Proposal 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may vote your shares at the Meeting only if you were a Stockholder of record of PNNT and/or a Stockholder of record of PFLT at the close of business on December 1, 2014 (the “Record Date”). There were 75,092,911 shares of PNNT common stock and 14,898,056 shares of PFLT common stock (the “Common Stock”) outstanding on the Record Date. Stockholders are entitled to one vote for each share of Common Stock of their Company held. Stockholders can vote only on matters affecting the Company (or Companies) in which they hold shares of Common Stock. Because the proposals stated above and in the Notice of Annual Meeting are separate for each Company, it is essential that Stockholders who own shares in both Companies vote by Internet, telephone or mail in accordance with the instructions on the proxy card(s), with respect to each proxy card they receive.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Company to conduct business at the Meeting, a quorum of Stockholders of that Company must be present at the Meeting. The presence at the Meeting, in person or by proxy, of the holders of a majority of the shares of Common Stock of a Company outstanding on the Record Date will constitute a quorum of such Company. Abstentions and Broker Non-Votes (as defined below) will be treated as shares present at the Meeting for quorum purposes. If there are not enough votes for a quorum of a Company, the chairman of the Meeting will adjourn the Meeting with respect to that Company to permit the further solicitation of proxies.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Votes Required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w:t>
      </w:r>
    </w:p>
    <w:p>
      <w:pPr>
        <w:spacing w:after="0" w:line="9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For PNNT, the election of a director to the Board of the Company requires the affirmative vote of a majority of the Company’s outstanding shares of Common Stock. If you vote “Withhold Authority” with respect to a nominee, your shares will not be voted with respect to the person indicated. Because a director is elected by a majority of the votes of the outstanding Common Stock of PNNT, votes to withhold authority, as well as abstentions and Broker Non-Votes, will have the effect of a vote against the nominee.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PFLT, the election of a director to the Board of the Company requires the affirmative vote of a majority of the votes cast for and affirmatively withheld at the Meeting in person or by proxy. If you vote “Withhold Authority” with respect to a nominee, your shares will not be voted with respect to the person indicated. Votes to withhold authority with respect to a nominee will be included in determining the number of votes cast and, as a result, will have the effect of a vote against the nominee. Abstentions and Broker Non-Votes will have no effect on the result of the vote.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a Company may not cumulate their votes.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each Company, the affirmative vote of a majority of the votes of that Company cast at the Meeting in person or by proxy is required to ratify the appointment of McGladrey LLP to serve as such Company’s independent registered public accounting firm. Abstentions will not be included in determining the number of votes cast and, as a result, will have no effect on this proposal.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for both Companies. As a result, if you hold shares of a Company’s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both"/>
        <w:ind w:right="30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Common Stock in street name,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permitted to exercise voting discretion with respect to Proposal 1 for that Company. Thus, if you are a Stockholder of PNNT and you do not vote or give your Broker specific instructions on how to vote for you, your shares will have the effect of a vote against Proposal 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For this reason, it is imperative that Stockholders of PNNT vote or provide instructions to their Brokers as to how to vote with respect to Proposal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Proposal 2 is a routine matter for both Companies. As a result, if you beneficially own shares of Common Stock of a Company and you do not vote or provide your Broker with proxy instructions, your Broker will be able to vote your shares for you on Proposal 2.</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As to each Company, if there appears not to be enough votes to approve a proposal at the Meeting, the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Meeting and the person named as proxy for the Companies, Mr. Arthur H. Penn, may vote to adjourn the Meeting with respect to that Company to permit further solicitation of proxies.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Stockholder vote may be taken on any of the proposals in this Joint Proxy Statement prior to any such adjournment if there are sufficient votes for approval of such proposal.</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Company will bear the expense of its solicitation of proxies for the Meeting, including its portion of the cost of preparing and posting this Joint Proxy Statement and the Annual Report to the Internet and the cost of mailing the Notice of Annual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 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8"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 xml:space="preserve">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also will receive upon request an e-mail confirming their instructions.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Stockholder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and voting in person or by a notice, provided in writing and signed by the Stockholder, delivered to the Companies’ Secretary on any business day before the date of the Meeting.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the Record Dates, to our knowledge, no person would be deemed to “control” (as such term is defined in the Investment Company Act of 1940, as amended (the “1940 Act”)) either Company.</w:t>
      </w:r>
    </w:p>
    <w:p>
      <w:pPr>
        <w:spacing w:after="0" w:line="132"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6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sets forth, as of November 24, 2014, certain ownership information with respect to each Company’s Common Stock for those persons who directly or indirectly own, control or hold with the power to vote, five percent or more of a Company’s outstanding Common Stock and all officers and directors of the Companies,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color w:val="auto"/>
                <w:w w:val="84"/>
              </w:rPr>
              <w:t>Percentage of</w:t>
            </w:r>
          </w:p>
        </w:tc>
        <w:tc>
          <w:tcPr>
            <w:tcW w:w="0" w:type="dxa"/>
            <w:vAlign w:val="bottom"/>
          </w:tcPr>
          <w:p>
            <w:pPr>
              <w:spacing w:after="0"/>
              <w:rPr>
                <w:sz w:val="1"/>
                <w:szCs w:val="1"/>
                <w:color w:val="auto"/>
              </w:rPr>
            </w:pPr>
          </w:p>
        </w:tc>
      </w:tr>
      <w:tr>
        <w:trPr>
          <w:trHeight w:val="149"/>
        </w:trPr>
        <w:tc>
          <w:tcPr>
            <w:tcW w:w="6020" w:type="dxa"/>
            <w:vAlign w:val="bottom"/>
            <w:gridSpan w:val="3"/>
            <w:vMerge w:val="restart"/>
          </w:tcPr>
          <w:p>
            <w:pPr>
              <w:spacing w:after="0"/>
              <w:rPr>
                <w:sz w:val="20"/>
                <w:szCs w:val="20"/>
                <w:color w:val="auto"/>
              </w:rPr>
            </w:pPr>
            <w:r>
              <w:rPr>
                <w:rFonts w:ascii="Arial" w:cs="Arial" w:eastAsia="Arial" w:hAnsi="Arial"/>
                <w:sz w:val="14"/>
                <w:szCs w:val="14"/>
                <w:color w:val="auto"/>
              </w:rPr>
              <w:t>Name and address</w:t>
            </w:r>
            <w:r>
              <w:rPr>
                <w:rFonts w:ascii="Arial" w:cs="Arial" w:eastAsia="Arial" w:hAnsi="Arial"/>
                <w:sz w:val="22"/>
                <w:szCs w:val="22"/>
                <w:color w:val="auto"/>
                <w:vertAlign w:val="superscript"/>
              </w:rPr>
              <w:t>(1)</w:t>
            </w:r>
          </w:p>
        </w:tc>
        <w:tc>
          <w:tcPr>
            <w:tcW w:w="1760" w:type="dxa"/>
            <w:vAlign w:val="bottom"/>
            <w:gridSpan w:val="2"/>
            <w:vMerge w:val="restart"/>
          </w:tcPr>
          <w:p>
            <w:pPr>
              <w:ind w:left="100"/>
              <w:spacing w:after="0"/>
              <w:rPr>
                <w:sz w:val="20"/>
                <w:szCs w:val="20"/>
                <w:color w:val="auto"/>
              </w:rPr>
            </w:pPr>
            <w:r>
              <w:rPr>
                <w:rFonts w:ascii="Arial" w:cs="Arial" w:eastAsia="Arial" w:hAnsi="Arial"/>
                <w:sz w:val="14"/>
                <w:szCs w:val="14"/>
                <w:color w:val="auto"/>
              </w:rPr>
              <w:t>Type of ownership</w:t>
            </w:r>
            <w:r>
              <w:rPr>
                <w:rFonts w:ascii="Arial" w:cs="Arial" w:eastAsia="Arial" w:hAnsi="Arial"/>
                <w:sz w:val="22"/>
                <w:szCs w:val="22"/>
                <w:color w:val="auto"/>
                <w:vertAlign w:val="superscript"/>
              </w:rPr>
              <w:t>(5)</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9"/>
              </w:rPr>
              <w:t>Common Stock</w:t>
            </w:r>
          </w:p>
        </w:tc>
        <w:tc>
          <w:tcPr>
            <w:tcW w:w="0" w:type="dxa"/>
            <w:vAlign w:val="bottom"/>
          </w:tcPr>
          <w:p>
            <w:pPr>
              <w:spacing w:after="0"/>
              <w:rPr>
                <w:sz w:val="1"/>
                <w:szCs w:val="1"/>
                <w:color w:val="auto"/>
              </w:rPr>
            </w:pPr>
          </w:p>
        </w:tc>
      </w:tr>
      <w:tr>
        <w:trPr>
          <w:trHeight w:val="153"/>
        </w:trPr>
        <w:tc>
          <w:tcPr>
            <w:tcW w:w="6020" w:type="dxa"/>
            <w:vAlign w:val="bottom"/>
            <w:gridSpan w:val="3"/>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800" w:type="dxa"/>
            <w:vAlign w:val="bottom"/>
            <w:gridSpan w:val="3"/>
          </w:tcPr>
          <w:p>
            <w:pPr>
              <w:jc w:val="right"/>
              <w:ind w:right="416"/>
              <w:spacing w:after="0" w:line="146" w:lineRule="exact"/>
              <w:rPr>
                <w:sz w:val="20"/>
                <w:szCs w:val="20"/>
                <w:color w:val="auto"/>
              </w:rPr>
            </w:pPr>
            <w:r>
              <w:rPr>
                <w:rFonts w:ascii="Arial" w:cs="Arial" w:eastAsia="Arial" w:hAnsi="Arial"/>
                <w:sz w:val="14"/>
                <w:szCs w:val="14"/>
                <w:color w:val="auto"/>
              </w:rPr>
              <w:t>Shares Owned</w:t>
            </w:r>
          </w:p>
        </w:tc>
        <w:tc>
          <w:tcPr>
            <w:tcW w:w="420" w:type="dxa"/>
            <w:vAlign w:val="bottom"/>
          </w:tcPr>
          <w:p>
            <w:pPr>
              <w:spacing w:after="0"/>
              <w:rPr>
                <w:sz w:val="13"/>
                <w:szCs w:val="13"/>
                <w:color w:val="auto"/>
              </w:rPr>
            </w:pPr>
          </w:p>
        </w:tc>
        <w:tc>
          <w:tcPr>
            <w:tcW w:w="1420" w:type="dxa"/>
            <w:vAlign w:val="bottom"/>
            <w:gridSpan w:val="4"/>
          </w:tcPr>
          <w:p>
            <w:pPr>
              <w:jc w:val="center"/>
              <w:ind w:right="200"/>
              <w:spacing w:after="0" w:line="146"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86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color w:val="auto"/>
              </w:rPr>
              <w:t>PNNT</w:t>
            </w:r>
          </w:p>
        </w:tc>
        <w:tc>
          <w:tcPr>
            <w:tcW w:w="4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color w:val="auto"/>
              </w:rPr>
              <w:t>PFLT</w:t>
            </w:r>
          </w:p>
        </w:tc>
        <w:tc>
          <w:tcPr>
            <w:tcW w:w="420" w:type="dxa"/>
            <w:vAlign w:val="bottom"/>
          </w:tcPr>
          <w:p>
            <w:pPr>
              <w:spacing w:after="0"/>
              <w:rPr>
                <w:sz w:val="19"/>
                <w:szCs w:val="19"/>
                <w:color w:val="auto"/>
              </w:rPr>
            </w:pPr>
          </w:p>
        </w:tc>
        <w:tc>
          <w:tcPr>
            <w:tcW w:w="9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4"/>
                <w:szCs w:val="14"/>
                <w:color w:val="auto"/>
                <w:w w:val="89"/>
              </w:rPr>
              <w:t>PNNT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1"/>
              </w:rPr>
              <w:t>PFLT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Greater than 5% stockholder</w:t>
            </w:r>
          </w:p>
        </w:tc>
        <w:tc>
          <w:tcPr>
            <w:tcW w:w="1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Jack Silver</w:t>
            </w:r>
            <w:r>
              <w:rPr>
                <w:rFonts w:ascii="Arial" w:cs="Arial" w:eastAsia="Arial" w:hAnsi="Arial"/>
                <w:sz w:val="11"/>
                <w:szCs w:val="11"/>
                <w:color w:val="auto"/>
              </w:rPr>
              <w:t>(2)</w:t>
            </w: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746,891</w:t>
            </w:r>
          </w:p>
        </w:tc>
        <w:tc>
          <w:tcPr>
            <w:tcW w:w="420" w:type="dxa"/>
            <w:vAlign w:val="bottom"/>
          </w:tcPr>
          <w:p>
            <w:pPr>
              <w:spacing w:after="0"/>
              <w:rPr>
                <w:sz w:val="19"/>
                <w:szCs w:val="19"/>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(3)</w:t>
            </w: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tcPr>
          <w:p>
            <w:pPr>
              <w:jc w:val="right"/>
              <w:spacing w:after="0"/>
              <w:rPr>
                <w:sz w:val="20"/>
                <w:szCs w:val="20"/>
                <w:color w:val="auto"/>
              </w:rPr>
            </w:pPr>
            <w:r>
              <w:rPr>
                <w:rFonts w:ascii="Arial" w:cs="Arial" w:eastAsia="Arial" w:hAnsi="Arial"/>
                <w:sz w:val="18"/>
                <w:szCs w:val="18"/>
                <w:color w:val="auto"/>
              </w:rPr>
              <w:t>88,971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tcPr>
          <w:p>
            <w:pPr>
              <w:jc w:val="right"/>
              <w:spacing w:after="0"/>
              <w:rPr>
                <w:sz w:val="20"/>
                <w:szCs w:val="20"/>
                <w:color w:val="auto"/>
              </w:rPr>
            </w:pPr>
            <w:r>
              <w:rPr>
                <w:rFonts w:ascii="Arial" w:cs="Arial" w:eastAsia="Arial" w:hAnsi="Arial"/>
                <w:sz w:val="18"/>
                <w:szCs w:val="18"/>
                <w:color w:val="auto"/>
              </w:rPr>
              <w:t>236,088</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69,800</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(4)</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149,209</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3"/>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45,471</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gridSpan w:val="3"/>
            <w:vMerge w:val="continue"/>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1,055,555</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237,759</w:t>
            </w:r>
          </w:p>
        </w:tc>
        <w:tc>
          <w:tcPr>
            <w:tcW w:w="42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upon information contained in the Schedule13G filed February 12, 2014 by Mr. Jack Silver. Such securities are held by certain investment vehicles controlled and/or managed by Mr. Silver. The address for Mr. Silver is 80 Columbus Circle PH76A, New York, New York 10023.</w:t>
      </w:r>
    </w:p>
    <w:p>
      <w:pPr>
        <w:spacing w:after="0" w:line="1" w:lineRule="exact"/>
        <w:rPr>
          <w:rFonts w:ascii="Arial" w:cs="Arial" w:eastAsia="Arial" w:hAnsi="Arial"/>
          <w:sz w:val="16"/>
          <w:szCs w:val="16"/>
          <w:color w:val="auto"/>
        </w:rPr>
      </w:pPr>
    </w:p>
    <w:p>
      <w:pPr>
        <w:ind w:left="460" w:right="54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ind w:left="460" w:right="30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Penn is the Managing Member of the Adviser and may therefore be deemed to own beneficially the 353,923 shares of PNNT and 149,209 shares of PFLT held by the Adviser.</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Pursuant to Section 16(a) of the Securities Exchange Act of 1934, as amended (the “Exchange Act”), each Company’s directors and other executive officer and any persons holding more than 10% of that Company’s Common Stock are required to report their beneficial ownership and any changes therein to the SEC and the Company. Specific due dates for those reports have been established, and the Companies are required to report herein any failure to file such reports by those due dates. Based on the Companies’ review of Forms 3, 4 and 5 filed by such persons and information provided by the Companies’ directors and other executive officer, the Companies believe that, during the fiscal year ended September 30, 2014, all Section 16(a) filing requirements applicable to such persons were met in a timely manner.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dollar range of each Company’s Common Stock beneficially owned by each of our directors as of November 24,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beneficial ownership is based on information furnished to the Companies by such persons.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Directors of the Companies</w:t>
            </w:r>
          </w:p>
        </w:tc>
        <w:tc>
          <w:tcPr>
            <w:tcW w:w="4720" w:type="dxa"/>
            <w:vAlign w:val="bottom"/>
            <w:gridSpan w:val="4"/>
          </w:tcPr>
          <w:p>
            <w:pPr>
              <w:ind w:left="1480"/>
              <w:spacing w:after="0"/>
              <w:rPr>
                <w:sz w:val="20"/>
                <w:szCs w:val="20"/>
                <w:color w:val="auto"/>
              </w:rPr>
            </w:pPr>
            <w:r>
              <w:rPr>
                <w:rFonts w:ascii="Arial" w:cs="Arial" w:eastAsia="Arial" w:hAnsi="Arial"/>
                <w:sz w:val="14"/>
                <w:szCs w:val="14"/>
                <w:b w:val="1"/>
                <w:bCs w:val="1"/>
                <w:color w:val="auto"/>
                <w:w w:val="86"/>
              </w:rPr>
              <w:t>Dollar Range of the Common Stock of the Companies</w:t>
            </w:r>
            <w:r>
              <w:rPr>
                <w:rFonts w:ascii="Arial" w:cs="Arial" w:eastAsia="Arial" w:hAnsi="Arial"/>
                <w:sz w:val="22"/>
                <w:szCs w:val="22"/>
                <w:b w:val="1"/>
                <w:bCs w:val="1"/>
                <w:color w:val="auto"/>
                <w:w w:val="86"/>
                <w:vertAlign w:val="superscript"/>
              </w:rPr>
              <w:t>(1)</w:t>
            </w:r>
          </w:p>
        </w:tc>
        <w:tc>
          <w:tcPr>
            <w:tcW w:w="1480" w:type="dxa"/>
            <w:vAlign w:val="bottom"/>
          </w:tcPr>
          <w:p>
            <w:pPr>
              <w:spacing w:after="0"/>
              <w:rPr>
                <w:sz w:val="22"/>
                <w:szCs w:val="22"/>
                <w:color w:val="auto"/>
              </w:rPr>
            </w:pPr>
          </w:p>
        </w:tc>
      </w:tr>
      <w:tr>
        <w:trPr>
          <w:trHeight w:val="149"/>
        </w:trPr>
        <w:tc>
          <w:tcPr>
            <w:tcW w:w="1680" w:type="dxa"/>
            <w:vAlign w:val="bottom"/>
            <w:tcBorders>
              <w:top w:val="single" w:sz="8" w:color="auto"/>
            </w:tcBorders>
          </w:tcPr>
          <w:p>
            <w:pPr>
              <w:spacing w:after="0"/>
              <w:rPr>
                <w:sz w:val="12"/>
                <w:szCs w:val="12"/>
                <w:color w:val="auto"/>
              </w:rPr>
            </w:pPr>
          </w:p>
        </w:tc>
        <w:tc>
          <w:tcPr>
            <w:tcW w:w="3540" w:type="dxa"/>
            <w:vAlign w:val="bottom"/>
          </w:tcPr>
          <w:p>
            <w:pPr>
              <w:spacing w:after="0"/>
              <w:rPr>
                <w:sz w:val="12"/>
                <w:szCs w:val="12"/>
                <w:color w:val="auto"/>
              </w:rPr>
            </w:pPr>
          </w:p>
        </w:tc>
        <w:tc>
          <w:tcPr>
            <w:tcW w:w="2580" w:type="dxa"/>
            <w:vAlign w:val="bottom"/>
            <w:tcBorders>
              <w:top w:val="single" w:sz="8" w:color="auto"/>
            </w:tcBorders>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4"/>
              </w:rPr>
              <w:t>PNNT</w:t>
            </w:r>
          </w:p>
        </w:tc>
        <w:tc>
          <w:tcPr>
            <w:tcW w:w="2140" w:type="dxa"/>
            <w:vAlign w:val="bottom"/>
            <w:tcBorders>
              <w:top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PFLT</w:t>
            </w:r>
          </w:p>
        </w:tc>
        <w:tc>
          <w:tcPr>
            <w:tcW w:w="14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96"/>
        </w:trPr>
        <w:tc>
          <w:tcPr>
            <w:tcW w:w="52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 xml:space="preserve">$500,001- $1,000,000 </w:t>
            </w:r>
            <w:r>
              <w:rPr>
                <w:rFonts w:ascii="Arial" w:cs="Arial" w:eastAsia="Arial" w:hAnsi="Arial"/>
                <w:sz w:val="11"/>
                <w:szCs w:val="11"/>
                <w:color w:val="auto"/>
                <w:w w:val="88"/>
              </w:rPr>
              <w:t>(2)</w:t>
            </w:r>
          </w:p>
        </w:tc>
        <w:tc>
          <w:tcPr>
            <w:tcW w:w="8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w w:val="90"/>
              </w:rPr>
              <w:t>$50,001 - $100,000</w:t>
            </w:r>
          </w:p>
        </w:tc>
        <w:tc>
          <w:tcPr>
            <w:tcW w:w="6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Over $1,000,000</w:t>
            </w:r>
          </w:p>
        </w:tc>
      </w:tr>
      <w:tr>
        <w:trPr>
          <w:trHeight w:val="216"/>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8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8"/>
              </w:rPr>
              <w:t>None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2580" w:type="dxa"/>
            <w:vAlign w:val="bottom"/>
            <w:gridSpan w:val="2"/>
          </w:tcPr>
          <w:p>
            <w:pPr>
              <w:jc w:val="center"/>
              <w:ind w:right="840"/>
              <w:spacing w:after="0"/>
              <w:rPr>
                <w:sz w:val="20"/>
                <w:szCs w:val="20"/>
                <w:color w:val="auto"/>
              </w:rPr>
            </w:pPr>
            <w:r>
              <w:rPr>
                <w:rFonts w:ascii="Arial" w:cs="Arial" w:eastAsia="Arial" w:hAnsi="Arial"/>
                <w:sz w:val="18"/>
                <w:szCs w:val="18"/>
                <w:color w:val="auto"/>
                <w:w w:val="87"/>
              </w:rPr>
              <w:t>Over $1,000,000</w:t>
            </w:r>
          </w:p>
        </w:tc>
        <w:tc>
          <w:tcPr>
            <w:tcW w:w="2140" w:type="dxa"/>
            <w:vAlign w:val="bottom"/>
            <w:gridSpan w:val="2"/>
          </w:tcPr>
          <w:p>
            <w:pPr>
              <w:jc w:val="center"/>
              <w:ind w:right="640"/>
              <w:spacing w:after="0"/>
              <w:rPr>
                <w:sz w:val="20"/>
                <w:szCs w:val="20"/>
                <w:color w:val="auto"/>
              </w:rPr>
            </w:pPr>
            <w:r>
              <w:rPr>
                <w:rFonts w:ascii="Arial" w:cs="Arial" w:eastAsia="Arial" w:hAnsi="Arial"/>
                <w:sz w:val="18"/>
                <w:szCs w:val="18"/>
                <w:color w:val="auto"/>
                <w:w w:val="88"/>
              </w:rPr>
              <w:t>None</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Over $1,000,000</w:t>
            </w:r>
          </w:p>
        </w:tc>
      </w:tr>
      <w:tr>
        <w:trPr>
          <w:trHeight w:val="216"/>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258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87"/>
              </w:rPr>
              <w:t>Over $1,000,000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$500,001-$1,000,000</w:t>
            </w: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r>
        <w:trPr>
          <w:trHeight w:val="3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7"/>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58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87"/>
              </w:rPr>
              <w:t>Over $1,000,000</w:t>
            </w:r>
          </w:p>
        </w:tc>
        <w:tc>
          <w:tcPr>
            <w:tcW w:w="21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7"/>
              </w:rPr>
              <w:t>Over $1,000,000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accordance with its bylaws, each of the Companies currently has five members on its Board. Directors are divided into three classes and are elected for staggered terms of three years each, with a term of office of one of the three classes of directors expiring each year. Each director will hold office for the term to which he is elected or until his successor is duly elected and qualifies. After this election, the terms of Class I, II and III directors will expire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Companies</w:t>
            </w:r>
          </w:p>
        </w:tc>
        <w:tc>
          <w:tcPr>
            <w:tcW w:w="372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I</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II</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Class III</w:t>
            </w:r>
          </w:p>
        </w:tc>
      </w:tr>
      <w:tr>
        <w:trPr>
          <w:trHeight w:val="203"/>
        </w:trPr>
        <w:tc>
          <w:tcPr>
            <w:tcW w:w="4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PennantPark Investment Corporation</w:t>
            </w:r>
          </w:p>
        </w:tc>
        <w:tc>
          <w:tcPr>
            <w:tcW w:w="1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2017</w:t>
            </w: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2018</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PennantPark Floating Rate Capital Ltd.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Stockholder can vote for, or withhold his or her vote from, any nominee for his or her Company’s Board. In the absence of instructions to the contrary, it is the intention of the persons named as proxies to vote such proxy FOR the election of each nominee named below. If a nominee should decline or be unable to serve as a director, it is intended that the proxy will be voted for the election of such person as is nominated by the relevant Board as a replacement. The Boards have no reason to believe that either of their nominees will be unable or unwilling to serve.</w:t>
      </w:r>
    </w:p>
    <w:p>
      <w:pPr>
        <w:spacing w:after="0" w:line="107" w:lineRule="exact"/>
        <w:rPr>
          <w:sz w:val="20"/>
          <w:szCs w:val="20"/>
          <w:color w:val="auto"/>
        </w:rPr>
      </w:pPr>
    </w:p>
    <w:p>
      <w:pPr>
        <w:ind w:right="800" w:firstLine="456"/>
        <w:spacing w:after="0" w:line="275" w:lineRule="auto"/>
        <w:rPr>
          <w:sz w:val="20"/>
          <w:szCs w:val="20"/>
          <w:color w:val="auto"/>
        </w:rPr>
      </w:pPr>
      <w:r>
        <w:rPr>
          <w:rFonts w:ascii="Arial" w:cs="Arial" w:eastAsia="Arial" w:hAnsi="Arial"/>
          <w:sz w:val="18"/>
          <w:szCs w:val="18"/>
          <w:b w:val="1"/>
          <w:bCs w:val="1"/>
          <w:color w:val="auto"/>
        </w:rPr>
        <w:t>EACH BOARD, INCLUDING ITS INDEPENDENT DIRECTORS, UNANIMOUSLY RECOMMENDS THAT YOU VOTE FOR THE ELECTION OF THE NOMINEES NAMED IN THIS JOINT PROXY STATEMENT.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about the Nominees and Directors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each Company. The nominees currently serve as directors of each Company.</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Each of Mr. Adam Bernstein and Mr. Jeffrey Flug has been nominated for election as a Class II director of PNNT for a three-year term expiring in 2018. Neither Mr. Bernstein nor Mr. Flug is being proposed for election pursuant to any agreement or understanding between either Mr. Bernstein or Mr. Flug and PNNT.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Mr. Marshall Brozost and Mr. Samuel L. Katz has been nominated for election as a Class I director of PFLT for a three-year term expiring in 2018.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Neither Mr. Brozost nor Katz is being proposed for election pursuant to any agreement or understanding between either Mr. Brozost or Mr. Katz and PFLT.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5"/>
              </w:rPr>
              <w:t>Company,</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 of Office</w:t>
            </w: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Address and Age </w:t>
            </w:r>
            <w:r>
              <w:rPr>
                <w:rFonts w:ascii="Arial" w:cs="Arial" w:eastAsia="Arial" w:hAnsi="Arial"/>
                <w:sz w:val="22"/>
                <w:szCs w:val="22"/>
                <w:b w:val="1"/>
                <w:bCs w:val="1"/>
                <w:color w:val="auto"/>
                <w:vertAlign w:val="superscript"/>
              </w:rPr>
              <w:t>(1)</w:t>
            </w:r>
          </w:p>
        </w:tc>
        <w:tc>
          <w:tcPr>
            <w:tcW w:w="1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Position(s) held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0" w:type="dxa"/>
            <w:vAlign w:val="bottom"/>
          </w:tcPr>
          <w:p>
            <w:pPr>
              <w:spacing w:after="0"/>
              <w:rPr>
                <w:sz w:val="1"/>
                <w:szCs w:val="1"/>
                <w:color w:val="auto"/>
              </w:rPr>
            </w:pPr>
          </w:p>
        </w:tc>
      </w:tr>
      <w:tr>
        <w:trPr>
          <w:trHeight w:val="181"/>
        </w:trPr>
        <w:tc>
          <w:tcPr>
            <w:tcW w:w="3580" w:type="dxa"/>
            <w:vAlign w:val="bottom"/>
            <w:gridSpan w:val="2"/>
            <w:vMerge w:val="continue"/>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with Company</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0" w:type="dxa"/>
            <w:vAlign w:val="bottom"/>
          </w:tcPr>
          <w:p>
            <w:pPr>
              <w:spacing w:after="0"/>
              <w:rPr>
                <w:sz w:val="1"/>
                <w:szCs w:val="1"/>
                <w:color w:val="auto"/>
              </w:rPr>
            </w:pPr>
          </w:p>
        </w:tc>
      </w:tr>
      <w:tr>
        <w:trPr>
          <w:trHeight w:val="202"/>
        </w:trPr>
        <w:tc>
          <w:tcPr>
            <w:tcW w:w="16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3"/>
              </w:rPr>
              <w:t>Independent Directors</w:t>
            </w:r>
          </w:p>
        </w:tc>
        <w:tc>
          <w:tcPr>
            <w:tcW w:w="19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Principal</w:t>
      </w:r>
    </w:p>
    <w:p>
      <w:pPr>
        <w:spacing w:after="0" w:line="2"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Occupation(s) During the</w:t>
      </w:r>
    </w:p>
    <w:p>
      <w:pPr>
        <w:spacing w:after="0" w:line="10"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635</wp:posOffset>
            </wp:positionV>
            <wp:extent cx="17837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Held by Director</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or Nominee for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Director During</w:t>
      </w:r>
    </w:p>
    <w:p>
      <w:pPr>
        <w:spacing w:after="0"/>
        <w:rPr>
          <w:sz w:val="20"/>
          <w:szCs w:val="20"/>
          <w:color w:val="auto"/>
        </w:rPr>
      </w:pPr>
      <w:r>
        <w:rPr>
          <w:rFonts w:ascii="Arial" w:cs="Arial" w:eastAsia="Arial" w:hAnsi="Arial"/>
          <w:sz w:val="11"/>
          <w:szCs w:val="11"/>
          <w:b w:val="1"/>
          <w:bCs w:val="1"/>
          <w:u w:val="single" w:color="auto"/>
          <w:color w:val="auto"/>
        </w:rPr>
        <w:t xml:space="preserve">the Past 5 Years </w:t>
      </w:r>
      <w:r>
        <w:rPr>
          <w:rFonts w:ascii="Arial" w:cs="Arial" w:eastAsia="Arial" w:hAnsi="Arial"/>
          <w:sz w:val="17"/>
          <w:szCs w:val="17"/>
          <w:b w:val="1"/>
          <w:bCs w:val="1"/>
          <w:u w:val="single" w:color="auto"/>
          <w:color w:val="auto"/>
          <w:vertAlign w:val="superscript"/>
        </w:rPr>
        <w:t>(2)</w:t>
      </w:r>
    </w:p>
    <w:p>
      <w:pPr>
        <w:spacing w:after="0" w:line="287" w:lineRule="exact"/>
        <w:rPr>
          <w:sz w:val="20"/>
          <w:szCs w:val="20"/>
          <w:color w:val="auto"/>
        </w:rPr>
      </w:pPr>
    </w:p>
    <w:p>
      <w:pPr>
        <w:sectPr>
          <w:pgSz w:w="11900" w:h="16838" w:orient="portrait"/>
          <w:cols w:equalWidth="0" w:num="3">
            <w:col w:w="7060" w:space="720"/>
            <w:col w:w="1840" w:space="720"/>
            <w:col w:w="1080"/>
          </w:cols>
          <w:pgMar w:left="240" w:top="275"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Adam K. Bernstein (51)</w:t>
            </w:r>
          </w:p>
        </w:tc>
        <w:tc>
          <w:tcPr>
            <w:tcW w:w="1920" w:type="dxa"/>
            <w:vAlign w:val="bottom"/>
          </w:tcPr>
          <w:p>
            <w:pPr>
              <w:ind w:left="9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340"/>
              <w:spacing w:after="0"/>
              <w:rPr>
                <w:sz w:val="20"/>
                <w:szCs w:val="20"/>
                <w:color w:val="auto"/>
              </w:rPr>
            </w:pPr>
            <w:r>
              <w:rPr>
                <w:rFonts w:ascii="Arial" w:cs="Arial" w:eastAsia="Arial" w:hAnsi="Arial"/>
                <w:sz w:val="18"/>
                <w:szCs w:val="18"/>
                <w:color w:val="auto"/>
              </w:rPr>
              <w:t>PNNT - Class II</w:t>
            </w:r>
          </w:p>
        </w:tc>
      </w:tr>
      <w:tr>
        <w:trPr>
          <w:trHeight w:val="216"/>
        </w:trPr>
        <w:tc>
          <w:tcPr>
            <w:tcW w:w="2640" w:type="dxa"/>
            <w:vAlign w:val="bottom"/>
          </w:tcPr>
          <w:p>
            <w:pPr>
              <w:spacing w:after="0"/>
              <w:rPr>
                <w:sz w:val="18"/>
                <w:szCs w:val="18"/>
                <w:color w:val="auto"/>
              </w:rPr>
            </w:pPr>
          </w:p>
        </w:tc>
        <w:tc>
          <w:tcPr>
            <w:tcW w:w="1920" w:type="dxa"/>
            <w:vAlign w:val="bottom"/>
          </w:tcPr>
          <w:p>
            <w:pPr>
              <w:ind w:left="940"/>
              <w:spacing w:after="0"/>
              <w:rPr>
                <w:sz w:val="20"/>
                <w:szCs w:val="20"/>
                <w:color w:val="auto"/>
              </w:rPr>
            </w:pPr>
            <w:r>
              <w:rPr>
                <w:rFonts w:ascii="Arial" w:cs="Arial" w:eastAsia="Arial" w:hAnsi="Arial"/>
                <w:sz w:val="18"/>
                <w:szCs w:val="18"/>
                <w:color w:val="auto"/>
              </w:rPr>
              <w:t>Nominee</w:t>
            </w:r>
          </w:p>
        </w:tc>
        <w:tc>
          <w:tcPr>
            <w:tcW w:w="2060" w:type="dxa"/>
            <w:vAlign w:val="bottom"/>
          </w:tcPr>
          <w:p>
            <w:pPr>
              <w:ind w:left="340"/>
              <w:spacing w:after="0"/>
              <w:rPr>
                <w:sz w:val="20"/>
                <w:szCs w:val="20"/>
                <w:color w:val="auto"/>
              </w:rPr>
            </w:pPr>
            <w:r>
              <w:rPr>
                <w:rFonts w:ascii="Arial" w:cs="Arial" w:eastAsia="Arial" w:hAnsi="Arial"/>
                <w:sz w:val="18"/>
                <w:szCs w:val="18"/>
                <w:color w:val="auto"/>
              </w:rPr>
              <w:t>Director since</w:t>
            </w:r>
          </w:p>
        </w:tc>
      </w:tr>
      <w:tr>
        <w:trPr>
          <w:trHeight w:val="216"/>
        </w:trPr>
        <w:tc>
          <w:tcPr>
            <w:tcW w:w="2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February 2007;</w:t>
            </w:r>
          </w:p>
        </w:tc>
      </w:tr>
      <w:tr>
        <w:trPr>
          <w:trHeight w:val="216"/>
        </w:trPr>
        <w:tc>
          <w:tcPr>
            <w:tcW w:w="2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w w:val="87"/>
              </w:rPr>
              <w:t>Term Expires, if elected,</w:t>
            </w:r>
          </w:p>
        </w:tc>
      </w:tr>
      <w:tr>
        <w:trPr>
          <w:trHeight w:val="222"/>
        </w:trPr>
        <w:tc>
          <w:tcPr>
            <w:tcW w:w="26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2018</w:t>
            </w:r>
          </w:p>
        </w:tc>
      </w:tr>
      <w:tr>
        <w:trPr>
          <w:trHeight w:val="291"/>
        </w:trPr>
        <w:tc>
          <w:tcPr>
            <w:tcW w:w="2640" w:type="dxa"/>
            <w:vAlign w:val="bottom"/>
          </w:tcPr>
          <w:p>
            <w:pPr>
              <w:spacing w:after="0"/>
              <w:rPr>
                <w:sz w:val="24"/>
                <w:szCs w:val="24"/>
                <w:color w:val="auto"/>
              </w:rPr>
            </w:pPr>
          </w:p>
        </w:tc>
        <w:tc>
          <w:tcPr>
            <w:tcW w:w="1920" w:type="dxa"/>
            <w:vAlign w:val="bottom"/>
          </w:tcPr>
          <w:p>
            <w:pPr>
              <w:ind w:left="9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340"/>
              <w:spacing w:after="0"/>
              <w:rPr>
                <w:sz w:val="20"/>
                <w:szCs w:val="20"/>
                <w:color w:val="auto"/>
              </w:rPr>
            </w:pPr>
            <w:r>
              <w:rPr>
                <w:rFonts w:ascii="Arial" w:cs="Arial" w:eastAsia="Arial" w:hAnsi="Arial"/>
                <w:sz w:val="18"/>
                <w:szCs w:val="18"/>
                <w:color w:val="auto"/>
              </w:rPr>
              <w:t>PFLT - Class II</w:t>
            </w:r>
          </w:p>
        </w:tc>
      </w:tr>
      <w:tr>
        <w:trPr>
          <w:trHeight w:val="216"/>
        </w:trPr>
        <w:tc>
          <w:tcPr>
            <w:tcW w:w="2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Director since</w:t>
            </w:r>
          </w:p>
        </w:tc>
      </w:tr>
      <w:tr>
        <w:trPr>
          <w:trHeight w:val="216"/>
        </w:trPr>
        <w:tc>
          <w:tcPr>
            <w:tcW w:w="2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October 2010;</w:t>
            </w:r>
          </w:p>
        </w:tc>
      </w:tr>
      <w:tr>
        <w:trPr>
          <w:trHeight w:val="222"/>
        </w:trPr>
        <w:tc>
          <w:tcPr>
            <w:tcW w:w="26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Term Expires 2016</w:t>
            </w:r>
          </w:p>
        </w:tc>
      </w:tr>
      <w:tr>
        <w:trPr>
          <w:trHeight w:val="669"/>
        </w:trPr>
        <w:tc>
          <w:tcPr>
            <w:tcW w:w="2640" w:type="dxa"/>
            <w:vAlign w:val="bottom"/>
          </w:tcPr>
          <w:p>
            <w:pPr>
              <w:spacing w:after="0"/>
              <w:rPr>
                <w:sz w:val="20"/>
                <w:szCs w:val="20"/>
                <w:color w:val="auto"/>
              </w:rPr>
            </w:pPr>
            <w:r>
              <w:rPr>
                <w:rFonts w:ascii="Arial" w:cs="Arial" w:eastAsia="Arial" w:hAnsi="Arial"/>
                <w:sz w:val="18"/>
                <w:szCs w:val="18"/>
                <w:color w:val="auto"/>
              </w:rPr>
              <w:t>Marshall Brozost (47)</w:t>
            </w:r>
          </w:p>
        </w:tc>
        <w:tc>
          <w:tcPr>
            <w:tcW w:w="1920" w:type="dxa"/>
            <w:vAlign w:val="bottom"/>
          </w:tcPr>
          <w:p>
            <w:pPr>
              <w:ind w:left="9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340"/>
              <w:spacing w:after="0"/>
              <w:rPr>
                <w:sz w:val="20"/>
                <w:szCs w:val="20"/>
                <w:color w:val="auto"/>
              </w:rPr>
            </w:pPr>
            <w:r>
              <w:rPr>
                <w:rFonts w:ascii="Arial" w:cs="Arial" w:eastAsia="Arial" w:hAnsi="Arial"/>
                <w:sz w:val="18"/>
                <w:szCs w:val="18"/>
                <w:color w:val="auto"/>
              </w:rPr>
              <w:t>PNNT - Class I</w:t>
            </w:r>
          </w:p>
        </w:tc>
      </w:tr>
      <w:tr>
        <w:trPr>
          <w:trHeight w:val="216"/>
        </w:trPr>
        <w:tc>
          <w:tcPr>
            <w:tcW w:w="2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Director since</w:t>
            </w:r>
          </w:p>
        </w:tc>
      </w:tr>
      <w:tr>
        <w:trPr>
          <w:trHeight w:val="216"/>
        </w:trPr>
        <w:tc>
          <w:tcPr>
            <w:tcW w:w="2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February 2007;</w:t>
            </w:r>
          </w:p>
        </w:tc>
      </w:tr>
      <w:tr>
        <w:trPr>
          <w:trHeight w:val="222"/>
        </w:trPr>
        <w:tc>
          <w:tcPr>
            <w:tcW w:w="26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Term Expires 2017</w:t>
            </w:r>
          </w:p>
        </w:tc>
      </w:tr>
      <w:tr>
        <w:trPr>
          <w:trHeight w:val="264"/>
        </w:trPr>
        <w:tc>
          <w:tcPr>
            <w:tcW w:w="2640" w:type="dxa"/>
            <w:vAlign w:val="bottom"/>
          </w:tcPr>
          <w:p>
            <w:pPr>
              <w:spacing w:after="0"/>
              <w:rPr>
                <w:sz w:val="22"/>
                <w:szCs w:val="22"/>
                <w:color w:val="auto"/>
              </w:rPr>
            </w:pPr>
          </w:p>
        </w:tc>
        <w:tc>
          <w:tcPr>
            <w:tcW w:w="1920" w:type="dxa"/>
            <w:vAlign w:val="bottom"/>
          </w:tcPr>
          <w:p>
            <w:pPr>
              <w:ind w:left="9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340"/>
              <w:spacing w:after="0"/>
              <w:rPr>
                <w:sz w:val="20"/>
                <w:szCs w:val="20"/>
                <w:color w:val="auto"/>
              </w:rPr>
            </w:pPr>
            <w:r>
              <w:rPr>
                <w:rFonts w:ascii="Arial" w:cs="Arial" w:eastAsia="Arial" w:hAnsi="Arial"/>
                <w:sz w:val="18"/>
                <w:szCs w:val="18"/>
                <w:color w:val="auto"/>
              </w:rPr>
              <w:t>PFLT - Class I</w:t>
            </w:r>
          </w:p>
        </w:tc>
      </w:tr>
      <w:tr>
        <w:trPr>
          <w:trHeight w:val="243"/>
        </w:trPr>
        <w:tc>
          <w:tcPr>
            <w:tcW w:w="2640" w:type="dxa"/>
            <w:vAlign w:val="bottom"/>
          </w:tcPr>
          <w:p>
            <w:pPr>
              <w:spacing w:after="0"/>
              <w:rPr>
                <w:sz w:val="21"/>
                <w:szCs w:val="21"/>
                <w:color w:val="auto"/>
              </w:rPr>
            </w:pPr>
          </w:p>
        </w:tc>
        <w:tc>
          <w:tcPr>
            <w:tcW w:w="1920" w:type="dxa"/>
            <w:vAlign w:val="bottom"/>
          </w:tcPr>
          <w:p>
            <w:pPr>
              <w:ind w:left="940"/>
              <w:spacing w:after="0"/>
              <w:rPr>
                <w:sz w:val="20"/>
                <w:szCs w:val="20"/>
                <w:color w:val="auto"/>
              </w:rPr>
            </w:pPr>
            <w:r>
              <w:rPr>
                <w:rFonts w:ascii="Arial" w:cs="Arial" w:eastAsia="Arial" w:hAnsi="Arial"/>
                <w:sz w:val="18"/>
                <w:szCs w:val="18"/>
                <w:color w:val="auto"/>
              </w:rPr>
              <w:t>Nominee</w:t>
            </w:r>
          </w:p>
        </w:tc>
        <w:tc>
          <w:tcPr>
            <w:tcW w:w="2060" w:type="dxa"/>
            <w:vAlign w:val="bottom"/>
          </w:tcPr>
          <w:p>
            <w:pPr>
              <w:ind w:left="340"/>
              <w:spacing w:after="0"/>
              <w:rPr>
                <w:sz w:val="20"/>
                <w:szCs w:val="20"/>
                <w:color w:val="auto"/>
              </w:rPr>
            </w:pPr>
            <w:r>
              <w:rPr>
                <w:rFonts w:ascii="Arial" w:cs="Arial" w:eastAsia="Arial" w:hAnsi="Arial"/>
                <w:sz w:val="18"/>
                <w:szCs w:val="18"/>
                <w:color w:val="auto"/>
              </w:rPr>
              <w:t>Director since</w:t>
            </w:r>
          </w:p>
        </w:tc>
      </w:tr>
      <w:tr>
        <w:trPr>
          <w:trHeight w:val="216"/>
        </w:trPr>
        <w:tc>
          <w:tcPr>
            <w:tcW w:w="2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October 2010;</w:t>
            </w:r>
          </w:p>
        </w:tc>
      </w:tr>
      <w:tr>
        <w:trPr>
          <w:trHeight w:val="216"/>
        </w:trPr>
        <w:tc>
          <w:tcPr>
            <w:tcW w:w="2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Term Expires, if</w:t>
            </w:r>
          </w:p>
        </w:tc>
      </w:tr>
      <w:tr>
        <w:trPr>
          <w:trHeight w:val="222"/>
        </w:trPr>
        <w:tc>
          <w:tcPr>
            <w:tcW w:w="26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elected, 2018</w:t>
            </w:r>
          </w:p>
        </w:tc>
      </w:tr>
      <w:tr>
        <w:trPr>
          <w:trHeight w:val="378"/>
        </w:trPr>
        <w:tc>
          <w:tcPr>
            <w:tcW w:w="2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ind w:left="112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br w:type="column"/>
      </w:r>
    </w:p>
    <w:p>
      <w:pPr>
        <w:spacing w:after="0"/>
        <w:tabs>
          <w:tab w:leader="none" w:pos="3520" w:val="left"/>
        </w:tabs>
        <w:rPr>
          <w:sz w:val="20"/>
          <w:szCs w:val="20"/>
          <w:color w:val="auto"/>
        </w:rPr>
      </w:pPr>
      <w:r>
        <w:rPr>
          <w:rFonts w:ascii="Arial" w:cs="Arial" w:eastAsia="Arial" w:hAnsi="Arial"/>
          <w:sz w:val="18"/>
          <w:szCs w:val="18"/>
          <w:color w:val="auto"/>
        </w:rPr>
        <w:t>President of The Bernstein Companies,</w:t>
      </w:r>
      <w:r>
        <w:rPr>
          <w:sz w:val="20"/>
          <w:szCs w:val="20"/>
          <w:color w:val="auto"/>
        </w:rPr>
        <w:tab/>
      </w:r>
      <w:r>
        <w:rPr>
          <w:rFonts w:ascii="Arial" w:cs="Arial" w:eastAsia="Arial" w:hAnsi="Arial"/>
          <w:sz w:val="16"/>
          <w:szCs w:val="16"/>
          <w:color w:val="auto"/>
        </w:rPr>
        <w:t>None.</w:t>
      </w:r>
    </w:p>
    <w:p>
      <w:pPr>
        <w:spacing w:after="0" w:line="15" w:lineRule="exact"/>
        <w:rPr>
          <w:sz w:val="20"/>
          <w:szCs w:val="20"/>
          <w:color w:val="auto"/>
        </w:rPr>
      </w:pPr>
    </w:p>
    <w:p>
      <w:pPr>
        <w:ind w:right="1540"/>
        <w:spacing w:after="0" w:line="286" w:lineRule="auto"/>
        <w:rPr>
          <w:sz w:val="20"/>
          <w:szCs w:val="20"/>
          <w:color w:val="auto"/>
        </w:rPr>
      </w:pPr>
      <w:r>
        <w:rPr>
          <w:rFonts w:ascii="Arial" w:cs="Arial" w:eastAsia="Arial" w:hAnsi="Arial"/>
          <w:sz w:val="16"/>
          <w:szCs w:val="16"/>
          <w:color w:val="auto"/>
        </w:rPr>
        <w:t>a Washington, D.C.-based real estate investment and development firm, since 1995 and President and Chief Executive Officer of Consortium Atlantic Realty Trust, Inc., a private real estate investment trust operating in the Mid-Atlantic region, from 2006. Also, Mr. Bernstein serves on the School of Arts and Sciences at the University of Pennsylvania since 2012.</w:t>
      </w:r>
    </w:p>
    <w:p>
      <w:pPr>
        <w:spacing w:after="0" w:line="70"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Partner at Schulte Roth &amp; Zabel LLP,</w:t>
      </w:r>
      <w:r>
        <w:rPr>
          <w:sz w:val="20"/>
          <w:szCs w:val="20"/>
          <w:color w:val="auto"/>
        </w:rPr>
        <w:tab/>
      </w:r>
      <w:r>
        <w:rPr>
          <w:rFonts w:ascii="Arial" w:cs="Arial" w:eastAsia="Arial" w:hAnsi="Arial"/>
          <w:sz w:val="16"/>
          <w:szCs w:val="16"/>
          <w:color w:val="auto"/>
        </w:rPr>
        <w:t>None.</w:t>
      </w:r>
    </w:p>
    <w:p>
      <w:pPr>
        <w:spacing w:after="0" w:line="15" w:lineRule="exact"/>
        <w:rPr>
          <w:sz w:val="20"/>
          <w:szCs w:val="20"/>
          <w:color w:val="auto"/>
        </w:rPr>
      </w:pPr>
    </w:p>
    <w:p>
      <w:pPr>
        <w:ind w:right="1520"/>
        <w:spacing w:after="0" w:line="287" w:lineRule="auto"/>
        <w:rPr>
          <w:sz w:val="20"/>
          <w:szCs w:val="20"/>
          <w:color w:val="auto"/>
        </w:rPr>
      </w:pPr>
      <w:r>
        <w:rPr>
          <w:rFonts w:ascii="Arial" w:cs="Arial" w:eastAsia="Arial" w:hAnsi="Arial"/>
          <w:sz w:val="16"/>
          <w:szCs w:val="16"/>
          <w:color w:val="auto"/>
        </w:rPr>
        <w:t>where he practices in the real estate and private equity groups, since May 2012. Prior to Schulte Roth &amp; Zabel, Mr. Brozost practiced law at Dewey &amp; LeBoeuf LLP from 2005 to 2012, at Solomon &amp; Weinberg LLP from 2004 to 2005 and at O’Melveny &amp; Myers LLP from 2001 to 2004.</w:t>
      </w:r>
    </w:p>
    <w:p>
      <w:pPr>
        <w:sectPr>
          <w:pgSz w:w="11900" w:h="16838" w:orient="portrait"/>
          <w:cols w:equalWidth="0" w:num="2">
            <w:col w:w="6620" w:space="500"/>
            <w:col w:w="4300"/>
          </w:cols>
          <w:pgMar w:left="240" w:top="275" w:right="239" w:bottom="1440" w:gutter="0" w:footer="0" w:header="0"/>
          <w:type w:val="continuous"/>
        </w:sectPr>
      </w:pPr>
    </w:p>
    <w:bookmarkStart w:id="10" w:name="page11"/>
    <w:bookmarkEnd w:id="10"/>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Address and Age </w:t>
            </w:r>
            <w:r>
              <w:rPr>
                <w:rFonts w:ascii="Arial" w:cs="Arial" w:eastAsia="Arial" w:hAnsi="Arial"/>
                <w:sz w:val="22"/>
                <w:szCs w:val="22"/>
                <w:b w:val="1"/>
                <w:bCs w:val="1"/>
                <w:color w:val="auto"/>
                <w:vertAlign w:val="superscript"/>
              </w:rPr>
              <w:t>(1)</w:t>
            </w:r>
          </w:p>
        </w:tc>
        <w:tc>
          <w:tcPr>
            <w:tcW w:w="1100" w:type="dxa"/>
            <w:vAlign w:val="bottom"/>
          </w:tcPr>
          <w:p>
            <w:pPr>
              <w:ind w:left="100"/>
              <w:spacing w:after="0"/>
              <w:rPr>
                <w:sz w:val="20"/>
                <w:szCs w:val="20"/>
                <w:color w:val="auto"/>
              </w:rPr>
            </w:pPr>
            <w:r>
              <w:rPr>
                <w:rFonts w:ascii="Arial" w:cs="Arial" w:eastAsia="Arial" w:hAnsi="Arial"/>
                <w:sz w:val="14"/>
                <w:szCs w:val="14"/>
                <w:b w:val="1"/>
                <w:bCs w:val="1"/>
                <w:color w:val="auto"/>
                <w:w w:val="93"/>
              </w:rPr>
              <w:t>Position(s) held</w:t>
            </w:r>
          </w:p>
        </w:tc>
        <w:tc>
          <w:tcPr>
            <w:tcW w:w="0" w:type="dxa"/>
            <w:vAlign w:val="bottom"/>
          </w:tcPr>
          <w:p>
            <w:pPr>
              <w:spacing w:after="0"/>
              <w:rPr>
                <w:sz w:val="1"/>
                <w:szCs w:val="1"/>
                <w:color w:val="auto"/>
              </w:rPr>
            </w:pPr>
          </w:p>
        </w:tc>
      </w:tr>
      <w:tr>
        <w:trPr>
          <w:trHeight w:val="168"/>
        </w:trPr>
        <w:tc>
          <w:tcPr>
            <w:tcW w:w="3420" w:type="dxa"/>
            <w:vAlign w:val="bottom"/>
            <w:gridSpan w:val="2"/>
            <w:vMerge w:val="continue"/>
          </w:tcPr>
          <w:p>
            <w:pPr>
              <w:spacing w:after="0"/>
              <w:rPr>
                <w:sz w:val="14"/>
                <w:szCs w:val="14"/>
                <w:color w:val="auto"/>
              </w:rPr>
            </w:pPr>
          </w:p>
        </w:tc>
        <w:tc>
          <w:tcPr>
            <w:tcW w:w="110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with Company</w:t>
            </w:r>
          </w:p>
        </w:tc>
        <w:tc>
          <w:tcPr>
            <w:tcW w:w="0" w:type="dxa"/>
            <w:vAlign w:val="bottom"/>
          </w:tcPr>
          <w:p>
            <w:pPr>
              <w:spacing w:after="0"/>
              <w:rPr>
                <w:sz w:val="1"/>
                <w:szCs w:val="1"/>
                <w:color w:val="auto"/>
              </w:rPr>
            </w:pPr>
          </w:p>
        </w:tc>
      </w:tr>
      <w:tr>
        <w:trPr>
          <w:trHeight w:val="202"/>
        </w:trPr>
        <w:tc>
          <w:tcPr>
            <w:tcW w:w="16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3"/>
              </w:rPr>
              <w:t>Independent Directors</w:t>
            </w:r>
          </w:p>
        </w:tc>
        <w:tc>
          <w:tcPr>
            <w:tcW w:w="180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(continued)</w:t>
            </w: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Company,</w:t>
            </w:r>
          </w:p>
        </w:tc>
        <w:tc>
          <w:tcPr>
            <w:tcW w:w="2840" w:type="dxa"/>
            <w:vAlign w:val="bottom"/>
          </w:tcPr>
          <w:p>
            <w:pPr>
              <w:spacing w:after="0"/>
              <w:rPr>
                <w:sz w:val="14"/>
                <w:szCs w:val="14"/>
                <w:color w:val="auto"/>
              </w:rPr>
            </w:pPr>
          </w:p>
        </w:tc>
      </w:tr>
      <w:tr>
        <w:trPr>
          <w:trHeight w:val="149"/>
        </w:trPr>
        <w:tc>
          <w:tcPr>
            <w:tcW w:w="2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Term of Office</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r>
      <w:tr>
        <w:trPr>
          <w:trHeight w:val="149"/>
        </w:trPr>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Occupation(s) During the</w:t>
            </w:r>
          </w:p>
        </w:tc>
      </w:tr>
      <w:tr>
        <w:trPr>
          <w:trHeight w:val="175"/>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22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Past 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-668020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4"/>
          <w:szCs w:val="14"/>
          <w:b w:val="1"/>
          <w:bCs w:val="1"/>
          <w:color w:val="auto"/>
        </w:rPr>
        <w:t>Other</w:t>
      </w:r>
    </w:p>
    <w:p>
      <w:pPr>
        <w:jc w:val="center"/>
        <w:ind w:right="100"/>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Held by Director</w:t>
      </w:r>
    </w:p>
    <w:p>
      <w:pPr>
        <w:jc w:val="center"/>
        <w:ind w:right="100"/>
        <w:spacing w:after="0" w:line="237" w:lineRule="auto"/>
        <w:rPr>
          <w:sz w:val="20"/>
          <w:szCs w:val="20"/>
          <w:color w:val="auto"/>
        </w:rPr>
      </w:pPr>
      <w:r>
        <w:rPr>
          <w:rFonts w:ascii="Arial" w:cs="Arial" w:eastAsia="Arial" w:hAnsi="Arial"/>
          <w:sz w:val="14"/>
          <w:szCs w:val="14"/>
          <w:b w:val="1"/>
          <w:bCs w:val="1"/>
          <w:color w:val="auto"/>
        </w:rPr>
        <w:t>or Nominee for</w:t>
      </w:r>
    </w:p>
    <w:p>
      <w:pPr>
        <w:jc w:val="center"/>
        <w:ind w:right="100"/>
        <w:spacing w:after="0" w:line="191" w:lineRule="auto"/>
        <w:rPr>
          <w:sz w:val="20"/>
          <w:szCs w:val="20"/>
          <w:color w:val="auto"/>
        </w:rPr>
      </w:pPr>
      <w:r>
        <w:rPr>
          <w:rFonts w:ascii="Arial" w:cs="Arial" w:eastAsia="Arial" w:hAnsi="Arial"/>
          <w:sz w:val="14"/>
          <w:szCs w:val="14"/>
          <w:b w:val="1"/>
          <w:bCs w:val="1"/>
          <w:color w:val="auto"/>
        </w:rPr>
        <w:t>Director During</w:t>
      </w:r>
    </w:p>
    <w:p>
      <w:pPr>
        <w:jc w:val="center"/>
        <w:ind w:right="100"/>
        <w:spacing w:after="0"/>
        <w:rPr>
          <w:sz w:val="20"/>
          <w:szCs w:val="20"/>
          <w:color w:val="auto"/>
        </w:rPr>
      </w:pPr>
      <w:r>
        <w:rPr>
          <w:rFonts w:ascii="Arial" w:cs="Arial" w:eastAsia="Arial" w:hAnsi="Arial"/>
          <w:sz w:val="11"/>
          <w:szCs w:val="11"/>
          <w:b w:val="1"/>
          <w:bCs w:val="1"/>
          <w:color w:val="auto"/>
        </w:rPr>
        <w:t xml:space="preserve">the Past 5 Years </w:t>
      </w:r>
      <w:r>
        <w:rPr>
          <w:rFonts w:ascii="Arial" w:cs="Arial" w:eastAsia="Arial" w:hAnsi="Arial"/>
          <w:sz w:val="17"/>
          <w:szCs w:val="17"/>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-17145</wp:posOffset>
            </wp:positionV>
            <wp:extent cx="10033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3">
            <w:col w:w="4520" w:space="220"/>
            <w:col w:w="4880" w:space="480"/>
            <w:col w:w="1160"/>
          </w:cols>
          <w:pgMar w:left="240" w:top="275" w:right="399" w:bottom="1440" w:gutter="0" w:footer="0" w:header="0"/>
        </w:sectPr>
      </w:pPr>
    </w:p>
    <w:p>
      <w:pPr>
        <w:spacing w:after="0"/>
        <w:tabs>
          <w:tab w:leader="none" w:pos="3660" w:val="left"/>
        </w:tabs>
        <w:rPr>
          <w:sz w:val="20"/>
          <w:szCs w:val="20"/>
          <w:color w:val="auto"/>
        </w:rPr>
      </w:pPr>
      <w:r>
        <w:rPr>
          <w:rFonts w:ascii="Arial" w:cs="Arial" w:eastAsia="Arial" w:hAnsi="Arial"/>
          <w:sz w:val="18"/>
          <w:szCs w:val="18"/>
          <w:color w:val="auto"/>
        </w:rPr>
        <w:t>Jeffrey Flug (52)</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3660" w:val="left"/>
        </w:tabs>
        <w:rPr>
          <w:sz w:val="20"/>
          <w:szCs w:val="20"/>
          <w:color w:val="auto"/>
        </w:rPr>
      </w:pPr>
      <w:r>
        <w:rPr>
          <w:rFonts w:ascii="Arial" w:cs="Arial" w:eastAsia="Arial" w:hAnsi="Arial"/>
          <w:sz w:val="18"/>
          <w:szCs w:val="18"/>
          <w:color w:val="auto"/>
        </w:rPr>
        <w:t>Samuel L. Katz (49)</w:t>
      </w:r>
      <w:r>
        <w:rPr>
          <w:sz w:val="20"/>
          <w:szCs w:val="20"/>
          <w:color w:val="auto"/>
        </w:rPr>
        <w:tab/>
      </w: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Director</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Nominee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PNNT - Class 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2007;</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Term Expires, if elected, 2018</w:t>
      </w:r>
    </w:p>
    <w:p>
      <w:pPr>
        <w:spacing w:after="0" w:line="57" w:lineRule="exact"/>
        <w:rPr>
          <w:sz w:val="20"/>
          <w:szCs w:val="20"/>
          <w:color w:val="auto"/>
        </w:rPr>
      </w:pPr>
    </w:p>
    <w:p>
      <w:pPr>
        <w:ind w:right="380"/>
        <w:spacing w:after="0" w:line="323" w:lineRule="auto"/>
        <w:rPr>
          <w:sz w:val="20"/>
          <w:szCs w:val="20"/>
          <w:color w:val="auto"/>
        </w:rPr>
      </w:pPr>
      <w:r>
        <w:rPr>
          <w:rFonts w:ascii="Arial" w:cs="Arial" w:eastAsia="Arial" w:hAnsi="Arial"/>
          <w:sz w:val="15"/>
          <w:szCs w:val="15"/>
          <w:color w:val="auto"/>
        </w:rPr>
        <w:t>PFLT - Class II Director since October 2010; Term Expires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80"/>
        <w:spacing w:after="0" w:line="323" w:lineRule="auto"/>
        <w:rPr>
          <w:sz w:val="20"/>
          <w:szCs w:val="20"/>
          <w:color w:val="auto"/>
        </w:rPr>
      </w:pPr>
      <w:r>
        <w:rPr>
          <w:rFonts w:ascii="Arial" w:cs="Arial" w:eastAsia="Arial" w:hAnsi="Arial"/>
          <w:sz w:val="15"/>
          <w:szCs w:val="15"/>
          <w:color w:val="auto"/>
        </w:rPr>
        <w:t>PNNT - Class I Director since February 2007; Term Expires 2017</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PFLT - Class 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Expires,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elected, 2018</w:t>
      </w:r>
    </w:p>
    <w:p>
      <w:pPr>
        <w:spacing w:after="0" w:line="28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ind w:right="80"/>
        <w:spacing w:after="0" w:line="306" w:lineRule="auto"/>
        <w:rPr>
          <w:sz w:val="20"/>
          <w:szCs w:val="20"/>
          <w:color w:val="auto"/>
        </w:rPr>
      </w:pPr>
      <w:r>
        <w:rPr>
          <w:rFonts w:ascii="Arial" w:cs="Arial" w:eastAsia="Arial" w:hAnsi="Arial"/>
          <w:sz w:val="15"/>
          <w:szCs w:val="15"/>
          <w:color w:val="auto"/>
        </w:rPr>
        <w:t>Mr. Flug has held a variety of senior positions, including President of Union Square Hospitality Group, an exclusive chain of restaurants, from 2009. Mr. Flug served as Chief Executive Officer and Executive Director of Millennium Promise Alliance, Inc., a non-profit organization whose mission is to eradicate extreme global poverty, from 2006 to 2008. From 2000 to 2006, Mr. Flug was a Managing Director and Head of North American Institutional Sales at JP Morgan’s Investment Bank.</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Managing Partner of TZP Group LLC, a private equity fund, since 2007. Before joining TZP Group, Mr. Katz was Chief Executive Officer of MacAndrews &amp; Forbes Acquisition Holdings, Inc. from 2006 to 2007. Prior to that position, Mr. Katz was Chairman and Chief Executive Officer of the Cendant Travel Distribution Services Division from 2001 to 2005.</w:t>
      </w:r>
    </w:p>
    <w:p>
      <w:pPr>
        <w:spacing w:after="0" w:line="20" w:lineRule="exact"/>
        <w:rPr>
          <w:sz w:val="20"/>
          <w:szCs w:val="20"/>
          <w:color w:val="auto"/>
        </w:rPr>
      </w:pPr>
      <w:r>
        <w:rPr>
          <w:sz w:val="20"/>
          <w:szCs w:val="20"/>
          <w:color w:val="auto"/>
        </w:rPr>
        <w:br w:type="column"/>
      </w:r>
    </w:p>
    <w:p>
      <w:pPr>
        <w:jc w:val="center"/>
        <w:spacing w:after="0" w:line="298" w:lineRule="auto"/>
        <w:rPr>
          <w:sz w:val="20"/>
          <w:szCs w:val="20"/>
          <w:color w:val="auto"/>
        </w:rPr>
      </w:pPr>
      <w:r>
        <w:rPr>
          <w:rFonts w:ascii="Arial" w:cs="Arial" w:eastAsia="Arial" w:hAnsi="Arial"/>
          <w:sz w:val="16"/>
          <w:szCs w:val="16"/>
          <w:color w:val="auto"/>
        </w:rPr>
        <w:t>Sears Hometown and Outlet Stores, Inc., from October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ectPr>
          <w:pgSz w:w="11900" w:h="16838" w:orient="portrait"/>
          <w:cols w:equalWidth="0" w:num="4">
            <w:col w:w="4280" w:space="460"/>
            <w:col w:w="1720" w:space="320"/>
            <w:col w:w="2840" w:space="380"/>
            <w:col w:w="1260"/>
          </w:cols>
          <w:pgMar w:left="240" w:top="275" w:right="399" w:bottom="1440" w:gutter="0" w:footer="0" w:header="0"/>
          <w:type w:val="continuous"/>
        </w:sectPr>
      </w:pPr>
    </w:p>
    <w:bookmarkStart w:id="11" w:name="page12"/>
    <w:bookmarkEnd w:id="11"/>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Company,</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Term of Office</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87"/>
              </w:rPr>
              <w:t xml:space="preserve">Name, Address and Age </w:t>
            </w:r>
            <w:r>
              <w:rPr>
                <w:rFonts w:ascii="Arial" w:cs="Arial" w:eastAsia="Arial" w:hAnsi="Arial"/>
                <w:sz w:val="22"/>
                <w:szCs w:val="22"/>
                <w:b w:val="1"/>
                <w:bCs w:val="1"/>
                <w:color w:val="auto"/>
                <w:w w:val="87"/>
                <w:vertAlign w:val="superscript"/>
              </w:rPr>
              <w:t>(1)</w:t>
            </w:r>
          </w:p>
        </w:tc>
        <w:tc>
          <w:tcPr>
            <w:tcW w:w="2000" w:type="dxa"/>
            <w:vAlign w:val="bottom"/>
          </w:tcPr>
          <w:p>
            <w:pPr>
              <w:spacing w:after="0"/>
              <w:rPr>
                <w:sz w:val="12"/>
                <w:szCs w:val="12"/>
                <w:color w:val="auto"/>
              </w:rPr>
            </w:pPr>
          </w:p>
        </w:tc>
        <w:tc>
          <w:tcPr>
            <w:tcW w:w="11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w w:val="95"/>
              </w:rPr>
              <w:t>Position(s) held</w:t>
            </w:r>
          </w:p>
        </w:tc>
        <w:tc>
          <w:tcPr>
            <w:tcW w:w="34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and Length of</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Occupation(s) During the</w:t>
            </w:r>
          </w:p>
        </w:tc>
        <w:tc>
          <w:tcPr>
            <w:tcW w:w="0" w:type="dxa"/>
            <w:vAlign w:val="bottom"/>
          </w:tcPr>
          <w:p>
            <w:pPr>
              <w:spacing w:after="0"/>
              <w:rPr>
                <w:sz w:val="1"/>
                <w:szCs w:val="1"/>
                <w:color w:val="auto"/>
              </w:rPr>
            </w:pPr>
          </w:p>
        </w:tc>
      </w:tr>
      <w:tr>
        <w:trPr>
          <w:trHeight w:val="181"/>
        </w:trPr>
        <w:tc>
          <w:tcPr>
            <w:tcW w:w="1620" w:type="dxa"/>
            <w:vAlign w:val="bottom"/>
            <w:tcBorders>
              <w:bottom w:val="single" w:sz="8" w:color="auto"/>
            </w:tcBorders>
            <w:vMerge w:val="continue"/>
          </w:tcPr>
          <w:p>
            <w:pPr>
              <w:spacing w:after="0"/>
              <w:rPr>
                <w:sz w:val="15"/>
                <w:szCs w:val="15"/>
                <w:color w:val="auto"/>
              </w:rPr>
            </w:pPr>
          </w:p>
        </w:tc>
        <w:tc>
          <w:tcPr>
            <w:tcW w:w="2000" w:type="dxa"/>
            <w:vAlign w:val="bottom"/>
          </w:tcPr>
          <w:p>
            <w:pPr>
              <w:spacing w:after="0"/>
              <w:rPr>
                <w:sz w:val="15"/>
                <w:szCs w:val="15"/>
                <w:color w:val="auto"/>
              </w:rPr>
            </w:pPr>
          </w:p>
        </w:tc>
        <w:tc>
          <w:tcPr>
            <w:tcW w:w="1160" w:type="dxa"/>
            <w:vAlign w:val="bottom"/>
          </w:tcPr>
          <w:p>
            <w:pPr>
              <w:ind w:left="160"/>
              <w:spacing w:after="0"/>
              <w:rPr>
                <w:sz w:val="20"/>
                <w:szCs w:val="20"/>
                <w:color w:val="auto"/>
              </w:rPr>
            </w:pPr>
            <w:r>
              <w:rPr>
                <w:rFonts w:ascii="Arial" w:cs="Arial" w:eastAsia="Arial" w:hAnsi="Arial"/>
                <w:sz w:val="14"/>
                <w:szCs w:val="14"/>
                <w:b w:val="1"/>
                <w:bCs w:val="1"/>
                <w:color w:val="auto"/>
              </w:rPr>
              <w:t>with Company</w:t>
            </w:r>
          </w:p>
        </w:tc>
        <w:tc>
          <w:tcPr>
            <w:tcW w:w="340" w:type="dxa"/>
            <w:vAlign w:val="bottom"/>
          </w:tcPr>
          <w:p>
            <w:pPr>
              <w:spacing w:after="0"/>
              <w:rPr>
                <w:sz w:val="15"/>
                <w:szCs w:val="15"/>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Time Served</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4"/>
              </w:rPr>
              <w:t>Past 5 Years</w:t>
            </w:r>
          </w:p>
        </w:tc>
        <w:tc>
          <w:tcPr>
            <w:tcW w:w="0" w:type="dxa"/>
            <w:vAlign w:val="bottom"/>
          </w:tcPr>
          <w:p>
            <w:pPr>
              <w:spacing w:after="0"/>
              <w:rPr>
                <w:sz w:val="1"/>
                <w:szCs w:val="1"/>
                <w:color w:val="auto"/>
              </w:rPr>
            </w:pPr>
          </w:p>
        </w:tc>
      </w:tr>
      <w:tr>
        <w:trPr>
          <w:trHeight w:val="181"/>
        </w:trPr>
        <w:tc>
          <w:tcPr>
            <w:tcW w:w="1620" w:type="dxa"/>
            <w:vAlign w:val="bottom"/>
          </w:tcPr>
          <w:p>
            <w:pPr>
              <w:spacing w:after="0" w:line="182" w:lineRule="exact"/>
              <w:rPr>
                <w:sz w:val="20"/>
                <w:szCs w:val="20"/>
                <w:color w:val="auto"/>
              </w:rPr>
            </w:pPr>
            <w:r>
              <w:rPr>
                <w:rFonts w:ascii="Arial" w:cs="Arial" w:eastAsia="Arial" w:hAnsi="Arial"/>
                <w:sz w:val="18"/>
                <w:szCs w:val="18"/>
                <w:b w:val="1"/>
                <w:bCs w:val="1"/>
                <w:color w:val="auto"/>
                <w:w w:val="99"/>
              </w:rPr>
              <w:t>Interested Director</w:t>
            </w:r>
          </w:p>
        </w:tc>
        <w:tc>
          <w:tcPr>
            <w:tcW w:w="20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94"/>
              </w:rPr>
              <w:t>Arthur H. Penn (51)</w:t>
            </w:r>
            <w:r>
              <w:rPr>
                <w:rFonts w:ascii="Arial" w:cs="Arial" w:eastAsia="Arial" w:hAnsi="Arial"/>
                <w:sz w:val="11"/>
                <w:szCs w:val="11"/>
                <w:color w:val="auto"/>
                <w:w w:val="94"/>
              </w:rPr>
              <w:t>(3)</w:t>
            </w:r>
          </w:p>
        </w:tc>
        <w:tc>
          <w:tcPr>
            <w:tcW w:w="3160" w:type="dxa"/>
            <w:vAlign w:val="bottom"/>
            <w:gridSpan w:val="2"/>
          </w:tcPr>
          <w:p>
            <w:pPr>
              <w:ind w:left="2000"/>
              <w:spacing w:after="0"/>
              <w:rPr>
                <w:sz w:val="20"/>
                <w:szCs w:val="20"/>
                <w:color w:val="auto"/>
              </w:rPr>
            </w:pPr>
            <w:r>
              <w:rPr>
                <w:rFonts w:ascii="Arial" w:cs="Arial" w:eastAsia="Arial" w:hAnsi="Arial"/>
                <w:sz w:val="18"/>
                <w:szCs w:val="18"/>
                <w:color w:val="auto"/>
                <w:w w:val="91"/>
              </w:rPr>
              <w:t>Chief Executive</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PNNT - Class III</w:t>
            </w:r>
          </w:p>
        </w:tc>
        <w:tc>
          <w:tcPr>
            <w:tcW w:w="2840" w:type="dxa"/>
            <w:vAlign w:val="bottom"/>
          </w:tcPr>
          <w:p>
            <w:pPr>
              <w:spacing w:after="0"/>
              <w:rPr>
                <w:sz w:val="20"/>
                <w:szCs w:val="20"/>
                <w:color w:val="auto"/>
              </w:rPr>
            </w:pPr>
            <w:r>
              <w:rPr>
                <w:rFonts w:ascii="Arial" w:cs="Arial" w:eastAsia="Arial" w:hAnsi="Arial"/>
                <w:sz w:val="18"/>
                <w:szCs w:val="18"/>
                <w:color w:val="auto"/>
                <w:w w:val="88"/>
              </w:rPr>
              <w:t>Founder, Chairman and Chief Executive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60" w:type="dxa"/>
            <w:vAlign w:val="bottom"/>
            <w:gridSpan w:val="2"/>
          </w:tcPr>
          <w:p>
            <w:pPr>
              <w:ind w:left="2000"/>
              <w:spacing w:after="0"/>
              <w:rPr>
                <w:sz w:val="20"/>
                <w:szCs w:val="20"/>
                <w:color w:val="auto"/>
              </w:rPr>
            </w:pPr>
            <w:r>
              <w:rPr>
                <w:rFonts w:ascii="Arial" w:cs="Arial" w:eastAsia="Arial" w:hAnsi="Arial"/>
                <w:sz w:val="18"/>
                <w:szCs w:val="18"/>
                <w:color w:val="auto"/>
              </w:rPr>
              <w:t>Officer and</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Director since</w:t>
            </w:r>
          </w:p>
        </w:tc>
        <w:tc>
          <w:tcPr>
            <w:tcW w:w="2840" w:type="dxa"/>
            <w:vAlign w:val="bottom"/>
          </w:tcPr>
          <w:p>
            <w:pPr>
              <w:spacing w:after="0"/>
              <w:rPr>
                <w:sz w:val="20"/>
                <w:szCs w:val="20"/>
                <w:color w:val="auto"/>
              </w:rPr>
            </w:pPr>
            <w:r>
              <w:rPr>
                <w:rFonts w:ascii="Arial" w:cs="Arial" w:eastAsia="Arial" w:hAnsi="Arial"/>
                <w:sz w:val="18"/>
                <w:szCs w:val="18"/>
                <w:color w:val="auto"/>
              </w:rPr>
              <w:t>Officer of PNNT and of PFLT from</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60" w:type="dxa"/>
            <w:vAlign w:val="bottom"/>
            <w:gridSpan w:val="2"/>
          </w:tcPr>
          <w:p>
            <w:pPr>
              <w:ind w:left="2000"/>
              <w:spacing w:after="0"/>
              <w:rPr>
                <w:sz w:val="20"/>
                <w:szCs w:val="20"/>
                <w:color w:val="auto"/>
              </w:rPr>
            </w:pPr>
            <w:r>
              <w:rPr>
                <w:rFonts w:ascii="Arial" w:cs="Arial" w:eastAsia="Arial" w:hAnsi="Arial"/>
                <w:sz w:val="18"/>
                <w:szCs w:val="18"/>
                <w:color w:val="auto"/>
                <w:w w:val="88"/>
              </w:rPr>
              <w:t>Chairman of the</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February 2007;</w:t>
            </w:r>
          </w:p>
        </w:tc>
        <w:tc>
          <w:tcPr>
            <w:tcW w:w="2840" w:type="dxa"/>
            <w:vAlign w:val="bottom"/>
          </w:tcPr>
          <w:p>
            <w:pPr>
              <w:spacing w:after="0"/>
              <w:rPr>
                <w:sz w:val="20"/>
                <w:szCs w:val="20"/>
                <w:color w:val="auto"/>
              </w:rPr>
            </w:pPr>
            <w:r>
              <w:rPr>
                <w:rFonts w:ascii="Arial" w:cs="Arial" w:eastAsia="Arial" w:hAnsi="Arial"/>
                <w:sz w:val="18"/>
                <w:szCs w:val="18"/>
                <w:color w:val="auto"/>
              </w:rPr>
              <w:t>their inception in 2007 and 2010,</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60" w:type="dxa"/>
            <w:vAlign w:val="bottom"/>
            <w:gridSpan w:val="2"/>
          </w:tcPr>
          <w:p>
            <w:pPr>
              <w:ind w:left="2000"/>
              <w:spacing w:after="0"/>
              <w:rPr>
                <w:sz w:val="20"/>
                <w:szCs w:val="20"/>
                <w:color w:val="auto"/>
              </w:rPr>
            </w:pPr>
            <w:r>
              <w:rPr>
                <w:rFonts w:ascii="Arial" w:cs="Arial" w:eastAsia="Arial" w:hAnsi="Arial"/>
                <w:sz w:val="18"/>
                <w:szCs w:val="18"/>
                <w:color w:val="auto"/>
              </w:rPr>
              <w:t>Board of</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Term Expires 2016</w:t>
            </w:r>
          </w:p>
        </w:tc>
        <w:tc>
          <w:tcPr>
            <w:tcW w:w="2840" w:type="dxa"/>
            <w:vAlign w:val="bottom"/>
          </w:tcPr>
          <w:p>
            <w:pPr>
              <w:spacing w:after="0"/>
              <w:rPr>
                <w:sz w:val="20"/>
                <w:szCs w:val="20"/>
                <w:color w:val="auto"/>
              </w:rPr>
            </w:pPr>
            <w:r>
              <w:rPr>
                <w:rFonts w:ascii="Arial" w:cs="Arial" w:eastAsia="Arial" w:hAnsi="Arial"/>
                <w:sz w:val="18"/>
                <w:szCs w:val="18"/>
                <w:color w:val="auto"/>
              </w:rPr>
              <w:t>respectively. Mr. Penn also is the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60" w:type="dxa"/>
            <w:vAlign w:val="bottom"/>
            <w:gridSpan w:val="2"/>
          </w:tcPr>
          <w:p>
            <w:pPr>
              <w:ind w:left="2000"/>
              <w:spacing w:after="0"/>
              <w:rPr>
                <w:sz w:val="20"/>
                <w:szCs w:val="20"/>
                <w:color w:val="auto"/>
              </w:rPr>
            </w:pPr>
            <w:r>
              <w:rPr>
                <w:rFonts w:ascii="Arial" w:cs="Arial" w:eastAsia="Arial" w:hAnsi="Arial"/>
                <w:sz w:val="18"/>
                <w:szCs w:val="18"/>
                <w:color w:val="auto"/>
              </w:rPr>
              <w:t>Directors</w:t>
            </w: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1"/>
              </w:rPr>
              <w:t>Founder and Managing Member of the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8"/>
              </w:rPr>
              <w:t>Adviser. Before founding PNNT, Mr.</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8"/>
              </w:rPr>
              <w:t>Penn was the Co-Founder of Apollo</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88"/>
              </w:rPr>
              <w:t>Investment Management, where he was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89"/>
              </w:rPr>
              <w:t>a Managing Partner from 2004 to 2006.</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60" w:type="dxa"/>
            <w:vAlign w:val="bottom"/>
            <w:gridSpan w:val="2"/>
          </w:tcPr>
          <w:p>
            <w:pPr>
              <w:ind w:left="2000"/>
              <w:spacing w:after="0"/>
              <w:rPr>
                <w:sz w:val="20"/>
                <w:szCs w:val="20"/>
                <w:color w:val="auto"/>
              </w:rPr>
            </w:pPr>
            <w:r>
              <w:rPr>
                <w:rFonts w:ascii="Arial" w:cs="Arial" w:eastAsia="Arial" w:hAnsi="Arial"/>
                <w:sz w:val="18"/>
                <w:szCs w:val="18"/>
                <w:color w:val="auto"/>
                <w:w w:val="91"/>
              </w:rPr>
              <w:t>Chief Executive</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PFLT - Class III</w:t>
            </w:r>
          </w:p>
        </w:tc>
        <w:tc>
          <w:tcPr>
            <w:tcW w:w="2840" w:type="dxa"/>
            <w:vAlign w:val="bottom"/>
          </w:tcPr>
          <w:p>
            <w:pPr>
              <w:spacing w:after="0"/>
              <w:rPr>
                <w:sz w:val="20"/>
                <w:szCs w:val="20"/>
                <w:color w:val="auto"/>
              </w:rPr>
            </w:pPr>
            <w:r>
              <w:rPr>
                <w:rFonts w:ascii="Arial" w:cs="Arial" w:eastAsia="Arial" w:hAnsi="Arial"/>
                <w:sz w:val="18"/>
                <w:szCs w:val="18"/>
                <w:color w:val="auto"/>
              </w:rPr>
              <w:t>He also served as Chief Operating</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60" w:type="dxa"/>
            <w:vAlign w:val="bottom"/>
            <w:gridSpan w:val="2"/>
          </w:tcPr>
          <w:p>
            <w:pPr>
              <w:ind w:left="2000"/>
              <w:spacing w:after="0"/>
              <w:rPr>
                <w:sz w:val="20"/>
                <w:szCs w:val="20"/>
                <w:color w:val="auto"/>
              </w:rPr>
            </w:pPr>
            <w:r>
              <w:rPr>
                <w:rFonts w:ascii="Arial" w:cs="Arial" w:eastAsia="Arial" w:hAnsi="Arial"/>
                <w:sz w:val="18"/>
                <w:szCs w:val="18"/>
                <w:color w:val="auto"/>
              </w:rPr>
              <w:t>Officer and</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Director since</w:t>
            </w:r>
          </w:p>
        </w:tc>
        <w:tc>
          <w:tcPr>
            <w:tcW w:w="2840" w:type="dxa"/>
            <w:vAlign w:val="bottom"/>
          </w:tcPr>
          <w:p>
            <w:pPr>
              <w:spacing w:after="0"/>
              <w:rPr>
                <w:sz w:val="20"/>
                <w:szCs w:val="20"/>
                <w:color w:val="auto"/>
              </w:rPr>
            </w:pPr>
            <w:r>
              <w:rPr>
                <w:rFonts w:ascii="Arial" w:cs="Arial" w:eastAsia="Arial" w:hAnsi="Arial"/>
                <w:sz w:val="18"/>
                <w:szCs w:val="18"/>
                <w:color w:val="auto"/>
              </w:rPr>
              <w:t>Officer of Apollo Investment</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60" w:type="dxa"/>
            <w:vAlign w:val="bottom"/>
            <w:gridSpan w:val="2"/>
          </w:tcPr>
          <w:p>
            <w:pPr>
              <w:ind w:left="2000"/>
              <w:spacing w:after="0"/>
              <w:rPr>
                <w:sz w:val="20"/>
                <w:szCs w:val="20"/>
                <w:color w:val="auto"/>
              </w:rPr>
            </w:pPr>
            <w:r>
              <w:rPr>
                <w:rFonts w:ascii="Arial" w:cs="Arial" w:eastAsia="Arial" w:hAnsi="Arial"/>
                <w:sz w:val="18"/>
                <w:szCs w:val="18"/>
                <w:color w:val="auto"/>
                <w:w w:val="88"/>
              </w:rPr>
              <w:t>Chairman of the</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October 2010;</w:t>
            </w:r>
          </w:p>
        </w:tc>
        <w:tc>
          <w:tcPr>
            <w:tcW w:w="2840" w:type="dxa"/>
            <w:vAlign w:val="bottom"/>
          </w:tcPr>
          <w:p>
            <w:pPr>
              <w:spacing w:after="0"/>
              <w:rPr>
                <w:sz w:val="20"/>
                <w:szCs w:val="20"/>
                <w:color w:val="auto"/>
              </w:rPr>
            </w:pPr>
            <w:r>
              <w:rPr>
                <w:rFonts w:ascii="Arial" w:cs="Arial" w:eastAsia="Arial" w:hAnsi="Arial"/>
                <w:sz w:val="18"/>
                <w:szCs w:val="18"/>
                <w:color w:val="auto"/>
                <w:w w:val="95"/>
              </w:rPr>
              <w:t>Corporation from inception in 2004 to</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60" w:type="dxa"/>
            <w:vAlign w:val="bottom"/>
            <w:gridSpan w:val="2"/>
          </w:tcPr>
          <w:p>
            <w:pPr>
              <w:ind w:left="2000"/>
              <w:spacing w:after="0"/>
              <w:rPr>
                <w:sz w:val="20"/>
                <w:szCs w:val="20"/>
                <w:color w:val="auto"/>
              </w:rPr>
            </w:pPr>
            <w:r>
              <w:rPr>
                <w:rFonts w:ascii="Arial" w:cs="Arial" w:eastAsia="Arial" w:hAnsi="Arial"/>
                <w:sz w:val="18"/>
                <w:szCs w:val="18"/>
                <w:color w:val="auto"/>
              </w:rPr>
              <w:t>Board of</w:t>
            </w:r>
          </w:p>
        </w:tc>
        <w:tc>
          <w:tcPr>
            <w:tcW w:w="2380" w:type="dxa"/>
            <w:vAlign w:val="bottom"/>
            <w:gridSpan w:val="3"/>
          </w:tcPr>
          <w:p>
            <w:pPr>
              <w:ind w:left="340"/>
              <w:spacing w:after="0"/>
              <w:rPr>
                <w:sz w:val="20"/>
                <w:szCs w:val="20"/>
                <w:color w:val="auto"/>
              </w:rPr>
            </w:pPr>
            <w:r>
              <w:rPr>
                <w:rFonts w:ascii="Arial" w:cs="Arial" w:eastAsia="Arial" w:hAnsi="Arial"/>
                <w:sz w:val="18"/>
                <w:szCs w:val="18"/>
                <w:color w:val="auto"/>
              </w:rPr>
              <w:t>Term Expires 2017</w:t>
            </w:r>
          </w:p>
        </w:tc>
        <w:tc>
          <w:tcPr>
            <w:tcW w:w="2840" w:type="dxa"/>
            <w:vAlign w:val="bottom"/>
          </w:tcPr>
          <w:p>
            <w:pPr>
              <w:spacing w:after="0"/>
              <w:rPr>
                <w:sz w:val="20"/>
                <w:szCs w:val="20"/>
                <w:color w:val="auto"/>
              </w:rPr>
            </w:pPr>
            <w:r>
              <w:rPr>
                <w:rFonts w:ascii="Arial" w:cs="Arial" w:eastAsia="Arial" w:hAnsi="Arial"/>
                <w:sz w:val="18"/>
                <w:szCs w:val="18"/>
                <w:color w:val="auto"/>
                <w:w w:val="87"/>
              </w:rPr>
              <w:t>2006 and served as President and Chief</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60" w:type="dxa"/>
            <w:vAlign w:val="bottom"/>
            <w:gridSpan w:val="2"/>
          </w:tcPr>
          <w:p>
            <w:pPr>
              <w:ind w:left="2000"/>
              <w:spacing w:after="0"/>
              <w:rPr>
                <w:sz w:val="20"/>
                <w:szCs w:val="20"/>
                <w:color w:val="auto"/>
              </w:rPr>
            </w:pPr>
            <w:r>
              <w:rPr>
                <w:rFonts w:ascii="Arial" w:cs="Arial" w:eastAsia="Arial" w:hAnsi="Arial"/>
                <w:sz w:val="18"/>
                <w:szCs w:val="18"/>
                <w:color w:val="auto"/>
              </w:rPr>
              <w:t>Directors</w:t>
            </w: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2"/>
              </w:rPr>
              <w:t>Operating Officer in 2006. He formerly</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was a Managing Partner of Apollo</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Value Fund L.P. (formerly Apollo</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0"/>
              </w:rPr>
              <w:t>Distressed Investment Fund, L.P.) from</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2003 to 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each Company and of the Adviser.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Held by Director</w:t>
      </w:r>
    </w:p>
    <w:p>
      <w:pPr>
        <w:spacing w:after="0" w:line="11" w:lineRule="exact"/>
        <w:rPr>
          <w:sz w:val="20"/>
          <w:szCs w:val="20"/>
          <w:color w:val="auto"/>
        </w:rPr>
      </w:pPr>
    </w:p>
    <w:p>
      <w:pPr>
        <w:ind w:left="80" w:right="80" w:firstLine="28"/>
        <w:spacing w:after="0"/>
        <w:rPr>
          <w:sz w:val="20"/>
          <w:szCs w:val="20"/>
          <w:color w:val="auto"/>
        </w:rPr>
      </w:pPr>
      <w:r>
        <w:rPr>
          <w:rFonts w:ascii="Arial" w:cs="Arial" w:eastAsia="Arial" w:hAnsi="Arial"/>
          <w:sz w:val="12"/>
          <w:szCs w:val="12"/>
          <w:b w:val="1"/>
          <w:bCs w:val="1"/>
          <w:color w:val="auto"/>
        </w:rPr>
        <w:t>or Nominee for Director During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b w:val="1"/>
          <w:bCs w:val="1"/>
          <w:u w:val="single" w:color="auto"/>
          <w:color w:val="auto"/>
        </w:rPr>
        <w:t xml:space="preserve">the Past 5 Years </w:t>
      </w:r>
      <w:r>
        <w:rPr>
          <w:rFonts w:ascii="Arial" w:cs="Arial" w:eastAsia="Arial" w:hAnsi="Arial"/>
          <w:sz w:val="17"/>
          <w:szCs w:val="17"/>
          <w:b w:val="1"/>
          <w:bCs w:val="1"/>
          <w:u w:val="single" w:color="auto"/>
          <w:color w:val="auto"/>
          <w:vertAlign w:val="superscript"/>
        </w:rPr>
        <w:t>(2)</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ectPr>
          <w:pgSz w:w="11900" w:h="16838" w:orient="portrait"/>
          <w:cols w:equalWidth="0" w:num="2">
            <w:col w:w="10000" w:space="340"/>
            <w:col w:w="1080"/>
          </w:cols>
          <w:pgMar w:left="240" w:top="275"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Each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the Board of each Company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Companies’ Boards in determining whether the director is independent under NASDAQ corporate governance rules, the 1940 Act and applicable corporate governance guidelines. The Boards have determined that each of their directors, other than Mr. Penn, is independent under the applicable listing standards of the NASDAQ Global Select Market and the New York Stock Exchange and under the Exchange Act and the 1940 Act. Each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Each Board limits membership on its Audit Committee, its Nominating and Corporate Governance Committee and its Compensation Committee to Independent Directors.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Each Board performs its risk oversight function primarily through (1) its three standing committees, which report to the entire Board and are comprised solely of Independent Directors and (2) monitoring by the Company’s Chief Compliance Officer (the “CCO”) in accordance with the Company’s compliance policies and procedures.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described below in more detail under “Audit Committees”, “Nominating and Corporate Governance Committees” and “Compensation Committees”, each Board’s Audit Committee, Nominating and Corporate Governance Committee and Compensation Committee assist the Board in fulfilling its risk oversight responsibilities. Each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Each Nominating and Corporate Governance Committee’s risk oversight responsibilities include selecting, researching and nominating directors for election by the Company’s Stockholders, developing and recommending to its Board a set of corporate governance principles and overseeing the evaluation of the Board and the Company’s management. Each Compensation Committee’s risk oversight responsibilities include determining, or recommending to its Board for determining, the compensation of the Company’s chief executive officer and all other executive officers, paid directly by the Company, if any, and assisting its Board with matters related to compensation, as directed by each Board. The Audit Committee, the Nominating and Corporate Governance Committee and the Compensation Committee of each Board consist solely of Independent Directors.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Board also performs its risk oversight responsibilities with the assistance of a CCO, who is the same individual for both Companies. The Companies’ CCO prepares a written report annually discussing the adequacy and effectiveness of the compliance policies and procedures of the Companies and certain of their service providers. The CCO’s report, which is reviewed by the Boards, addresses, at a minimum: (1) the operation of the compliance policies and procedures of the Companies and certain of their service providers since the last report;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ind w:right="40" w:firstLine="8"/>
        <w:spacing w:after="0" w:line="256"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Boards would reasonably need to know to oversee the Companies’ compliance activities and risks. In addition, the CCO meets separately in executive session with the Independent Directors at least once each year.</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Company believes that its Board’s role in risk oversight is effective and appropriate given the extensive regulation to which it is already subject as a business development company. Specifically, as a business development company, each Company must comply with certain regulatory requirements that control the levels of risk in its business and operations. For example, the ability of each Company to incur indebtedness is limited by the asset coverage ratio set forth in the 1940 Act (including any relief thereto provided by the SEC) and each Company generally must invest at least 70% of its total assets in “qualifying assets.” Each Company also has elected to be treated as a regulated investment company (a “RIC”) under Subchapter M of the Internal Revenue Code of 1986, as amended. As a RIC, each Company must, among other things, meet certain income source and asset diversification requirements.</w:t>
      </w:r>
    </w:p>
    <w:p>
      <w:pPr>
        <w:spacing w:after="0" w:line="12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Each Company believes that the extent of its Board’s and its committees’ roles in risk oversight complements the Board’s leadership structure. Because they are comprised solely of Independent Directors, the Audit Committees, the Nominating and Corporate Governance Committees and Compensation Committees are able to exercise their oversight responsibilities without any conflict of interest that might discourage critical questioning and review. Through regular executive session meetings with the Companies’ independent registered public accounting firm, their CCO and their Chief Executive Officer, the Independent Directors have similarly established direct communication and oversight channels that the Boards believe foster open communication and early detection of issues of concern.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Company believes that its Board’s role in risk oversight must be evaluated on a case by case basis and that the current configuration and allocation of responsibilities among the Board and its committees with respect to the oversight of risk is appropriate. However, each Board and its committees continually re-examine the manner in which they administer their respective risk oversight functions, including through formal annual assessments of performance, to ensure that they meet their Company’s needs.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1940 Act requires that at least a majority of each Company’s directors not be “interested persons” (as defined in the 1940 Act) of the Company. Currently, four of the five directors on each Board are Independent Directors; however, the Chairman of the Boards is an interested person of each Company. The Independent Directors believe that the combined position of Chief Executive Officer of the Companies and Chairman of the Boards of the Companies results in greater efficiencies in managing the Companies, by eliminating the need to transfer substantial information quickly and repeatedly between the Chief Executive Officer and the Chairman, and the ability to capitalize on the specialized knowledge acquired from the duties of the roles. The Boards have not identified a lead Independent Director; however, each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each Board believes has prepared each director to be an effective director. Each Board believes that the significance of each director’s experience, qualifications, attributes and/or skills is an individual matter (meaning that experience that is important for one director may not have the same value for another) and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4" w:name="page15"/>
    <w:bookmarkEnd w:id="14"/>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these factors are best evaluated at the Board level, with no single director, or particular factor, being indicative of Board effectiveness. However, each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Each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6"/>
          <w:szCs w:val="16"/>
          <w:i w:val="1"/>
          <w:iCs w:val="1"/>
          <w:color w:val="auto"/>
        </w:rPr>
        <w:t>e.g</w:t>
      </w:r>
      <w:r>
        <w:rPr>
          <w:rFonts w:ascii="Arial" w:cs="Arial" w:eastAsia="Arial" w:hAnsi="Arial"/>
          <w:sz w:val="16"/>
          <w:szCs w:val="16"/>
          <w:color w:val="auto"/>
        </w:rPr>
        <w:t>., finance, accounting or law), public service or academic positions, experience from service as a board member (including the Boards of the Companies)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Companies’ counsel. Both the Independent Directors’ and the Companies’ counsels have significant experience advising funds and fund board members. Each Board and its committees have the ability to engage other experts as appropriate. Each Board evaluates its performance on an annual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As Chairman of each Board and Chief Executive Officer of each Company, Mr. Penn assumes a leading role in strategic planning and supports major transaction initiatives of the Companies. Mr. Penn also manages the day-to-day operations of the Companies, with the support of the other investment professionals and officers. As Chief Executive Officer, Mr. Penn has general responsibility for the implementation of the policies of the Companies, as determined by the Boards, and for the management of the business and affairs of the Companies.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Companies</w:t>
      </w:r>
    </w:p>
    <w:p>
      <w:pPr>
        <w:spacing w:after="0" w:line="11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Each Board believes that, collectively, the directors have balanced and diverse experience, qualifications, attributes and skills, which allow the Board to operate effectively in governing the Company and protecting the interests of its Stockholders. Below is a description of the various experiences, qualifications, attributes and/or skills with respect to each director considered by the Boards.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Board benefits from Mr. Penn’s business leadership and experience and knowledge of senior loan, mezzanine lending, leveraged finance, distressed debt and private equity businesses, as well as diverse management practices. Mr. Penn is the Founder, Chairman and Chief Executive Officer of the Companies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Companies and Managing Member of the Adviser and the Administrator provide him with a specific and valuable understanding of the Companies, their operations and the business and regulatory issues facing them.</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Adam K. Bernstein</w:t>
      </w:r>
    </w:p>
    <w:p>
      <w:pPr>
        <w:spacing w:after="0" w:line="90"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Mr. Bernstein brings to the Boards 28 years of experience in leading a real estate development, investment and management business in the Mid-Atlantic region of the United States. Mr. Bernstein affords the Boards his vast experience in the area of strategic and financial planning and capital and risk management. Mr. Bernstein is President of The Bernstein Companies, a Washington D.C.-based real estate investment and development firm, which he joined in 1986. Mr.</w:t>
      </w:r>
    </w:p>
    <w:p>
      <w:pPr>
        <w:spacing w:after="0" w:line="1"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Mr. Brozost brings to the Boards 20 years of experience in the areas of finance, private equity, mergers and acquisitions and restructurings. Since May 2012, Mr. Brozost has been a Partner at Schulte Roth &amp; Zabel LLP, where he practices in the real estate and private equity groups. Prior to Schulte Roth &amp; Zabel, Mr. Brozost practiced law at Dewey &amp; LeBoeuf LLP from 2005 to 2012, at Solomon &amp; Weinberg LLP from 2004 to 2005 and at O’Melveny &amp; Myers LLP from 2001 to 2004. Mr. Brozost also served as a Vice President of Nomura Asset Capital Corporation from 1997 through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Mr. Flug brings to the Boards expertise in fixed income, investment banking, accounting and business operations. Since 2009, Mr. Flug has held a variety of senior positions, including, currently, President of Union Square Hospitality Group, an exclusive chain of restaurants. Since October 2012, Mr. Flug has been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Katz brings to the Boards a diverse knowledge of business and finance as a result of his career over the past 28 years.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Each Board has established an Audit Committee, a Nominating and Corporate Governance Committee and a Compensation Committee. For the fiscal year ended September 30, 2014, the Board of PNNT held six board meetings, five Audit Committee meetings, one Nominating and Corporate Governance Committee meeting and one Compensation Committee meeting and the Board of PFLT held five board meetings, five Audit Committee meetings, one Nominating and Corporate Governance Committee meeting and one Compensation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jc w:val="both"/>
        <w:ind w:right="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All directors attended at least 75% of the aggregate number of meetings of the respective Board and of the respective committees on which they served. The Companies require each director to make a diligent effort to attend all Board and committee meetings, and encourage directors to attend the Companies’ joint annual stockholders’ meetings. For the fiscal year ended September 30, 2014, all of the members of the Boards attended the joint annual stockholders’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w:t>
      </w:r>
    </w:p>
    <w:p>
      <w:pPr>
        <w:spacing w:after="0" w:line="9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members of the Audit Committee of each Company are Messrs. Bernstein, Brozost, Flug and Katz, each of whom is independent for purposes of the 1940 Act and the NASDAQ corporate governance rules. Messrs. Flug and Katz serve as Co-Chairmen of the Audit Committees. Each Audit Committee operates pursuant to a separate Audit Committee Charter approved by its Board. Each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their quarterly reports on Form 10-Q; pre-approving the auditors’ engagement to render audit and/or permissible non-audit services; reviewing and approving all related party transactions; and evaluating the qualifications, performance and independence of the auditors. The Audit Committees are also responsible for aiding the Boards in fair valuing the Companies’ portfolio securities that are not publicly traded or for which current market values are not readily available. The Boards and Audit Committees use the services of nationally recognized independent valuation firms to help them determine the fair value of certain securities held by the Companies. The Boards have determined that each of Messrs. Flug and Katz is an “audit committee financial expert” as that term is defined under Item 407 of Regulation S-K under the Exchange Act. Each Audit Committee Charter is available on the Companies’ website (http://www.pennantpark.com).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members of the Nominating and Corporate Governance Committee of each Company are Messrs. Bernstein, Brozost, Flug and Katz, each of whom is independent for purposes of the 1940 Act and the NASDAQ corporate governance rules. Messrs. Bernstein and Brozost serve as Co-Chairmen of the Nominating and Corporate Governance Committees. Each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each Company has adopted a written Nominating and Corporate Governance Committee Charter that is available on the Companies’ website (http://www.pennantpark.com).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a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Criteria considered by the Nominating and Corporate Governance Committees in evaluating the qualifications of individuals for election as director of the Boards include: compliance with the independence and other applicable requirements of the NASDAQ corporate governance rules and the 1940 Act, and all other applicable laws, rules, regulations and listing standards; the criteria, policies and principles set forth in the Companies’ Nominating and Corporate Governance Committee Charters; and the ability to contribute to the effective management of the Companies, taking into account the needs of the Companies and such factors as the individual’s experience, perspective, skills and knowledge of the industry in which the Companies operate. Neither Nominating and Corporate Governance Committee has adopted a formal policy with regard to the consideration of diversity in identifying individuals for election as members of the Board, but the Nominating and Corporate Governance Committees will consider such factors as they may deem are in the best interests of the Companies and their Stockholders. Those factors may include a person’s differences of viewpoint, professional experience, education and skills, as well as his or her race, gender and national origin. In addition, as part of each Board’s annual-self assessment, the members of the Nominating and Corporate Governance Committee evaluates the membership of the Board and whether the Board maintains satisfactory policies regarding membership selection.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each Board with all matters related to compensation, as directed by each Board. The current members of the Compensation Committee are Messrs. Bernstein, Brozost, Flug and Katz, each of whom is independent for purposes of the 1940 Act and the NASDAQ corporate governance rules. As discussed below, none of our executive officers is directly compensated by either Company and, as a result, the Compensation Committees do not produce and/or review and report on executive compensation practices. Each Compensation Committee Charter is available on the Companies’ website (http://www.pennantpark.com).</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Communication with the Boards of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Stockholders with questions about a Company are encouraged to contact the Companies’ Investor Relations Department at 590 Madison Avenue, 15th Floor, New York, New York 10022 or by visiting the investor relations web page on our website (http://www.pennantpark.com). However, if Stockholders believe that their questions have not been addressed, they may communicate with the relevant Board by sending their communications to Thomas J. Friedmann, Secretary, c/o PennantPark, 590 Madison Avenue, 15th Floor, New York, New York 10022. All Stockholder communications received in this manner will be delivered to one or more members of the relevant Board.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Executive Officer Who is Not a Director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pertains to our executive officer who is not a director of the Companies.</w:t>
      </w:r>
    </w:p>
    <w:p>
      <w:pPr>
        <w:sectPr>
          <w:pgSz w:w="11900" w:h="16838" w:orient="portrait"/>
          <w:cols w:equalWidth="0" w:num="1">
            <w:col w:w="11420"/>
          </w:cols>
          <w:pgMar w:left="240" w:top="274"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Address</w:t>
      </w:r>
    </w:p>
    <w:p>
      <w:pPr>
        <w:spacing w:after="0" w:line="190" w:lineRule="auto"/>
        <w:rPr>
          <w:sz w:val="20"/>
          <w:szCs w:val="20"/>
          <w:color w:val="auto"/>
        </w:rPr>
      </w:pPr>
      <w:r>
        <w:rPr>
          <w:rFonts w:ascii="Arial" w:cs="Arial" w:eastAsia="Arial" w:hAnsi="Arial"/>
          <w:sz w:val="14"/>
          <w:szCs w:val="14"/>
          <w:b w:val="1"/>
          <w:bCs w:val="1"/>
          <w:color w:val="auto"/>
        </w:rPr>
        <w:t xml:space="preserve">and Age </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91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Aviv Efrat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917575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Position(s) held</w:t>
            </w:r>
          </w:p>
        </w:tc>
        <w:tc>
          <w:tcPr>
            <w:tcW w:w="6720" w:type="dxa"/>
            <w:vAlign w:val="bottom"/>
          </w:tcPr>
          <w:p>
            <w:pPr>
              <w:spacing w:after="0"/>
              <w:rPr>
                <w:sz w:val="14"/>
                <w:szCs w:val="14"/>
                <w:color w:val="auto"/>
              </w:rPr>
            </w:pPr>
          </w:p>
        </w:tc>
      </w:tr>
      <w:tr>
        <w:trPr>
          <w:trHeight w:val="175"/>
        </w:trPr>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with the Companies</w:t>
            </w:r>
          </w:p>
        </w:tc>
        <w:tc>
          <w:tcPr>
            <w:tcW w:w="6720" w:type="dxa"/>
            <w:vAlign w:val="bottom"/>
          </w:tcPr>
          <w:p>
            <w:pPr>
              <w:ind w:left="1980"/>
              <w:spacing w:after="0"/>
              <w:rPr>
                <w:sz w:val="20"/>
                <w:szCs w:val="20"/>
                <w:color w:val="auto"/>
              </w:rPr>
            </w:pPr>
            <w:r>
              <w:rPr>
                <w:rFonts w:ascii="Arial" w:cs="Arial" w:eastAsia="Arial" w:hAnsi="Arial"/>
                <w:sz w:val="14"/>
                <w:szCs w:val="14"/>
                <w:b w:val="1"/>
                <w:bCs w:val="1"/>
                <w:color w:val="auto"/>
              </w:rPr>
              <w:t>Principal Occupation(s) During the Past 5 Years</w:t>
            </w:r>
          </w:p>
        </w:tc>
      </w:tr>
      <w:tr>
        <w:trPr>
          <w:trHeight w:val="201"/>
        </w:trPr>
        <w:tc>
          <w:tcPr>
            <w:tcW w:w="27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PNNT and PFLT -</w:t>
            </w:r>
          </w:p>
        </w:tc>
        <w:tc>
          <w:tcPr>
            <w:tcW w:w="120" w:type="dxa"/>
            <w:vAlign w:val="bottom"/>
          </w:tcPr>
          <w:p>
            <w:pPr>
              <w:spacing w:after="0"/>
              <w:rPr>
                <w:sz w:val="17"/>
                <w:szCs w:val="17"/>
                <w:color w:val="auto"/>
              </w:rPr>
            </w:pPr>
          </w:p>
        </w:tc>
        <w:tc>
          <w:tcPr>
            <w:tcW w:w="6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Chief Financial Officer and Treasurer of PNNT and PFLT from their inception in 2007 and</w:t>
            </w:r>
          </w:p>
        </w:tc>
      </w:tr>
      <w:tr>
        <w:trPr>
          <w:trHeight w:val="216"/>
        </w:trPr>
        <w:tc>
          <w:tcPr>
            <w:tcW w:w="28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Chief Financial Officer and Treasurer</w:t>
            </w:r>
          </w:p>
        </w:tc>
        <w:tc>
          <w:tcPr>
            <w:tcW w:w="6720" w:type="dxa"/>
            <w:vAlign w:val="bottom"/>
          </w:tcPr>
          <w:p>
            <w:pPr>
              <w:spacing w:after="0"/>
              <w:rPr>
                <w:sz w:val="20"/>
                <w:szCs w:val="20"/>
                <w:color w:val="auto"/>
              </w:rPr>
            </w:pPr>
            <w:r>
              <w:rPr>
                <w:rFonts w:ascii="Arial" w:cs="Arial" w:eastAsia="Arial" w:hAnsi="Arial"/>
                <w:sz w:val="18"/>
                <w:szCs w:val="18"/>
                <w:color w:val="auto"/>
                <w:w w:val="92"/>
              </w:rPr>
              <w:t>2010, respectively. Managing Director of the Administrator from inception in 2007. Mr. Efrat</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2"/>
              </w:rPr>
              <w:t>was a Director at BlackRock, Inc., where he was responsible for a variety of administrative,</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87"/>
              </w:rPr>
              <w:t>operational, and financial aspects of closed-end and open-end registered investment companies</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0"/>
              </w:rPr>
              <w:t>from 1997 to 2007. From 1994 to 1997, Mr. Efrat was in the Investment Companies Business</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3"/>
              </w:rPr>
              <w:t>Unit at Deloitte &amp; Touche LLP. He is a member of the American Institute of Certified Public</w:t>
            </w:r>
          </w:p>
        </w:tc>
      </w:tr>
      <w:tr>
        <w:trPr>
          <w:trHeight w:val="222"/>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Accountants and the New York State Society of Certified Public Accountants.</w:t>
            </w:r>
          </w:p>
        </w:tc>
      </w:tr>
    </w:tbl>
    <w:p>
      <w:pPr>
        <w:spacing w:after="0" w:line="142" w:lineRule="exact"/>
        <w:rPr>
          <w:sz w:val="20"/>
          <w:szCs w:val="20"/>
          <w:color w:val="auto"/>
        </w:rPr>
      </w:pPr>
    </w:p>
    <w:p>
      <w:pPr>
        <w:sectPr>
          <w:pgSz w:w="11900" w:h="16838" w:orient="portrait"/>
          <w:cols w:equalWidth="0" w:num="2">
            <w:col w:w="1120" w:space="720"/>
            <w:col w:w="9580"/>
          </w:cols>
          <w:pgMar w:left="240" w:top="274" w:right="239" w:bottom="1440" w:gutter="0" w:footer="0" w:header="0"/>
          <w:type w:val="continuous"/>
        </w:sect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pertains to our CCO who is not a director of the Companies.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2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Position held</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line="162" w:lineRule="exact"/>
              <w:rPr>
                <w:sz w:val="20"/>
                <w:szCs w:val="20"/>
                <w:color w:val="auto"/>
              </w:rPr>
            </w:pPr>
            <w:r>
              <w:rPr>
                <w:rFonts w:ascii="Arial" w:cs="Arial" w:eastAsia="Arial" w:hAnsi="Arial"/>
                <w:sz w:val="12"/>
                <w:szCs w:val="12"/>
                <w:b w:val="1"/>
                <w:bCs w:val="1"/>
                <w:color w:val="auto"/>
              </w:rPr>
              <w:t xml:space="preserve">and Age </w:t>
            </w:r>
            <w:r>
              <w:rPr>
                <w:rFonts w:ascii="Arial" w:cs="Arial" w:eastAsia="Arial" w:hAnsi="Arial"/>
                <w:sz w:val="18"/>
                <w:szCs w:val="18"/>
                <w:b w:val="1"/>
                <w:bCs w:val="1"/>
                <w:color w:val="auto"/>
                <w:vertAlign w:val="superscript"/>
              </w:rPr>
              <w:t>(1)</w:t>
            </w:r>
          </w:p>
        </w:tc>
        <w:tc>
          <w:tcPr>
            <w:tcW w:w="1480" w:type="dxa"/>
            <w:vAlign w:val="bottom"/>
          </w:tcPr>
          <w:p>
            <w:pPr>
              <w:spacing w:after="0"/>
              <w:rPr>
                <w:sz w:val="14"/>
                <w:szCs w:val="14"/>
                <w:color w:val="auto"/>
              </w:rPr>
            </w:pPr>
          </w:p>
        </w:tc>
        <w:tc>
          <w:tcPr>
            <w:tcW w:w="2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with the Companies</w:t>
            </w:r>
          </w:p>
        </w:tc>
        <w:tc>
          <w:tcPr>
            <w:tcW w:w="6040" w:type="dxa"/>
            <w:vAlign w:val="bottom"/>
          </w:tcPr>
          <w:p>
            <w:pPr>
              <w:ind w:left="164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Guy F. Talarico (59)</w:t>
            </w:r>
          </w:p>
        </w:tc>
        <w:tc>
          <w:tcPr>
            <w:tcW w:w="2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420" w:type="dxa"/>
            <w:vAlign w:val="bottom"/>
            <w:gridSpan w:val="2"/>
            <w:vMerge w:val="continue"/>
          </w:tcPr>
          <w:p>
            <w:pPr>
              <w:spacing w:after="0"/>
              <w:rPr>
                <w:sz w:val="16"/>
                <w:szCs w:val="16"/>
                <w:color w:val="auto"/>
              </w:rPr>
            </w:pPr>
          </w:p>
        </w:tc>
        <w:tc>
          <w:tcPr>
            <w:tcW w:w="2740" w:type="dxa"/>
            <w:vAlign w:val="bottom"/>
          </w:tcPr>
          <w:p>
            <w:pPr>
              <w:jc w:val="center"/>
              <w:spacing w:after="0" w:line="189" w:lineRule="exact"/>
              <w:rPr>
                <w:sz w:val="20"/>
                <w:szCs w:val="20"/>
                <w:color w:val="auto"/>
              </w:rPr>
            </w:pPr>
            <w:r>
              <w:rPr>
                <w:rFonts w:ascii="Arial" w:cs="Arial" w:eastAsia="Arial" w:hAnsi="Arial"/>
                <w:sz w:val="18"/>
                <w:szCs w:val="18"/>
                <w:color w:val="auto"/>
                <w:w w:val="89"/>
              </w:rPr>
              <w:t>PNNT and PFLT - Chief Compliance</w:t>
            </w:r>
          </w:p>
        </w:tc>
        <w:tc>
          <w:tcPr>
            <w:tcW w:w="220" w:type="dxa"/>
            <w:vAlign w:val="bottom"/>
          </w:tcPr>
          <w:p>
            <w:pPr>
              <w:spacing w:after="0"/>
              <w:rPr>
                <w:sz w:val="16"/>
                <w:szCs w:val="16"/>
                <w:color w:val="auto"/>
              </w:rPr>
            </w:pPr>
          </w:p>
        </w:tc>
        <w:tc>
          <w:tcPr>
            <w:tcW w:w="6040" w:type="dxa"/>
            <w:vAlign w:val="bottom"/>
          </w:tcPr>
          <w:p>
            <w:pPr>
              <w:spacing w:after="0" w:line="189" w:lineRule="exact"/>
              <w:rPr>
                <w:sz w:val="20"/>
                <w:szCs w:val="20"/>
                <w:color w:val="auto"/>
              </w:rPr>
            </w:pPr>
            <w:r>
              <w:rPr>
                <w:rFonts w:ascii="Arial" w:cs="Arial" w:eastAsia="Arial" w:hAnsi="Arial"/>
                <w:sz w:val="18"/>
                <w:szCs w:val="18"/>
                <w:color w:val="auto"/>
                <w:w w:val="96"/>
              </w:rPr>
              <w:t>Chief Compliance Officer of PNNT and PFLT from May 2008 and March 2011,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9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Officer</w:t>
            </w:r>
          </w:p>
        </w:tc>
        <w:tc>
          <w:tcPr>
            <w:tcW w:w="6040" w:type="dxa"/>
            <w:vAlign w:val="bottom"/>
          </w:tcPr>
          <w:p>
            <w:pPr>
              <w:spacing w:after="0"/>
              <w:rPr>
                <w:sz w:val="20"/>
                <w:szCs w:val="20"/>
                <w:color w:val="auto"/>
              </w:rPr>
            </w:pPr>
            <w:r>
              <w:rPr>
                <w:rFonts w:ascii="Arial" w:cs="Arial" w:eastAsia="Arial" w:hAnsi="Arial"/>
                <w:sz w:val="18"/>
                <w:szCs w:val="18"/>
                <w:color w:val="auto"/>
                <w:w w:val="94"/>
              </w:rPr>
              <w:t>respectively. Mr. Talarico has held the position of Chief Compliance Officer for 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0"/>
              </w:rPr>
              <w:t>number of investment advisers, private funds and investment companies from 2004</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when he founded Alaric Compliance Services,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Companies’ policies and procedures and all laws, rules and regulations of any applicable international, federal, provincial, state or local government. To this effect, each Company has adopted a Joint Code of Conduct, which is posted on the Companies’ website (http://www.pennantpark.com). The Joint Code of Conduct applies to the directors, officers and their respective staffs.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required by the 1940 Act, each Company maintains a Joint Code of Ethics with the Adviser that establishes procedures that apply to the Companies’ directors, officers, their respective staffs and the employees of the Adviser with respect to their personal investments and investment transactions. The Joint Code of Ethics generally does not permit investments by a Company’s directors, officers or any other covered person in securities that may be purchased or held by the Company. PNNT and PFLT each filed its Joint Code of Ethics as Exhibit 14.1 to its Annual Report on Form 10-K, filed with the SEC on November 12 and 13, 2014, respectively. You may access the Joint Codes of Ethics via the Internet site of the SEC (http://www.sec.gov) or our website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type w:val="continuous"/>
        </w:sectPr>
      </w:pPr>
    </w:p>
    <w:bookmarkStart w:id="19" w:name="page20"/>
    <w:bookmarkEnd w:id="1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(http://www.pennantpark.com). Each Company intends to disclose any material amendments to or waivers of required provisions of its Joint Code of Conduct or its Joint Code of Ethics on Form 8-K.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PNNT, each Independent Director receives an annual payment of $110,000 for services performed on behalf of PNNT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PNNT has purchased directors’ and officers’ liability insurance on behalf of its directors and officers.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 Prior to May 7, 2014, each Independent Director received an annual payment of $90,000 for services performed on behalf of PNNT as a director.</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PFLT, each Independent Director receives an annual payment of $50,000 for services performed on behalf of PFLT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PFLT has purchased directors’ and officers’ liability insurance on behalf of its directors and officers.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 Prior to May 7, 2014, each Independent Director received $1,250 for services performed on behalf of PFLT as a director.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regarding the compensation paid by the Companies to our directors for the fiscal year ended September 30,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is paid directly by either Company to any interested director or executive officer of the Companies.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b w:val="1"/>
                <w:bCs w:val="1"/>
                <w:color w:val="auto"/>
              </w:rPr>
              <w:t>PNNT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PFLT</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2"/>
              </w:rPr>
              <w:t>Pension or</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2"/>
              </w:rPr>
              <w:t>Pension or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Aggregate</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Aggregate</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benefits</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2"/>
              </w:rPr>
              <w:t>benefits accrued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accrued as</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9"/>
              </w:rPr>
              <w:t>from the</w:t>
            </w:r>
          </w:p>
        </w:tc>
        <w:tc>
          <w:tcPr>
            <w:tcW w:w="152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144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c>
          <w:tcPr>
            <w:tcW w:w="100" w:type="dxa"/>
            <w:vAlign w:val="bottom"/>
          </w:tcPr>
          <w:p>
            <w:pPr>
              <w:spacing w:after="0"/>
              <w:rPr>
                <w:sz w:val="11"/>
                <w:szCs w:val="11"/>
                <w:color w:val="auto"/>
              </w:rPr>
            </w:pPr>
          </w:p>
        </w:tc>
        <w:tc>
          <w:tcPr>
            <w:tcW w:w="126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5"/>
              </w:rPr>
              <w:t>from the</w:t>
            </w:r>
          </w:p>
        </w:tc>
        <w:tc>
          <w:tcPr>
            <w:tcW w:w="120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w w:val="88"/>
              </w:rPr>
              <w:t>part of our</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62"/>
        </w:trPr>
        <w:tc>
          <w:tcPr>
            <w:tcW w:w="2620" w:type="dxa"/>
            <w:vAlign w:val="bottom"/>
            <w:gridSpan w:val="6"/>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Company</w:t>
            </w:r>
          </w:p>
        </w:tc>
        <w:tc>
          <w:tcPr>
            <w:tcW w:w="152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0"/>
              </w:rPr>
              <w:t xml:space="preserve">expense </w:t>
            </w:r>
            <w:r>
              <w:rPr>
                <w:rFonts w:ascii="Arial" w:cs="Arial" w:eastAsia="Arial" w:hAnsi="Arial"/>
                <w:sz w:val="18"/>
                <w:szCs w:val="18"/>
                <w:b w:val="1"/>
                <w:bCs w:val="1"/>
                <w:color w:val="auto"/>
                <w:w w:val="90"/>
                <w:vertAlign w:val="superscript"/>
              </w:rPr>
              <w:t>(1)</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Company</w:t>
            </w:r>
          </w:p>
        </w:tc>
        <w:tc>
          <w:tcPr>
            <w:tcW w:w="1200" w:type="dxa"/>
            <w:vAlign w:val="bottom"/>
            <w:gridSpan w:val="2"/>
          </w:tcPr>
          <w:p>
            <w:pPr>
              <w:jc w:val="right"/>
              <w:ind w:right="580"/>
              <w:spacing w:after="0" w:line="162" w:lineRule="exact"/>
              <w:rPr>
                <w:sz w:val="20"/>
                <w:szCs w:val="20"/>
                <w:color w:val="auto"/>
              </w:rPr>
            </w:pPr>
            <w:r>
              <w:rPr>
                <w:rFonts w:ascii="Arial" w:cs="Arial" w:eastAsia="Arial" w:hAnsi="Arial"/>
                <w:sz w:val="12"/>
                <w:szCs w:val="12"/>
                <w:b w:val="1"/>
                <w:bCs w:val="1"/>
                <w:color w:val="auto"/>
                <w:w w:val="90"/>
              </w:rPr>
              <w:t xml:space="preserve">expense </w:t>
            </w:r>
            <w:r>
              <w:rPr>
                <w:rFonts w:ascii="Arial" w:cs="Arial" w:eastAsia="Arial" w:hAnsi="Arial"/>
                <w:sz w:val="18"/>
                <w:szCs w:val="18"/>
                <w:b w:val="1"/>
                <w:bCs w:val="1"/>
                <w:color w:val="auto"/>
                <w:w w:val="90"/>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Independent directors</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9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112,500</w:t>
            </w:r>
          </w:p>
        </w:tc>
        <w:tc>
          <w:tcPr>
            <w:tcW w:w="5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112,500</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58,750</w:t>
            </w:r>
          </w:p>
        </w:tc>
        <w:tc>
          <w:tcPr>
            <w:tcW w:w="120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58,750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58,750</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120,000</w:t>
            </w:r>
          </w:p>
        </w:tc>
        <w:tc>
          <w:tcPr>
            <w:tcW w:w="5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61,250</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61,250</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620" w:type="dxa"/>
            <w:vAlign w:val="bottom"/>
            <w:gridSpan w:val="6"/>
          </w:tcPr>
          <w:p>
            <w:pPr>
              <w:spacing w:after="0"/>
              <w:rPr>
                <w:sz w:val="20"/>
                <w:szCs w:val="20"/>
                <w:color w:val="auto"/>
              </w:rPr>
            </w:pPr>
            <w:r>
              <w:rPr>
                <w:rFonts w:ascii="Arial" w:cs="Arial" w:eastAsia="Arial" w:hAnsi="Arial"/>
                <w:sz w:val="18"/>
                <w:szCs w:val="18"/>
                <w:b w:val="1"/>
                <w:bCs w:val="1"/>
                <w:color w:val="auto"/>
              </w:rPr>
              <w:t>Interested director</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84"/>
        </w:trPr>
        <w:tc>
          <w:tcPr>
            <w:tcW w:w="2620" w:type="dxa"/>
            <w:vAlign w:val="bottom"/>
            <w:gridSpan w:val="6"/>
          </w:tcPr>
          <w:p>
            <w:pPr>
              <w:spacing w:after="0"/>
              <w:rPr>
                <w:sz w:val="20"/>
                <w:szCs w:val="20"/>
                <w:color w:val="auto"/>
              </w:rPr>
            </w:pPr>
            <w:r>
              <w:rPr>
                <w:rFonts w:ascii="Arial" w:cs="Arial" w:eastAsia="Arial" w:hAnsi="Arial"/>
                <w:sz w:val="18"/>
                <w:szCs w:val="18"/>
                <w:b w:val="1"/>
                <w:bCs w:val="1"/>
                <w:color w:val="auto"/>
              </w:rPr>
              <w:t>Executive officer</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0" w:name="page21"/>
    <w:bookmarkEnd w:id="20"/>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Efrat also is an employee of the Administrator.</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9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Each Company’s investment activities are managed by the Adviser and supervised by its Board, 80% of who are Independent Directors. Each Company’s Investment Management Agreement with the Adviser was re-approved by its Board, including a majority of the Independent Directors, in February 2014. Under each Company’s Investment Management Agreement, the Adviser, subject to the overall supervision of the Board, manages the day-to-day operations of and provides investment advisory services to the Company. For providing these services, the Adviser receives a fee from each Company, consisting of two components: a base management fee and an incentive fee. For the fiscal year ended September 30, 2014, the Adviser earned a base management fee of $24.3 million and an incentive fee of $17.8 million from PNNT, and a base management fee of $3.7 million and an incentive fee of $3.5 million from PFLT.</w:t>
      </w:r>
    </w:p>
    <w:p>
      <w:pPr>
        <w:spacing w:after="0" w:line="10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Each Company’s Administration Agreement with the Administrator was re-approved by its Board, including a majority of the Independent Directors, in February 2014. Under each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Aviv Efrat, each Company’s Chief Financial Officer, is the Managing Director of the Administrator. For the fiscal year ended September 30, 2014, the Adviser and the Administrator, collectively, were reimbursed $3.0 million from PNNT and $0.5 million from PFLT, for the services described above.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 has granted a non-exclusive, royalty-free license to each Company to use the name “PennantPark.”</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pursuant to the terms of each Administration Agreement, the Administrator provides the Companies with the office facilities and administrative services necessary to conduct their day-to-day operations. The Adviser is the sole member of, and controls, the Administrator.</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of each Company, in consultation with the Companies’ Chief Executive Officer, CCO and legal counsel, has established a written policy to govern the review of potential related party transactions. The Audit Committee of each Company conducts quarterly reviews of any potential related party transactions and, during these reviews, it also considers any conflicts of interest brought to its attention pursuant to the Company’s Joint Code of Conduct or Joint Code of Ethics.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 SELECTION OF INDEPENDENT REGISTERED PUBLIC ACCOUNTING FIRM</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respective Audit Committees and the non-interested directors have selected McGladrey LLP (“McGladrey”) to serve as the independent registered public accounting firm for the Companies for the fiscal year ending September 30, 2015. This selection is subject to ratification or rejection by the stockholders of the Companies.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21, 2013, the Board of each Company dismissed KPMG LLP (“KPMG”) as the Companies’ independent registered public accounting firm.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Boards’ decision to dismiss KPMG was recommended by each Audit Committee.</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KPMG served as the Companies’ independent registered public accounting firm for the Company’s fiscal years ended September 30, 2012 and 2013. The reports of KPMG on the financial statements of each Company for the years ended September 30, 2012 and 2013 did not contain an adverse opinion or disclaimer of opinion and were not qualified or modified as to uncertainty, audit scope or accounting principles.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its dismissal, there were no disagreements with KPMG on any matter of accounting principles or practices, financial statement disclosure, or auditing scope or procedure, which disagreements if not resolved to the satisfaction of KPMG would have caused it to make reference to the subject matter of the disagreements in connection with its report, nor were there any “reportable events” as such term as described in Item 304(a)(1)(v) of Regulation S-K, promulgated under the Exchange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21, 2013, upon the recommendation of its Audit Committee, each Board, including a majority of the Independent Directors, engaged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McGladrey to serve as the independent registered accounting firm to audit the applicable Company’s consolidated financial statements for the fiscal year 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The Companies’ stockholders subsequently ratified that selection.</w:t>
      </w:r>
    </w:p>
    <w:p>
      <w:pPr>
        <w:spacing w:after="0" w:line="165" w:lineRule="exact"/>
        <w:rPr>
          <w:sz w:val="20"/>
          <w:szCs w:val="20"/>
          <w:color w:val="auto"/>
        </w:rPr>
      </w:pPr>
    </w:p>
    <w:p>
      <w:pPr>
        <w:ind w:right="260" w:firstLine="456"/>
        <w:spacing w:after="0" w:line="303" w:lineRule="auto"/>
        <w:rPr>
          <w:sz w:val="20"/>
          <w:szCs w:val="20"/>
          <w:color w:val="auto"/>
        </w:rPr>
      </w:pPr>
      <w:r>
        <w:rPr>
          <w:rFonts w:ascii="Arial" w:cs="Arial" w:eastAsia="Arial" w:hAnsi="Arial"/>
          <w:sz w:val="15"/>
          <w:szCs w:val="15"/>
          <w:color w:val="auto"/>
        </w:rPr>
        <w:t>During the Companies’ fiscal years ended September 30, 2012 and 2013 and through November 21, 2013, the date of the engagement of McGladrey, neither the Companies nor any person on their behalf has consulted with McGladrey with respect to either (i) the application of accounting principles to a specified transaction, either completed or proposed, or the type of audit opinion that might be rendered on the Companies’ consolidated financial statements or</w:t>
      </w:r>
    </w:p>
    <w:p>
      <w:pPr>
        <w:spacing w:after="0" w:line="1" w:lineRule="exact"/>
        <w:rPr>
          <w:sz w:val="20"/>
          <w:szCs w:val="20"/>
          <w:color w:val="auto"/>
        </w:rPr>
      </w:pPr>
    </w:p>
    <w:p>
      <w:pPr>
        <w:ind w:right="760" w:firstLine="8"/>
        <w:spacing w:after="0" w:line="261" w:lineRule="auto"/>
        <w:tabs>
          <w:tab w:leader="none" w:pos="2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matter that was either the subject of a “disagreement” or a “reportable event” as such terms are described in Items 304(a)(1)(iv) or 304(a)(1)(v), respectively, of Regulation S-K promulgated under the Exchange Act.</w:t>
      </w:r>
    </w:p>
    <w:p>
      <w:pPr>
        <w:spacing w:after="0" w:line="13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McGladrey has advised the Companies that neither the firm nor any present member or associate of it has any material financial interest, direct or indirect, in the Companies or their respective its affiliates. It is expected that a representative of McGladrey will be present at the Annual Meeting and will have an opportunity to make a statement if he or she chooses and will be available to answer questions.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aggregate fees by McGladrey were billed to the Companies for work attributed to audit, tax and other services provided to the Companies for the fiscal years ended September 30,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PNNT</w:t>
            </w:r>
          </w:p>
        </w:tc>
        <w:tc>
          <w:tcPr>
            <w:tcW w:w="78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color w:val="auto"/>
              </w:rPr>
              <w:t>PFLT</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color w:val="auto"/>
                <w:w w:val="92"/>
              </w:rPr>
              <w:t>September 30, 2013</w:t>
            </w:r>
          </w:p>
        </w:tc>
        <w:tc>
          <w:tcPr>
            <w:tcW w:w="760" w:type="dxa"/>
            <w:vAlign w:val="bottom"/>
          </w:tcPr>
          <w:p>
            <w:pPr>
              <w:spacing w:after="0"/>
              <w:rPr>
                <w:sz w:val="12"/>
                <w:szCs w:val="12"/>
                <w:color w:val="auto"/>
              </w:rPr>
            </w:pPr>
          </w:p>
        </w:tc>
        <w:tc>
          <w:tcPr>
            <w:tcW w:w="110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3"/>
              </w:rPr>
              <w:t>September 30, 2014</w:t>
            </w:r>
          </w:p>
        </w:tc>
        <w:tc>
          <w:tcPr>
            <w:tcW w:w="88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color w:val="auto"/>
                <w:w w:val="85"/>
              </w:rPr>
              <w:t>September 30, 2013</w:t>
            </w:r>
          </w:p>
        </w:tc>
        <w:tc>
          <w:tcPr>
            <w:tcW w:w="88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3"/>
              </w:rPr>
              <w:t>September 30,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1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150,180</w:t>
            </w: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Audit Related Fees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8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All Other Fees</w:t>
            </w:r>
          </w:p>
        </w:tc>
        <w:tc>
          <w:tcPr>
            <w:tcW w:w="18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97,652</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260,032</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96"/>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2" w:name="page23"/>
    <w:bookmarkEnd w:id="22"/>
    <w:p>
      <w:pPr>
        <w:ind w:right="40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in connection with statutory and regulatory filings.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 local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Audit Committee has established a pre-approval policy that describes the permitted audit, audit-related, tax and other services to be provided by McGladrey,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McGladrey to the Companies during the fiscal year ended September 30, 2014 were approved by the Audit Committees in accordance with such policy.</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of the relevant Company for specific pre-approval and cannot commence until such approval has been granted. Normally, pre-approval is provided at regularly scheduled meetings of the Audit Committees. However, each Audit Committee may delegate pre-approval authority to one or more of its members. The member or members to whom such authority is delegated shall report any pre-approval decisions to the Audit Committee at its next scheduled meeting. The Audit Committees do not delegate their responsibilities to pre-approve services performed by the independent registered public accounting firm to Company management.</w:t>
      </w:r>
    </w:p>
    <w:p>
      <w:pPr>
        <w:spacing w:after="0" w:line="13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EACH BOARD, INCLUDING ITS INDEPENDENT DIRECTORS, UNANIMOUSLY RECOMMENDS THAT YOU VOTE FOR RATIFICATION OF MCGLADREY AS INDEPENDENT REGISTERED PUBLIC ACCOUNTING FIRM TO YOUR COMPANY FOR THE FISCAL YEAR ENDING SEPTEMBER 30, 2015.</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Audit Committee Report </w:t>
      </w:r>
      <w:r>
        <w:rPr>
          <w:rFonts w:ascii="Arial" w:cs="Arial" w:eastAsia="Arial" w:hAnsi="Arial"/>
          <w:sz w:val="11"/>
          <w:szCs w:val="11"/>
          <w:b w:val="1"/>
          <w:bCs w:val="1"/>
          <w:i w:val="1"/>
          <w:iCs w:val="1"/>
          <w:color w:val="auto"/>
        </w:rPr>
        <w:t>(1)</w:t>
      </w:r>
    </w:p>
    <w:p>
      <w:pPr>
        <w:spacing w:after="0" w:line="9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following is the joint report of the Audit Committees with respect to each Company’s audited financial statements for the fiscal year ended September 30, 2014.</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Each Audit Committee has reviewed and discussed the Company’s audited financial statements with management and McGladrey, the Companies’ independent registered public accounting firm, with and without management present. Each Audit Committee included in its review results of McGladrey’s audits, the Company’s internal controls and the quality of the Company’s financial reporting. Each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Committees are satisfied that the Companies’ internal control systems are adequate and that the Companies employ appropriate accounting procedures.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Audit Committee also has discussed with McGladrey matters relating to McGladrey’s assessment about the quality, as well as the acceptability, of the Company’s accounting principles as applied in its financial reporting as required by PCAOB Auditing Standard 16 (Communications with Audit Committees). In addition, each Audit Committee has discussed with McGladrey its independence from management and the Company, as well as the matters in the written disclosures received from McGladrey and required by Public Company Accounting Oversight Board Rule 3520 (Auditor Independence). Each Audit Committee received a report from McGladrey confirming its independence and discussed the report with McGladrey. Each Audit Committee discussed and reviewed with McGladrey the Company’s critical accounting policies and practices, internal controls, other material written communications to management and the scope of McGladrey’s audits and all fees paid to McGladrey during the fiscal year. Each Audit Committee adopted guidelines requiring review and pre-approval by the Audit Committee of audit and non-audit services performed by McGladrey for the Company. Each Audit Committee has reviewed and considered the compatibility of McGladrey’s performance of non-audit services with the maintenance of McGladrey’s independence as the Company’s independent registered public accounting firm.</w:t>
      </w:r>
    </w:p>
    <w:p>
      <w:pPr>
        <w:spacing w:after="0" w:line="12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Based on each Audit Committee’s review and discussions referred to above, each Audit Committee recommended to its Board (and the Board has approved) that the Company’s audited financial statements be included in the Company’s Annual Report on Form 10-K for the fiscal year ended September 30, 2014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November 11,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4" w:lineRule="exact"/>
        <w:rPr>
          <w:sz w:val="20"/>
          <w:szCs w:val="20"/>
          <w:color w:val="auto"/>
        </w:rPr>
      </w:pPr>
    </w:p>
    <w:p>
      <w:pPr>
        <w:ind w:left="460" w:right="8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Companies under the Securities Act of 1933, as amended, or under the Exchange Act, whether made before or after the date hereof and irrespective of any general incorporation language in any such filing.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there appears not to be enough votes for a quorum of a Company or to approve a proposal at the Meeting, the chairman of the Meeting and the person named as proxy for the Companies, Mr. Arthur H. Penn, may vote to adjourn the Meeting with respect to that Company to permit the further solicitation of proxies. Mr. Arthur H. Penn will vote proxies held by him for such adjournment.</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Copies of the Companies’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(http://www.sec.gov).</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expect to hold their 2016 Joint Annual Meeting of Stockholders in February 2016,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Notices of intention to present proposals, including nomination of a director, at the 2015 Joint Annual Meeting of Stockholders must be received by the relevant Company between July 13, 2015 and August 12, 2015.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Messrs. Jeffrey Flug and/or Samuel L. Katz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80" w:right="3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are cordially invited to attend our Joint Annual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2014</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280" w:right="3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73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 Exercise Your Right to Vote ***</w:t>
      </w:r>
    </w:p>
    <w:p>
      <w:pPr>
        <w:spacing w:after="0" w:line="187" w:lineRule="auto"/>
        <w:rPr>
          <w:sz w:val="20"/>
          <w:szCs w:val="20"/>
          <w:color w:val="auto"/>
        </w:rPr>
      </w:pPr>
      <w:r>
        <w:rPr>
          <w:rFonts w:ascii="Arial" w:cs="Arial" w:eastAsia="Arial" w:hAnsi="Arial"/>
          <w:sz w:val="9"/>
          <w:szCs w:val="9"/>
          <w:color w:val="FFFFFF"/>
        </w:rPr>
        <w:t>Important Notice Regarding the Availability of Proxy Materials for the Shareholder Meeting to Be Held on February 03, 2015</w:t>
      </w:r>
    </w:p>
    <w:p>
      <w:pPr>
        <w:spacing w:after="0"/>
        <w:rPr>
          <w:sz w:val="20"/>
          <w:szCs w:val="20"/>
          <w:color w:val="auto"/>
        </w:rPr>
      </w:pPr>
      <w:r>
        <w:rPr>
          <w:rFonts w:ascii="Arial" w:cs="Arial" w:eastAsia="Arial" w:hAnsi="Arial"/>
          <w:sz w:val="3"/>
          <w:szCs w:val="3"/>
          <w:color w:val="FFFFFF"/>
        </w:rPr>
        <w:t>0000221413PENNANTPARK_1R1.0.0.51160INVESTMENT CORPORATION</w:t>
      </w:r>
    </w:p>
    <w:p>
      <w:pPr>
        <w:spacing w:after="0" w:line="194" w:lineRule="auto"/>
        <w:rPr>
          <w:sz w:val="20"/>
          <w:szCs w:val="20"/>
          <w:color w:val="auto"/>
        </w:rPr>
      </w:pPr>
      <w:r>
        <w:rPr>
          <w:rFonts w:ascii="Arial" w:cs="Arial" w:eastAsia="Arial" w:hAnsi="Arial"/>
          <w:sz w:val="5"/>
          <w:szCs w:val="5"/>
          <w:color w:val="FFFFFF"/>
          <w:vertAlign w:val="subscript"/>
        </w:rPr>
        <w:t>Meeting</w:t>
      </w:r>
      <w:r>
        <w:rPr>
          <w:rFonts w:ascii="Arial" w:cs="Arial" w:eastAsia="Arial" w:hAnsi="Arial"/>
          <w:sz w:val="3"/>
          <w:szCs w:val="3"/>
          <w:color w:val="FFFFFF"/>
        </w:rPr>
        <w:t xml:space="preserve"> Information</w:t>
      </w:r>
    </w:p>
    <w:p>
      <w:pPr>
        <w:ind w:left="500"/>
        <w:spacing w:after="0"/>
        <w:rPr>
          <w:sz w:val="20"/>
          <w:szCs w:val="20"/>
          <w:color w:val="auto"/>
        </w:rPr>
      </w:pPr>
      <w:r>
        <w:rPr>
          <w:rFonts w:ascii="Arial" w:cs="Arial" w:eastAsia="Arial" w:hAnsi="Arial"/>
          <w:sz w:val="3"/>
          <w:szCs w:val="3"/>
          <w:color w:val="FFFFFF"/>
        </w:rPr>
        <w:t>Type: Annual Meeting</w:t>
      </w:r>
    </w:p>
    <w:p>
      <w:pPr>
        <w:spacing w:after="0" w:line="194" w:lineRule="auto"/>
        <w:rPr>
          <w:sz w:val="20"/>
          <w:szCs w:val="20"/>
          <w:color w:val="auto"/>
        </w:rPr>
      </w:pPr>
      <w:r>
        <w:rPr>
          <w:rFonts w:ascii="Arial" w:cs="Arial" w:eastAsia="Arial" w:hAnsi="Arial"/>
          <w:sz w:val="5"/>
          <w:szCs w:val="5"/>
          <w:color w:val="FFFFFF"/>
        </w:rPr>
        <w:t>For holders as of: December 01, 2014</w:t>
      </w:r>
    </w:p>
    <w:p>
      <w:pPr>
        <w:spacing w:after="0"/>
        <w:rPr>
          <w:sz w:val="20"/>
          <w:szCs w:val="20"/>
          <w:color w:val="auto"/>
        </w:rPr>
      </w:pPr>
      <w:r>
        <w:rPr>
          <w:rFonts w:ascii="Arial" w:cs="Arial" w:eastAsia="Arial" w:hAnsi="Arial"/>
          <w:sz w:val="3"/>
          <w:szCs w:val="3"/>
          <w:color w:val="FFFFFF"/>
        </w:rPr>
        <w:t>Date: February 03, 2015 Time: 9:30 AM EST</w:t>
      </w:r>
    </w:p>
    <w:p>
      <w:pPr>
        <w:spacing w:after="0" w:line="194" w:lineRule="auto"/>
        <w:rPr>
          <w:sz w:val="20"/>
          <w:szCs w:val="20"/>
          <w:color w:val="auto"/>
        </w:rPr>
      </w:pPr>
      <w:r>
        <w:rPr>
          <w:rFonts w:ascii="Arial" w:cs="Arial" w:eastAsia="Arial" w:hAnsi="Arial"/>
          <w:sz w:val="5"/>
          <w:szCs w:val="5"/>
          <w:color w:val="FFFFFF"/>
        </w:rPr>
        <w:t>Location: Offices of Dechert LLP</w:t>
      </w:r>
    </w:p>
    <w:p>
      <w:pPr>
        <w:spacing w:after="0"/>
        <w:rPr>
          <w:sz w:val="20"/>
          <w:szCs w:val="20"/>
          <w:color w:val="auto"/>
        </w:rPr>
      </w:pPr>
      <w:r>
        <w:rPr>
          <w:rFonts w:ascii="Arial" w:cs="Arial" w:eastAsia="Arial" w:hAnsi="Arial"/>
          <w:sz w:val="3"/>
          <w:szCs w:val="3"/>
          <w:color w:val="FFFFFF"/>
        </w:rPr>
        <w:t>1095 Avenue of the Americas</w:t>
      </w:r>
    </w:p>
    <w:p>
      <w:pPr>
        <w:spacing w:after="0" w:line="194" w:lineRule="auto"/>
        <w:rPr>
          <w:sz w:val="20"/>
          <w:szCs w:val="20"/>
          <w:color w:val="auto"/>
        </w:rPr>
      </w:pPr>
      <w:r>
        <w:rPr>
          <w:rFonts w:ascii="Arial" w:cs="Arial" w:eastAsia="Arial" w:hAnsi="Arial"/>
          <w:sz w:val="5"/>
          <w:szCs w:val="5"/>
          <w:color w:val="FFFFFF"/>
        </w:rPr>
        <w:t>New York, NY 10036</w:t>
      </w:r>
    </w:p>
    <w:p>
      <w:pPr>
        <w:spacing w:after="0"/>
        <w:rPr>
          <w:sz w:val="20"/>
          <w:szCs w:val="20"/>
          <w:color w:val="auto"/>
        </w:rPr>
      </w:pPr>
      <w:r>
        <w:rPr>
          <w:rFonts w:ascii="Arial" w:cs="Arial" w:eastAsia="Arial" w:hAnsi="Arial"/>
          <w:sz w:val="3"/>
          <w:szCs w:val="3"/>
          <w:color w:val="FFFFFF"/>
        </w:rPr>
        <w:t>You are receiving this communication because you hold shares in the above named company.</w:t>
      </w:r>
    </w:p>
    <w:p>
      <w:pPr>
        <w:spacing w:after="0" w:line="194" w:lineRule="auto"/>
        <w:rPr>
          <w:sz w:val="20"/>
          <w:szCs w:val="20"/>
          <w:color w:val="auto"/>
        </w:rPr>
      </w:pPr>
      <w:r>
        <w:rPr>
          <w:rFonts w:ascii="Arial" w:cs="Arial" w:eastAsia="Arial" w:hAnsi="Arial"/>
          <w:sz w:val="3"/>
          <w:szCs w:val="3"/>
          <w:color w:val="FFFFFF"/>
        </w:rPr>
        <w:t>This is not</w:t>
      </w:r>
      <w:r>
        <w:rPr>
          <w:rFonts w:ascii="Arial" w:cs="Arial" w:eastAsia="Arial" w:hAnsi="Arial"/>
          <w:sz w:val="5"/>
          <w:szCs w:val="5"/>
          <w:color w:val="FFFFFF"/>
          <w:vertAlign w:val="subscript"/>
        </w:rPr>
        <w:t>materials</w:t>
      </w:r>
      <w:r>
        <w:rPr>
          <w:rFonts w:ascii="Arial" w:cs="Arial" w:eastAsia="Arial" w:hAnsi="Arial"/>
          <w:sz w:val="3"/>
          <w:szCs w:val="3"/>
          <w:color w:val="FFFFFF"/>
        </w:rPr>
        <w:t>ballot. You cannot use this notice to vote these shares. This communication presents only an overview of the more complete proxy materials that are available to you on the Internet. You may view</w:t>
      </w:r>
    </w:p>
    <w:p>
      <w:pPr>
        <w:spacing w:after="0" w:line="211" w:lineRule="auto"/>
        <w:tabs>
          <w:tab w:leader="none" w:pos="1060" w:val="left"/>
        </w:tabs>
        <w:rPr>
          <w:sz w:val="20"/>
          <w:szCs w:val="20"/>
          <w:color w:val="auto"/>
        </w:rPr>
      </w:pPr>
      <w:r>
        <w:rPr>
          <w:rFonts w:ascii="Arial" w:cs="Arial" w:eastAsia="Arial" w:hAnsi="Arial"/>
          <w:sz w:val="3"/>
          <w:szCs w:val="3"/>
          <w:color w:val="FFFFFF"/>
        </w:rPr>
        <w:t>the proxy</w:t>
      </w:r>
      <w:r>
        <w:rPr>
          <w:sz w:val="20"/>
          <w:szCs w:val="20"/>
          <w:color w:val="auto"/>
        </w:rPr>
        <w:tab/>
      </w:r>
      <w:r>
        <w:rPr>
          <w:rFonts w:ascii="Arial" w:cs="Arial" w:eastAsia="Arial" w:hAnsi="Arial"/>
          <w:sz w:val="2"/>
          <w:szCs w:val="2"/>
          <w:color w:val="FFFFFF"/>
        </w:rPr>
        <w:t>online</w:t>
      </w:r>
      <w:r>
        <w:rPr>
          <w:rFonts w:ascii="Arial" w:cs="Arial" w:eastAsia="Arial" w:hAnsi="Arial"/>
          <w:sz w:val="4"/>
          <w:szCs w:val="4"/>
          <w:color w:val="FFFFFF"/>
          <w:vertAlign w:val="subscript"/>
        </w:rPr>
        <w:t>access</w:t>
      </w:r>
      <w:r>
        <w:rPr>
          <w:rFonts w:ascii="Arial" w:cs="Arial" w:eastAsia="Arial" w:hAnsi="Arial"/>
          <w:sz w:val="2"/>
          <w:szCs w:val="2"/>
          <w:color w:val="FFFFFF"/>
        </w:rPr>
        <w:t>at www.proxyvote.com</w:t>
      </w:r>
      <w:r>
        <w:rPr>
          <w:rFonts w:ascii="Arial" w:cs="Arial" w:eastAsia="Arial" w:hAnsi="Arial"/>
          <w:sz w:val="4"/>
          <w:szCs w:val="4"/>
          <w:color w:val="FFFFFF"/>
          <w:vertAlign w:val="subscript"/>
        </w:rPr>
        <w:t>important</w:t>
      </w:r>
      <w:r>
        <w:rPr>
          <w:rFonts w:ascii="Arial" w:cs="Arial" w:eastAsia="Arial" w:hAnsi="Arial"/>
          <w:sz w:val="2"/>
          <w:szCs w:val="2"/>
          <w:color w:val="FFFFFF"/>
        </w:rPr>
        <w:t>easily request</w:t>
      </w:r>
      <w:r>
        <w:rPr>
          <w:rFonts w:ascii="Arial" w:cs="Arial" w:eastAsia="Arial" w:hAnsi="Arial"/>
          <w:sz w:val="4"/>
          <w:szCs w:val="4"/>
          <w:color w:val="FFFFFF"/>
          <w:vertAlign w:val="subscript"/>
        </w:rPr>
        <w:t>information</w:t>
      </w:r>
      <w:r>
        <w:rPr>
          <w:rFonts w:ascii="Arial" w:cs="Arial" w:eastAsia="Arial" w:hAnsi="Arial"/>
          <w:sz w:val="2"/>
          <w:szCs w:val="2"/>
          <w:color w:val="FFFFFF"/>
        </w:rPr>
        <w:t>paper copy (see reverse side).</w:t>
      </w:r>
    </w:p>
    <w:p>
      <w:pPr>
        <w:spacing w:after="0" w:line="212" w:lineRule="auto"/>
        <w:rPr>
          <w:sz w:val="20"/>
          <w:szCs w:val="20"/>
          <w:color w:val="auto"/>
        </w:rPr>
      </w:pPr>
      <w:r>
        <w:rPr>
          <w:rFonts w:ascii="Arial" w:cs="Arial" w:eastAsia="Arial" w:hAnsi="Arial"/>
          <w:sz w:val="4"/>
          <w:szCs w:val="4"/>
          <w:color w:val="FFFFFF"/>
          <w:vertAlign w:val="superscript"/>
        </w:rPr>
        <w:t>See</w:t>
      </w:r>
    </w:p>
    <w:p>
      <w:pPr>
        <w:spacing w:after="0"/>
        <w:rPr>
          <w:sz w:val="20"/>
          <w:szCs w:val="20"/>
          <w:color w:val="auto"/>
        </w:rPr>
      </w:pPr>
      <w:r>
        <w:rPr>
          <w:rFonts w:ascii="Arial" w:cs="Arial" w:eastAsia="Arial" w:hAnsi="Arial"/>
          <w:sz w:val="14"/>
          <w:szCs w:val="14"/>
          <w:color w:val="FFFFFF"/>
        </w:rPr>
        <w:t>W encouragethereverseyousidetoof this noticeandreviewtoobtainall proxyofthe materials and voting instructions.containedin the proxy materials before voting.</w:t>
      </w:r>
    </w:p>
    <w:p>
      <w:pPr>
        <w:sectPr>
          <w:pgSz w:w="11900" w:h="16838" w:orient="portrait"/>
          <w:cols w:equalWidth="0" w:num="1">
            <w:col w:w="11280"/>
          </w:cols>
          <w:pgMar w:left="240" w:top="1440" w:right="3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73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FFFFFF"/>
              </w:rPr>
              <w:t>Before You Vote</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40" w:type="dxa"/>
            <w:vAlign w:val="bottom"/>
            <w:gridSpan w:val="3"/>
          </w:tcPr>
          <w:p>
            <w:pPr>
              <w:spacing w:after="0"/>
              <w:rPr>
                <w:sz w:val="20"/>
                <w:szCs w:val="20"/>
                <w:color w:val="auto"/>
              </w:rPr>
            </w:pPr>
            <w:r>
              <w:rPr>
                <w:rFonts w:ascii="Arial" w:cs="Arial" w:eastAsia="Arial" w:hAnsi="Arial"/>
                <w:sz w:val="3"/>
                <w:szCs w:val="3"/>
                <w:color w:val="FFFFFF"/>
              </w:rPr>
              <w:t>How to Access the Proxy Materials</w:t>
            </w: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Proxy Materials Available to VIEW or RECEIVE:</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3"/>
          </w:tcPr>
          <w:p>
            <w:pPr>
              <w:spacing w:after="0"/>
              <w:rPr>
                <w:sz w:val="20"/>
                <w:szCs w:val="20"/>
                <w:color w:val="auto"/>
              </w:rPr>
            </w:pPr>
            <w:r>
              <w:rPr>
                <w:rFonts w:ascii="Arial" w:cs="Arial" w:eastAsia="Arial" w:hAnsi="Arial"/>
                <w:sz w:val="3"/>
                <w:szCs w:val="3"/>
                <w:color w:val="FFFFFF"/>
              </w:rPr>
              <w:t>1. Notice &amp; Proxy Statement 2. Form 10-K</w:t>
            </w: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1000" w:type="dxa"/>
            <w:vAlign w:val="bottom"/>
          </w:tcPr>
          <w:p>
            <w:pPr>
              <w:ind w:left="80"/>
              <w:spacing w:after="0"/>
              <w:rPr>
                <w:sz w:val="20"/>
                <w:szCs w:val="20"/>
                <w:color w:val="auto"/>
              </w:rPr>
            </w:pPr>
            <w:r>
              <w:rPr>
                <w:rFonts w:ascii="Arial" w:cs="Arial" w:eastAsia="Arial" w:hAnsi="Arial"/>
                <w:sz w:val="3"/>
                <w:szCs w:val="3"/>
                <w:color w:val="FFFFFF"/>
              </w:rPr>
              <w:t>to View Online:</w:t>
            </w: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ind w:left="100"/>
              <w:spacing w:after="0"/>
              <w:rPr>
                <w:sz w:val="20"/>
                <w:szCs w:val="20"/>
                <w:color w:val="auto"/>
              </w:rPr>
            </w:pPr>
            <w:r>
              <w:rPr>
                <w:rFonts w:ascii="Arial" w:cs="Arial" w:eastAsia="Arial" w:hAnsi="Arial"/>
                <w:sz w:val="3"/>
                <w:szCs w:val="3"/>
                <w:color w:val="FFFFFF"/>
              </w:rPr>
              <w:t>ave the information that is printed in the box marked by the arrow xxxx xxxx xxxx xxxx (located on the following page) and visit: www.proxyvote.com.</w:t>
            </w: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How to Request and Receive a PAPER or E-MAIL Copy:</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If you want to receive a paper or  -mail copy of these documents, you must request one. There is NO charge for 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1)</w:t>
            </w:r>
          </w:p>
        </w:tc>
        <w:tc>
          <w:tcPr>
            <w:tcW w:w="2120" w:type="dxa"/>
            <w:vAlign w:val="bottom"/>
            <w:gridSpan w:val="2"/>
          </w:tcPr>
          <w:p>
            <w:pPr>
              <w:jc w:val="right"/>
              <w:ind w:right="83"/>
              <w:spacing w:after="0"/>
              <w:rPr>
                <w:sz w:val="20"/>
                <w:szCs w:val="20"/>
                <w:color w:val="auto"/>
              </w:rPr>
            </w:pPr>
            <w:r>
              <w:rPr>
                <w:rFonts w:ascii="Arial" w:cs="Arial" w:eastAsia="Arial" w:hAnsi="Arial"/>
                <w:sz w:val="3"/>
                <w:szCs w:val="3"/>
                <w:color w:val="FFFFFF"/>
              </w:rPr>
              <w:t>INTERNET www.proxyvote.com</w:t>
            </w: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2)</w:t>
            </w:r>
          </w:p>
        </w:tc>
        <w:tc>
          <w:tcPr>
            <w:tcW w:w="1000" w:type="dxa"/>
            <w:vAlign w:val="bottom"/>
          </w:tcPr>
          <w:p>
            <w:pPr>
              <w:spacing w:after="0"/>
              <w:rPr>
                <w:sz w:val="3"/>
                <w:szCs w:val="3"/>
                <w:color w:val="auto"/>
              </w:rPr>
            </w:pPr>
          </w:p>
        </w:tc>
        <w:tc>
          <w:tcPr>
            <w:tcW w:w="1120" w:type="dxa"/>
            <w:vAlign w:val="bottom"/>
          </w:tcPr>
          <w:p>
            <w:pPr>
              <w:jc w:val="right"/>
              <w:ind w:right="223"/>
              <w:spacing w:after="0"/>
              <w:rPr>
                <w:sz w:val="20"/>
                <w:szCs w:val="20"/>
                <w:color w:val="auto"/>
              </w:rPr>
            </w:pPr>
            <w:r>
              <w:rPr>
                <w:rFonts w:ascii="Arial" w:cs="Arial" w:eastAsia="Arial" w:hAnsi="Arial"/>
                <w:sz w:val="3"/>
                <w:szCs w:val="3"/>
                <w:color w:val="FFFFFF"/>
              </w:rPr>
              <w:t>1-800-579-1639</w:t>
            </w:r>
          </w:p>
        </w:tc>
        <w:tc>
          <w:tcPr>
            <w:tcW w:w="980" w:type="dxa"/>
            <w:vAlign w:val="bottom"/>
            <w:vMerge w:val="restart"/>
          </w:tcPr>
          <w:p>
            <w:pPr>
              <w:spacing w:after="0" w:line="81" w:lineRule="exact"/>
              <w:rPr>
                <w:sz w:val="20"/>
                <w:szCs w:val="20"/>
                <w:color w:val="auto"/>
              </w:rPr>
            </w:pPr>
            <w:r>
              <w:rPr>
                <w:rFonts w:ascii="Arial" w:cs="Arial" w:eastAsia="Arial" w:hAnsi="Arial"/>
                <w:sz w:val="9"/>
                <w:szCs w:val="9"/>
                <w:color w:val="FFFFFF"/>
              </w:rPr>
              <w:t>.com</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3) BY TELEPHONE:-MAIL*:</w:t>
            </w:r>
          </w:p>
        </w:tc>
        <w:tc>
          <w:tcPr>
            <w:tcW w:w="1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 If requesting materialssendmaterial@proxyvoteby-mail,pleasesend a blank e-mail with the information that is printed in the box marked by the arrow xxxx xxxx xxxx xxxx (located on the following page) in the subject line.</w:t>
            </w: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before January 20, 2015 to facilitate</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timely delivery.</w:t>
            </w: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How To Vote</w:t>
            </w: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Please Choose One of the Following Voting Methods</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  “legal proxy.” To do so, please follow the instructions at www.proxyvote.com or request a paper copy of the</w:t>
            </w: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materials, which will contain the appropriate instructions.</w:t>
            </w:r>
          </w:p>
        </w:tc>
        <w:tc>
          <w:tcPr>
            <w:tcW w:w="2120" w:type="dxa"/>
            <w:vAlign w:val="bottom"/>
            <w:gridSpan w:val="2"/>
          </w:tcPr>
          <w:p>
            <w:pPr>
              <w:ind w:left="180"/>
              <w:spacing w:after="0"/>
              <w:rPr>
                <w:sz w:val="20"/>
                <w:szCs w:val="20"/>
                <w:color w:val="auto"/>
              </w:rPr>
            </w:pPr>
            <w:r>
              <w:rPr>
                <w:rFonts w:ascii="Arial" w:cs="Arial" w:eastAsia="Arial" w:hAnsi="Arial"/>
                <w:sz w:val="3"/>
                <w:szCs w:val="3"/>
                <w:color w:val="FFFFFF"/>
              </w:rPr>
              <w:t>shareholder meetings have attend</w:t>
            </w:r>
          </w:p>
        </w:tc>
        <w:tc>
          <w:tcPr>
            <w:tcW w:w="5740" w:type="dxa"/>
            <w:vAlign w:val="bottom"/>
          </w:tcPr>
          <w:p>
            <w:pPr>
              <w:ind w:left="140"/>
              <w:spacing w:after="0"/>
              <w:rPr>
                <w:sz w:val="20"/>
                <w:szCs w:val="20"/>
                <w:color w:val="auto"/>
              </w:rPr>
            </w:pPr>
            <w:r>
              <w:rPr>
                <w:rFonts w:ascii="Arial" w:cs="Arial" w:eastAsia="Arial" w:hAnsi="Arial"/>
                <w:sz w:val="3"/>
                <w:szCs w:val="3"/>
                <w:color w:val="FFFFFF"/>
              </w:rPr>
              <w:t>requirements including, but not limited to, the possession of an attendance ticket issued by the entity</w:t>
            </w:r>
          </w:p>
        </w:tc>
        <w:tc>
          <w:tcPr>
            <w:tcW w:w="0" w:type="dxa"/>
            <w:vAlign w:val="bottom"/>
          </w:tcPr>
          <w:p>
            <w:pPr>
              <w:spacing w:after="0"/>
              <w:rPr>
                <w:sz w:val="1"/>
                <w:szCs w:val="1"/>
                <w:color w:val="auto"/>
              </w:rPr>
            </w:pPr>
          </w:p>
        </w:tc>
      </w:tr>
      <w:tr>
        <w:trPr>
          <w:trHeight w:val="0"/>
        </w:trPr>
        <w:tc>
          <w:tcPr>
            <w:tcW w:w="4720" w:type="dxa"/>
            <w:vAlign w:val="bottom"/>
            <w:gridSpan w:val="5"/>
          </w:tcPr>
          <w:p>
            <w:pPr>
              <w:spacing w:after="0" w:line="80" w:lineRule="exact"/>
              <w:rPr>
                <w:sz w:val="20"/>
                <w:szCs w:val="20"/>
                <w:color w:val="auto"/>
              </w:rPr>
            </w:pPr>
            <w:r>
              <w:rPr>
                <w:rFonts w:ascii="Arial" w:cs="Arial" w:eastAsia="Arial" w:hAnsi="Arial"/>
                <w:sz w:val="9"/>
                <w:szCs w:val="9"/>
                <w:color w:val="FFFFFF"/>
              </w:rPr>
              <w:t>holding the meeting. Please check the meeting materials forMany special requirements</w:t>
            </w:r>
          </w:p>
        </w:tc>
        <w:tc>
          <w:tcPr>
            <w:tcW w:w="646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meeting attendance.</w:t>
            </w:r>
          </w:p>
        </w:tc>
        <w:tc>
          <w:tcPr>
            <w:tcW w:w="0" w:type="dxa"/>
            <w:vAlign w:val="bottom"/>
          </w:tcPr>
          <w:p>
            <w:pPr>
              <w:spacing w:after="0" w:line="20" w:lineRule="exact"/>
              <w:rPr>
                <w:sz w:val="1"/>
                <w:szCs w:val="1"/>
                <w:color w:val="auto"/>
              </w:rPr>
            </w:pPr>
          </w:p>
        </w:tc>
      </w:tr>
    </w:tbl>
    <w:p>
      <w:pPr>
        <w:spacing w:after="0" w:line="25" w:lineRule="auto"/>
        <w:tabs>
          <w:tab w:leader="none" w:pos="4340" w:val="left"/>
        </w:tabs>
        <w:rPr>
          <w:sz w:val="20"/>
          <w:szCs w:val="20"/>
          <w:color w:val="auto"/>
        </w:rPr>
      </w:pPr>
      <w:r>
        <w:rPr>
          <w:rFonts w:ascii="Arial" w:cs="Arial" w:eastAsia="Arial" w:hAnsi="Arial"/>
          <w:sz w:val="1"/>
          <w:szCs w:val="1"/>
          <w:color w:val="FFFFFF"/>
          <w:vertAlign w:val="superscript"/>
        </w:rPr>
        <w:t>Vote By</w:t>
      </w:r>
      <w:r>
        <w:rPr>
          <w:sz w:val="20"/>
          <w:szCs w:val="20"/>
          <w:color w:val="auto"/>
        </w:rPr>
        <w:tab/>
      </w:r>
      <w:r>
        <w:rPr>
          <w:rFonts w:ascii="Arial" w:cs="Arial" w:eastAsia="Arial" w:hAnsi="Arial"/>
          <w:sz w:val="1"/>
          <w:szCs w:val="1"/>
          <w:color w:val="FFFFFF"/>
        </w:rPr>
        <w:t>information</w:t>
      </w:r>
    </w:p>
    <w:p>
      <w:pPr>
        <w:ind w:left="480"/>
        <w:spacing w:after="0"/>
        <w:rPr>
          <w:sz w:val="20"/>
          <w:szCs w:val="20"/>
          <w:color w:val="auto"/>
        </w:rPr>
      </w:pPr>
      <w:r>
        <w:rPr>
          <w:rFonts w:ascii="Arial" w:cs="Arial" w:eastAsia="Arial" w:hAnsi="Arial"/>
          <w:sz w:val="3"/>
          <w:szCs w:val="3"/>
          <w:color w:val="FFFFFF"/>
        </w:rPr>
        <w:t>Mail:Internet:YouTocanvotevotenowbybymailInternet,byrequestinggotowww.proxyvote.com.apapercopyofthe materials,Havethe which will includethatisprintedavotingininstructiontheboxmarkedform. by the arrow xxxx xxxx xxxx xxxx available and follow the instructions.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0000221413_2 R1.0.0.51160</w:t>
      </w:r>
    </w:p>
    <w:p>
      <w:pPr>
        <w:sectPr>
          <w:pgSz w:w="11900" w:h="16838" w:orient="portrait"/>
          <w:cols w:equalWidth="0" w:num="1">
            <w:col w:w="11180"/>
          </w:cols>
          <w:pgMar w:left="240" w:top="1440" w:right="47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73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The Board of Directors recommends that you vote FOR the following:</w:t>
      </w:r>
    </w:p>
    <w:p>
      <w:pPr>
        <w:spacing w:after="0"/>
        <w:rPr>
          <w:sz w:val="20"/>
          <w:szCs w:val="20"/>
          <w:color w:val="auto"/>
        </w:rPr>
      </w:pPr>
      <w:r>
        <w:rPr>
          <w:rFonts w:ascii="Arial" w:cs="Arial" w:eastAsia="Arial" w:hAnsi="Arial"/>
          <w:sz w:val="3"/>
          <w:szCs w:val="3"/>
          <w:color w:val="FFFFFF"/>
        </w:rPr>
        <w:t>Nominees1.Election of Directors</w:t>
      </w:r>
    </w:p>
    <w:p>
      <w:pPr>
        <w:spacing w:after="0" w:line="194" w:lineRule="auto"/>
        <w:rPr>
          <w:sz w:val="20"/>
          <w:szCs w:val="20"/>
          <w:color w:val="auto"/>
        </w:rPr>
      </w:pPr>
      <w:r>
        <w:rPr>
          <w:rFonts w:ascii="Arial" w:cs="Arial" w:eastAsia="Arial" w:hAnsi="Arial"/>
          <w:sz w:val="5"/>
          <w:szCs w:val="5"/>
          <w:color w:val="FFFFFF"/>
        </w:rPr>
        <w:t>01 Adam Bernstein 02 Jeffrey Flug</w:t>
      </w:r>
    </w:p>
    <w:p>
      <w:pPr>
        <w:spacing w:after="0" w:line="211" w:lineRule="auto"/>
        <w:rPr>
          <w:sz w:val="20"/>
          <w:szCs w:val="20"/>
          <w:color w:val="auto"/>
        </w:rPr>
      </w:pPr>
      <w:r>
        <w:rPr>
          <w:rFonts w:ascii="Arial" w:cs="Arial" w:eastAsia="Arial" w:hAnsi="Arial"/>
          <w:sz w:val="4"/>
          <w:szCs w:val="4"/>
          <w:color w:val="FFFFFF"/>
          <w:vertAlign w:val="subscript"/>
        </w:rPr>
        <w:t>The</w:t>
      </w:r>
      <w:r>
        <w:rPr>
          <w:rFonts w:ascii="Arial" w:cs="Arial" w:eastAsia="Arial" w:hAnsi="Arial"/>
          <w:sz w:val="2"/>
          <w:szCs w:val="2"/>
          <w:color w:val="FFFFFF"/>
        </w:rPr>
        <w:t xml:space="preserve"> Board of Directors recommends you vote FOR the following </w:t>
      </w:r>
      <w:r>
        <w:rPr>
          <w:rFonts w:ascii="Arial" w:cs="Arial" w:eastAsia="Arial" w:hAnsi="Arial"/>
          <w:sz w:val="4"/>
          <w:szCs w:val="4"/>
          <w:color w:val="FFFFFF"/>
          <w:vertAlign w:val="subscript"/>
        </w:rPr>
        <w:t>proposal(s):</w:t>
      </w:r>
    </w:p>
    <w:p>
      <w:pPr>
        <w:ind w:left="680" w:right="1359" w:hanging="674"/>
        <w:spacing w:after="0" w:line="232" w:lineRule="auto"/>
        <w:rPr>
          <w:sz w:val="20"/>
          <w:szCs w:val="20"/>
          <w:color w:val="auto"/>
        </w:rPr>
      </w:pPr>
      <w:r>
        <w:rPr>
          <w:rFonts w:ascii="Arial" w:cs="Arial" w:eastAsia="Arial" w:hAnsi="Arial"/>
          <w:sz w:val="18"/>
          <w:szCs w:val="18"/>
          <w:color w:val="FFFFFF"/>
          <w:vertAlign w:val="subscript"/>
        </w:rPr>
        <w:t>0000221413</w:t>
      </w:r>
      <w:r>
        <w:rPr>
          <w:rFonts w:ascii="Arial" w:cs="Arial" w:eastAsia="Arial" w:hAnsi="Arial"/>
          <w:sz w:val="10"/>
          <w:szCs w:val="10"/>
          <w:color w:val="FFFFFF"/>
        </w:rPr>
        <w:t>oratifythe selection of McGladrey LLP to serve as the Company’ independent registered public accounting firm for the fiscal year ending September 30, 2015. _3 R1.0.0.51160</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73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7"/>
          <w:szCs w:val="7"/>
          <w:color w:val="FFFFFF"/>
        </w:rPr>
        <w:t>0000221413VotingInstructions_4R1.0.0.51160</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FFFFFF"/>
                <w:w w:val="86"/>
              </w:rPr>
              <w:t>PennantPark</w:t>
            </w:r>
          </w:p>
        </w:tc>
        <w:tc>
          <w:tcPr>
            <w:tcW w:w="10640" w:type="dxa"/>
            <w:vAlign w:val="bottom"/>
          </w:tcPr>
          <w:p>
            <w:pPr>
              <w:spacing w:after="0"/>
              <w:rPr>
                <w:sz w:val="14"/>
                <w:szCs w:val="14"/>
                <w:color w:val="auto"/>
              </w:rPr>
            </w:pP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Investment Corporation</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590 MADISON AVENUE 15TH FLOOR NEW YORK, NY 10022</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VOTE BY INTERNET - www.proxyvote.com</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Use the Internet to transmit your voting instructions and for electronic delivery of information up until 11:59 P.M. Eastern Time the day before the cut-off date or meeting date. Have your proxy card in hand</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when you access the web site and follow the instructions to obtain your records and to create an electronic voting instruction form.</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ELECTRONIC DELIVERY OF FUTURE PROXY MATERIALS</w:t>
            </w:r>
          </w:p>
        </w:tc>
      </w:tr>
      <w:tr>
        <w:trPr>
          <w:trHeight w:val="41"/>
        </w:trPr>
        <w:tc>
          <w:tcPr>
            <w:tcW w:w="720" w:type="dxa"/>
            <w:vAlign w:val="bottom"/>
          </w:tcPr>
          <w:p>
            <w:pPr>
              <w:ind w:left="60"/>
              <w:spacing w:after="0"/>
              <w:rPr>
                <w:sz w:val="20"/>
                <w:szCs w:val="20"/>
                <w:color w:val="auto"/>
              </w:rPr>
            </w:pPr>
            <w:r>
              <w:rPr>
                <w:rFonts w:ascii="Arial" w:cs="Arial" w:eastAsia="Arial" w:hAnsi="Arial"/>
                <w:sz w:val="3"/>
                <w:szCs w:val="3"/>
                <w:color w:val="FFFFFF"/>
              </w:rPr>
              <w:t>f you</w:t>
            </w:r>
          </w:p>
        </w:tc>
        <w:tc>
          <w:tcPr>
            <w:tcW w:w="10640" w:type="dxa"/>
            <w:vAlign w:val="bottom"/>
          </w:tcPr>
          <w:p>
            <w:pPr>
              <w:ind w:left="20"/>
              <w:spacing w:after="0"/>
              <w:rPr>
                <w:sz w:val="20"/>
                <w:szCs w:val="20"/>
                <w:color w:val="auto"/>
              </w:rPr>
            </w:pPr>
            <w:r>
              <w:rPr>
                <w:rFonts w:ascii="Arial" w:cs="Arial" w:eastAsia="Arial" w:hAnsi="Arial"/>
                <w:sz w:val="3"/>
                <w:szCs w:val="3"/>
                <w:color w:val="FFFFFF"/>
              </w:rPr>
              <w:t>like to reduce the costs incurred by our company   maili g pr xy materials, you can consent to receiving all future proxy statements, proxy cards and annual reports el ctronically via  -mail or the</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Internetwould.Tsign up for electronic delivery, please follow the instructions above to vote using the Internet and, when prompted, indicate that you agree to receive or access proxy materials electronically in future</w:t>
            </w: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years.</w:t>
            </w:r>
          </w:p>
        </w:tc>
        <w:tc>
          <w:tcPr>
            <w:tcW w:w="10640" w:type="dxa"/>
            <w:vAlign w:val="bottom"/>
          </w:tcPr>
          <w:p>
            <w:pPr>
              <w:spacing w:after="0"/>
              <w:rPr>
                <w:sz w:val="3"/>
                <w:szCs w:val="3"/>
                <w:color w:val="auto"/>
              </w:rPr>
            </w:pP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VOTE BY PHONE - 1-800-690-6903</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Use any touch-tone telephone to transmit your voting instructions up until 11:59 P.M. Eastern Time the day before the cut-off date or meeting date. Have your proxy card in hand when you call and then follow</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the instructions.</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VOTE BY MAIL</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Mark, sign and date your proxy card and return it in the postage-paid envelope we have provided or return it to Vote Processing, c/o Broadridge, 51 Mercedes Way, Edgewood, NY 11717.</w:t>
            </w:r>
          </w:p>
        </w:tc>
      </w:tr>
      <w:tr>
        <w:trPr>
          <w:trHeight w:val="41"/>
        </w:trPr>
        <w:tc>
          <w:tcPr>
            <w:tcW w:w="11360" w:type="dxa"/>
            <w:vAlign w:val="bottom"/>
            <w:gridSpan w:val="2"/>
          </w:tcPr>
          <w:p>
            <w:pPr>
              <w:ind w:left="80"/>
              <w:spacing w:after="0"/>
              <w:rPr>
                <w:sz w:val="20"/>
                <w:szCs w:val="20"/>
                <w:color w:val="auto"/>
              </w:rPr>
            </w:pPr>
            <w:r>
              <w:rPr>
                <w:rFonts w:ascii="Arial" w:cs="Arial" w:eastAsia="Arial" w:hAnsi="Arial"/>
                <w:sz w:val="3"/>
                <w:szCs w:val="3"/>
                <w:color w:val="FFFFFF"/>
              </w:rPr>
              <w:t>O VOTE, MARK BLOCKS BELOW IN BLUE OR BLACK INK AS FOLLOWS:</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K EP THIS PORTION FOR YOUR RECORDS</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DETACH AND RETURN THIS PORTION ONLY</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THIS PROXY CARD IS VALID ONLY WHEN SIGNED AND DATED.</w:t>
            </w: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For All</w:t>
            </w:r>
          </w:p>
        </w:tc>
        <w:tc>
          <w:tcPr>
            <w:tcW w:w="10640" w:type="dxa"/>
            <w:vAlign w:val="bottom"/>
          </w:tcPr>
          <w:p>
            <w:pPr>
              <w:spacing w:after="0"/>
              <w:rPr>
                <w:sz w:val="3"/>
                <w:szCs w:val="3"/>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Withhold All</w:t>
            </w:r>
          </w:p>
        </w:tc>
        <w:tc>
          <w:tcPr>
            <w:tcW w:w="10640" w:type="dxa"/>
            <w:vAlign w:val="bottom"/>
          </w:tcPr>
          <w:p>
            <w:pPr>
              <w:spacing w:after="0"/>
              <w:rPr>
                <w:sz w:val="3"/>
                <w:szCs w:val="3"/>
                <w:color w:val="auto"/>
              </w:rPr>
            </w:pPr>
          </w:p>
        </w:tc>
      </w:tr>
      <w:tr>
        <w:trPr>
          <w:trHeight w:val="41"/>
        </w:trPr>
        <w:tc>
          <w:tcPr>
            <w:tcW w:w="11360" w:type="dxa"/>
            <w:vAlign w:val="bottom"/>
            <w:gridSpan w:val="2"/>
          </w:tcPr>
          <w:p>
            <w:pPr>
              <w:ind w:left="220"/>
              <w:spacing w:after="0"/>
              <w:rPr>
                <w:sz w:val="20"/>
                <w:szCs w:val="20"/>
                <w:color w:val="auto"/>
              </w:rPr>
            </w:pPr>
            <w:r>
              <w:rPr>
                <w:rFonts w:ascii="Arial" w:cs="Arial" w:eastAsia="Arial" w:hAnsi="Arial"/>
                <w:sz w:val="3"/>
                <w:szCs w:val="3"/>
                <w:color w:val="FFFFFF"/>
              </w:rPr>
              <w:t>All Except</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Forwithhold authority to vote for any individual nominee (s), mark “For All Except” and write the number (s) of the nominee (s) on the line below.</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The Board of Directors recommends you vote</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FOR the following:</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1. Election of Directors</w:t>
            </w: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Nominees</w:t>
            </w:r>
          </w:p>
        </w:tc>
        <w:tc>
          <w:tcPr>
            <w:tcW w:w="10640" w:type="dxa"/>
            <w:vAlign w:val="bottom"/>
          </w:tcPr>
          <w:p>
            <w:pPr>
              <w:spacing w:after="0"/>
              <w:rPr>
                <w:sz w:val="3"/>
                <w:szCs w:val="3"/>
                <w:color w:val="auto"/>
              </w:rPr>
            </w:pPr>
          </w:p>
        </w:tc>
      </w:tr>
      <w:tr>
        <w:trPr>
          <w:trHeight w:val="41"/>
        </w:trPr>
        <w:tc>
          <w:tcPr>
            <w:tcW w:w="11360" w:type="dxa"/>
            <w:vAlign w:val="bottom"/>
            <w:gridSpan w:val="2"/>
          </w:tcPr>
          <w:p>
            <w:pPr>
              <w:ind w:left="80"/>
              <w:spacing w:after="0"/>
              <w:rPr>
                <w:sz w:val="20"/>
                <w:szCs w:val="20"/>
                <w:color w:val="auto"/>
              </w:rPr>
            </w:pPr>
            <w:r>
              <w:rPr>
                <w:rFonts w:ascii="Arial" w:cs="Arial" w:eastAsia="Arial" w:hAnsi="Arial"/>
                <w:sz w:val="3"/>
                <w:szCs w:val="3"/>
                <w:color w:val="FFFFFF"/>
              </w:rPr>
              <w:t>1 Adam Bernstein</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02 Jeffrey Flug</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The Board of Directors recommends you vote FOR the following proposal:</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For Against Abstain</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2 To ratify the selection of McGladrey LLP to serve as the Company’s independent registered public accounting firm for the fiscal year ending September 30, 2015.</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For address change/comments, mark here.</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(see reverse for instructions)</w:t>
            </w:r>
          </w:p>
        </w:tc>
      </w:tr>
      <w:tr>
        <w:trPr>
          <w:trHeight w:val="41"/>
        </w:trPr>
        <w:tc>
          <w:tcPr>
            <w:tcW w:w="11360" w:type="dxa"/>
            <w:vAlign w:val="bottom"/>
            <w:gridSpan w:val="2"/>
          </w:tcPr>
          <w:p>
            <w:pPr>
              <w:ind w:left="380"/>
              <w:spacing w:after="0"/>
              <w:rPr>
                <w:sz w:val="20"/>
                <w:szCs w:val="20"/>
                <w:color w:val="auto"/>
              </w:rPr>
            </w:pPr>
            <w:r>
              <w:rPr>
                <w:rFonts w:ascii="Arial" w:cs="Arial" w:eastAsia="Arial" w:hAnsi="Arial"/>
                <w:sz w:val="3"/>
                <w:szCs w:val="3"/>
                <w:color w:val="FFFFFF"/>
              </w:rPr>
              <w:t>indicate if you plan to attend this meeting Yes No</w:t>
            </w:r>
          </w:p>
        </w:tc>
      </w:tr>
      <w:tr>
        <w:trPr>
          <w:trHeight w:val="0"/>
        </w:trPr>
        <w:tc>
          <w:tcPr>
            <w:tcW w:w="720" w:type="dxa"/>
            <w:vAlign w:val="bottom"/>
          </w:tcPr>
          <w:p>
            <w:pPr>
              <w:spacing w:after="0" w:line="80" w:lineRule="exact"/>
              <w:rPr>
                <w:sz w:val="20"/>
                <w:szCs w:val="20"/>
                <w:color w:val="auto"/>
              </w:rPr>
            </w:pPr>
            <w:r>
              <w:rPr>
                <w:rFonts w:ascii="Arial" w:cs="Arial" w:eastAsia="Arial" w:hAnsi="Arial"/>
                <w:sz w:val="9"/>
                <w:szCs w:val="9"/>
                <w:color w:val="FFFFFF"/>
              </w:rPr>
              <w:t>Please sign</w:t>
            </w:r>
          </w:p>
        </w:tc>
        <w:tc>
          <w:tcPr>
            <w:tcW w:w="10640" w:type="dxa"/>
            <w:vAlign w:val="bottom"/>
          </w:tcPr>
          <w:p>
            <w:pPr>
              <w:ind w:left="340"/>
              <w:spacing w:after="0" w:line="80" w:lineRule="exact"/>
              <w:rPr>
                <w:sz w:val="20"/>
                <w:szCs w:val="20"/>
                <w:color w:val="auto"/>
              </w:rPr>
            </w:pPr>
            <w:r>
              <w:rPr>
                <w:rFonts w:ascii="Arial" w:cs="Arial" w:eastAsia="Arial" w:hAnsi="Arial"/>
                <w:sz w:val="9"/>
                <w:szCs w:val="9"/>
                <w:color w:val="FFFFFF"/>
              </w:rPr>
              <w:t>as your name (s) appear (s) hereon. When signing as attorney, executor administrator, or other fiduciary, please give full title as such. Joint owners should each sign personally. All holders</w:t>
            </w:r>
          </w:p>
        </w:tc>
      </w:tr>
    </w:tbl>
    <w:p>
      <w:pPr>
        <w:ind w:left="640"/>
        <w:spacing w:after="0" w:line="25" w:lineRule="auto"/>
        <w:tabs>
          <w:tab w:leader="none" w:pos="2360" w:val="left"/>
          <w:tab w:leader="none" w:pos="4600" w:val="left"/>
        </w:tabs>
        <w:rPr>
          <w:sz w:val="20"/>
          <w:szCs w:val="20"/>
          <w:color w:val="auto"/>
        </w:rPr>
      </w:pPr>
      <w:r>
        <w:rPr>
          <w:rFonts w:ascii="Arial" w:cs="Arial" w:eastAsia="Arial" w:hAnsi="Arial"/>
          <w:sz w:val="1"/>
          <w:szCs w:val="1"/>
          <w:color w:val="FFFFFF"/>
        </w:rPr>
        <w:t>exactly</w:t>
      </w:r>
      <w:r>
        <w:rPr>
          <w:sz w:val="20"/>
          <w:szCs w:val="20"/>
          <w:color w:val="auto"/>
        </w:rPr>
        <w:tab/>
      </w:r>
      <w:r>
        <w:rPr>
          <w:rFonts w:ascii="Arial" w:cs="Arial" w:eastAsia="Arial" w:hAnsi="Arial"/>
          <w:sz w:val="1"/>
          <w:szCs w:val="1"/>
          <w:color w:val="FFFFFF"/>
          <w:vertAlign w:val="superscript"/>
        </w:rPr>
        <w:t>Date</w:t>
      </w:r>
      <w:r>
        <w:rPr>
          <w:sz w:val="20"/>
          <w:szCs w:val="20"/>
          <w:color w:val="auto"/>
        </w:rPr>
        <w:tab/>
      </w:r>
      <w:r>
        <w:rPr>
          <w:rFonts w:ascii="Arial" w:cs="Arial" w:eastAsia="Arial" w:hAnsi="Arial"/>
          <w:sz w:val="1"/>
          <w:szCs w:val="1"/>
          <w:color w:val="FFFFFF"/>
        </w:rPr>
        <w:t>name,</w:t>
      </w:r>
    </w:p>
    <w:p>
      <w:pPr>
        <w:spacing w:after="0"/>
        <w:tabs>
          <w:tab w:leader="none" w:pos="4960" w:val="left"/>
        </w:tabs>
        <w:rPr>
          <w:sz w:val="20"/>
          <w:szCs w:val="20"/>
          <w:color w:val="auto"/>
        </w:rPr>
      </w:pPr>
      <w:r>
        <w:rPr>
          <w:rFonts w:ascii="Arial" w:cs="Arial" w:eastAsia="Arial" w:hAnsi="Arial"/>
          <w:sz w:val="21"/>
          <w:szCs w:val="21"/>
          <w:color w:val="FFFFFF"/>
          <w:vertAlign w:val="subscript"/>
        </w:rPr>
        <w:t>Signature</w:t>
      </w:r>
      <w:r>
        <w:rPr>
          <w:rFonts w:ascii="Arial" w:cs="Arial" w:eastAsia="Arial" w:hAnsi="Arial"/>
          <w:sz w:val="11"/>
          <w:szCs w:val="11"/>
          <w:color w:val="FFFFFF"/>
        </w:rPr>
        <w:t>mustsign.[PLEASEIfcorporationSIGN orWITHINpartnership,BOX]please sign in full corporate or partnership</w:t>
      </w:r>
      <w:r>
        <w:rPr>
          <w:sz w:val="20"/>
          <w:szCs w:val="20"/>
          <w:color w:val="auto"/>
        </w:rPr>
        <w:tab/>
      </w:r>
      <w:r>
        <w:rPr>
          <w:rFonts w:ascii="Arial" w:cs="Arial" w:eastAsia="Arial" w:hAnsi="Arial"/>
          <w:sz w:val="12"/>
          <w:szCs w:val="12"/>
          <w:color w:val="FFFFFF"/>
        </w:rPr>
        <w:t>by authorized officer.</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4"/>
          <w:szCs w:val="14"/>
          <w:color w:val="FFFFFF"/>
        </w:rPr>
        <w:t>(Joint Owners) Date</w:t>
      </w:r>
    </w:p>
    <w:p>
      <w:pPr>
        <w:spacing w:after="0"/>
        <w:rPr>
          <w:sz w:val="20"/>
          <w:szCs w:val="20"/>
          <w:color w:val="auto"/>
        </w:rPr>
      </w:pPr>
      <w:r>
        <w:rPr>
          <w:rFonts w:ascii="Arial" w:cs="Arial" w:eastAsia="Arial" w:hAnsi="Arial"/>
          <w:sz w:val="14"/>
          <w:szCs w:val="14"/>
          <w:color w:val="FFFFFF"/>
        </w:rPr>
        <w:t>0000222045_1 R1.0.0.51160</w:t>
      </w:r>
    </w:p>
    <w:p>
      <w:pPr>
        <w:sectPr>
          <w:pgSz w:w="11900" w:h="16838" w:orient="portrait"/>
          <w:cols w:equalWidth="0" w:num="1">
            <w:col w:w="11360"/>
          </w:cols>
          <w:pgMar w:left="240" w:top="1440" w:right="29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80" w:type="dxa"/>
            <w:vAlign w:val="bottom"/>
            <w:gridSpan w:val="3"/>
          </w:tcPr>
          <w:p>
            <w:pPr>
              <w:spacing w:after="0"/>
              <w:rPr>
                <w:sz w:val="20"/>
                <w:szCs w:val="20"/>
                <w:color w:val="auto"/>
              </w:rPr>
            </w:pPr>
            <w:r>
              <w:rPr>
                <w:rFonts w:ascii="Arial" w:cs="Arial" w:eastAsia="Arial" w:hAnsi="Arial"/>
                <w:sz w:val="14"/>
                <w:szCs w:val="14"/>
                <w:color w:val="FFFFFF"/>
              </w:rPr>
              <w:t>Important Notice Regarding the Availability of Proxy Materials for the Annual Meeting: The Notice &amp; Proxy Statement, Form 10-K is/are available at www.proxyvote.com .</w:t>
            </w:r>
          </w:p>
        </w:tc>
        <w:tc>
          <w:tcPr>
            <w:tcW w:w="0" w:type="dxa"/>
            <w:vAlign w:val="bottom"/>
          </w:tcPr>
          <w:p>
            <w:pPr>
              <w:spacing w:after="0"/>
              <w:rPr>
                <w:sz w:val="1"/>
                <w:szCs w:val="1"/>
                <w:color w:val="auto"/>
              </w:rPr>
            </w:pPr>
          </w:p>
        </w:tc>
      </w:tr>
      <w:tr>
        <w:trPr>
          <w:trHeight w:val="41"/>
        </w:trPr>
        <w:tc>
          <w:tcPr>
            <w:tcW w:w="3240" w:type="dxa"/>
            <w:vAlign w:val="bottom"/>
            <w:gridSpan w:val="2"/>
          </w:tcPr>
          <w:p>
            <w:pPr>
              <w:spacing w:after="0"/>
              <w:rPr>
                <w:sz w:val="20"/>
                <w:szCs w:val="20"/>
                <w:color w:val="auto"/>
              </w:rPr>
            </w:pPr>
            <w:r>
              <w:rPr>
                <w:rFonts w:ascii="Arial" w:cs="Arial" w:eastAsia="Arial" w:hAnsi="Arial"/>
                <w:sz w:val="3"/>
                <w:szCs w:val="3"/>
                <w:color w:val="FFFFFF"/>
              </w:rPr>
              <w:t>PENNANTPARK INVESTMENT CORPORATION</w:t>
            </w:r>
          </w:p>
        </w:tc>
        <w:tc>
          <w:tcPr>
            <w:tcW w:w="8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40" w:type="dxa"/>
            <w:vAlign w:val="bottom"/>
            <w:gridSpan w:val="2"/>
          </w:tcPr>
          <w:p>
            <w:pPr>
              <w:spacing w:after="0"/>
              <w:rPr>
                <w:sz w:val="20"/>
                <w:szCs w:val="20"/>
                <w:color w:val="auto"/>
              </w:rPr>
            </w:pPr>
            <w:r>
              <w:rPr>
                <w:rFonts w:ascii="Arial" w:cs="Arial" w:eastAsia="Arial" w:hAnsi="Arial"/>
                <w:sz w:val="3"/>
                <w:szCs w:val="3"/>
                <w:color w:val="FFFFFF"/>
              </w:rPr>
              <w:t>Annual Meeting of Stockholders</w:t>
            </w:r>
          </w:p>
        </w:tc>
        <w:tc>
          <w:tcPr>
            <w:tcW w:w="8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40" w:type="dxa"/>
            <w:vAlign w:val="bottom"/>
            <w:gridSpan w:val="2"/>
          </w:tcPr>
          <w:p>
            <w:pPr>
              <w:spacing w:after="0"/>
              <w:rPr>
                <w:sz w:val="20"/>
                <w:szCs w:val="20"/>
                <w:color w:val="auto"/>
              </w:rPr>
            </w:pPr>
            <w:r>
              <w:rPr>
                <w:rFonts w:ascii="Arial" w:cs="Arial" w:eastAsia="Arial" w:hAnsi="Arial"/>
                <w:sz w:val="3"/>
                <w:szCs w:val="3"/>
                <w:color w:val="FFFFFF"/>
              </w:rPr>
              <w:t>February 3, 2015 9:30 AM</w:t>
            </w:r>
          </w:p>
        </w:tc>
        <w:tc>
          <w:tcPr>
            <w:tcW w:w="8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 w:type="dxa"/>
            <w:vAlign w:val="bottom"/>
            <w:vMerge w:val="restart"/>
          </w:tcPr>
          <w:p>
            <w:pPr>
              <w:spacing w:after="0" w:line="81" w:lineRule="exact"/>
              <w:rPr>
                <w:sz w:val="20"/>
                <w:szCs w:val="20"/>
                <w:color w:val="auto"/>
              </w:rPr>
            </w:pPr>
            <w:r>
              <w:rPr>
                <w:rFonts w:ascii="Arial" w:cs="Arial" w:eastAsia="Arial" w:hAnsi="Arial"/>
                <w:sz w:val="9"/>
                <w:szCs w:val="9"/>
                <w:color w:val="FFFFFF"/>
              </w:rPr>
              <w:t>T</w:t>
            </w:r>
          </w:p>
        </w:tc>
        <w:tc>
          <w:tcPr>
            <w:tcW w:w="3120" w:type="dxa"/>
            <w:vAlign w:val="bottom"/>
          </w:tcPr>
          <w:p>
            <w:pPr>
              <w:ind w:left="40"/>
              <w:spacing w:after="0"/>
              <w:rPr>
                <w:sz w:val="20"/>
                <w:szCs w:val="20"/>
                <w:color w:val="auto"/>
              </w:rPr>
            </w:pPr>
            <w:r>
              <w:rPr>
                <w:rFonts w:ascii="Arial" w:cs="Arial" w:eastAsia="Arial" w:hAnsi="Arial"/>
                <w:sz w:val="3"/>
                <w:szCs w:val="3"/>
                <w:color w:val="FFFFFF"/>
              </w:rPr>
              <w:t>is proxy is solicited by the Board of Directors</w:t>
            </w:r>
          </w:p>
        </w:tc>
        <w:tc>
          <w:tcPr>
            <w:tcW w:w="8040" w:type="dxa"/>
            <w:vAlign w:val="bottom"/>
            <w:vMerge w:val="restart"/>
          </w:tcPr>
          <w:p>
            <w:pPr>
              <w:ind w:left="420"/>
              <w:spacing w:after="0" w:line="81" w:lineRule="exact"/>
              <w:rPr>
                <w:sz w:val="20"/>
                <w:szCs w:val="20"/>
                <w:color w:val="auto"/>
              </w:rPr>
            </w:pPr>
            <w:r>
              <w:rPr>
                <w:rFonts w:ascii="Arial" w:cs="Arial" w:eastAsia="Arial" w:hAnsi="Arial"/>
                <w:sz w:val="9"/>
                <w:szCs w:val="9"/>
                <w:color w:val="FFFFFF"/>
              </w:rPr>
              <w:t>substitute o act as attorney and proxy for the undersigned to vote all of the shares of Common Stock of PennantPark Investment Corporation</w:t>
            </w:r>
          </w:p>
        </w:tc>
        <w:tc>
          <w:tcPr>
            <w:tcW w:w="0" w:type="dxa"/>
            <w:vAlign w:val="bottom"/>
          </w:tcPr>
          <w:p>
            <w:pPr>
              <w:spacing w:after="0"/>
              <w:rPr>
                <w:sz w:val="1"/>
                <w:szCs w:val="1"/>
                <w:color w:val="auto"/>
              </w:rPr>
            </w:pPr>
          </w:p>
        </w:tc>
      </w:tr>
      <w:tr>
        <w:trPr>
          <w:trHeight w:val="41"/>
        </w:trPr>
        <w:tc>
          <w:tcPr>
            <w:tcW w:w="120" w:type="dxa"/>
            <w:vAlign w:val="bottom"/>
            <w:vMerge w:val="continue"/>
          </w:tcPr>
          <w:p>
            <w:pPr>
              <w:spacing w:after="0"/>
              <w:rPr>
                <w:sz w:val="3"/>
                <w:szCs w:val="3"/>
                <w:color w:val="auto"/>
              </w:rPr>
            </w:pPr>
          </w:p>
        </w:tc>
        <w:tc>
          <w:tcPr>
            <w:tcW w:w="3120" w:type="dxa"/>
            <w:vAlign w:val="bottom"/>
          </w:tcPr>
          <w:p>
            <w:pPr>
              <w:ind w:left="140"/>
              <w:spacing w:after="0"/>
              <w:rPr>
                <w:sz w:val="20"/>
                <w:szCs w:val="20"/>
                <w:color w:val="auto"/>
              </w:rPr>
            </w:pPr>
            <w:r>
              <w:rPr>
                <w:rFonts w:ascii="Arial" w:cs="Arial" w:eastAsia="Arial" w:hAnsi="Arial"/>
                <w:sz w:val="3"/>
                <w:szCs w:val="3"/>
                <w:color w:val="FFFFFF"/>
              </w:rPr>
              <w:t>undersigned hereby appoints Arthur H. Penn or his d</w:t>
            </w:r>
          </w:p>
        </w:tc>
        <w:tc>
          <w:tcPr>
            <w:tcW w:w="8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240" w:type="dxa"/>
            <w:vAlign w:val="bottom"/>
            <w:gridSpan w:val="2"/>
          </w:tcPr>
          <w:p>
            <w:pPr>
              <w:spacing w:after="0" w:line="121" w:lineRule="exact"/>
              <w:rPr>
                <w:sz w:val="20"/>
                <w:szCs w:val="20"/>
                <w:color w:val="auto"/>
              </w:rPr>
            </w:pPr>
            <w:r>
              <w:rPr>
                <w:rFonts w:ascii="Arial" w:cs="Arial" w:eastAsia="Arial" w:hAnsi="Arial"/>
                <w:sz w:val="12"/>
                <w:szCs w:val="12"/>
                <w:color w:val="FFFFFF"/>
              </w:rPr>
              <w:t>(the “Company”) which the undersigned is entitled to vote</w:t>
            </w:r>
          </w:p>
        </w:tc>
        <w:tc>
          <w:tcPr>
            <w:tcW w:w="8040" w:type="dxa"/>
            <w:vAlign w:val="bottom"/>
          </w:tcPr>
          <w:p>
            <w:pPr>
              <w:ind w:left="100"/>
              <w:spacing w:after="0" w:line="121" w:lineRule="exact"/>
              <w:rPr>
                <w:sz w:val="20"/>
                <w:szCs w:val="20"/>
                <w:color w:val="auto"/>
              </w:rPr>
            </w:pPr>
            <w:r>
              <w:rPr>
                <w:rFonts w:ascii="Arial" w:cs="Arial" w:eastAsia="Arial" w:hAnsi="Arial"/>
                <w:sz w:val="12"/>
                <w:szCs w:val="12"/>
                <w:color w:val="FFFFFF"/>
              </w:rPr>
              <w:t>the Annual Meeting of Stockholders of the Company to be held at the offices of Dechert LLP, located at 1095 Avenue of the Americas, New York,</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New York, on February 3, 2015 at 9:30 a.m., Eastern Time,signatedandall adjournments thereof, as indicated on this proxy.</w:t>
      </w:r>
    </w:p>
    <w:p>
      <w:pPr>
        <w:spacing w:after="0" w:line="184" w:lineRule="auto"/>
        <w:rPr>
          <w:sz w:val="20"/>
          <w:szCs w:val="20"/>
          <w:color w:val="auto"/>
        </w:rPr>
      </w:pPr>
      <w:r>
        <w:rPr>
          <w:rFonts w:ascii="Arial" w:cs="Arial" w:eastAsia="Arial" w:hAnsi="Arial"/>
          <w:sz w:val="10"/>
          <w:szCs w:val="10"/>
          <w:color w:val="FFFFFF"/>
        </w:rPr>
        <w:t>AddressThisproxy,change/comments:whenproperlyexecuted, will be voted in the manner directed herein. If no such direction is made, this proxy will be voted in accordance with the Board of Director recommendations.</w:t>
      </w:r>
    </w:p>
    <w:p>
      <w:pPr>
        <w:spacing w:after="0"/>
        <w:rPr>
          <w:sz w:val="20"/>
          <w:szCs w:val="20"/>
          <w:color w:val="auto"/>
        </w:rPr>
      </w:pPr>
      <w:r>
        <w:rPr>
          <w:rFonts w:ascii="Arial" w:cs="Arial" w:eastAsia="Arial" w:hAnsi="Arial"/>
          <w:sz w:val="3"/>
          <w:szCs w:val="3"/>
          <w:color w:val="FFFFFF"/>
        </w:rPr>
        <w:t>Continued(Ifyounotedandanyto beAddresssignedChangesonreverseand/orsideComments above, please mark corresponding box on the reverse side.)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0000222045_2 R1.0.0.51160</w:t>
      </w:r>
    </w:p>
    <w:p>
      <w:pPr>
        <w:sectPr>
          <w:pgSz w:w="11900" w:h="16838" w:orient="portrait"/>
          <w:cols w:equalWidth="0" w:num="1">
            <w:col w:w="11280"/>
          </w:cols>
          <w:pgMar w:left="240" w:top="1440" w:right="37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73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 Exercise Your Right to Vote ***</w:t>
      </w:r>
    </w:p>
    <w:p>
      <w:pPr>
        <w:spacing w:after="0" w:line="187" w:lineRule="auto"/>
        <w:rPr>
          <w:sz w:val="20"/>
          <w:szCs w:val="20"/>
          <w:color w:val="auto"/>
        </w:rPr>
      </w:pPr>
      <w:r>
        <w:rPr>
          <w:rFonts w:ascii="Arial" w:cs="Arial" w:eastAsia="Arial" w:hAnsi="Arial"/>
          <w:sz w:val="7"/>
          <w:szCs w:val="7"/>
          <w:color w:val="FFFFFF"/>
        </w:rPr>
        <w:t>Important Notice Regarding the</w:t>
      </w:r>
      <w:r>
        <w:rPr>
          <w:rFonts w:ascii="Arial" w:cs="Arial" w:eastAsia="Arial" w:hAnsi="Arial"/>
          <w:sz w:val="9"/>
          <w:szCs w:val="9"/>
          <w:color w:val="FFFFFF"/>
          <w:vertAlign w:val="superscript"/>
        </w:rPr>
        <w:t>RA</w:t>
      </w:r>
      <w:r>
        <w:rPr>
          <w:rFonts w:ascii="Arial" w:cs="Arial" w:eastAsia="Arial" w:hAnsi="Arial"/>
          <w:sz w:val="7"/>
          <w:szCs w:val="7"/>
          <w:color w:val="FFFFFF"/>
        </w:rPr>
        <w:t>vailability of Proxy Materials for the Shareholder Meeting to Be Held on February 03, 2015</w:t>
      </w:r>
    </w:p>
    <w:p>
      <w:pPr>
        <w:spacing w:after="0"/>
        <w:tabs>
          <w:tab w:leader="none" w:pos="1860" w:val="left"/>
        </w:tabs>
        <w:rPr>
          <w:sz w:val="20"/>
          <w:szCs w:val="20"/>
          <w:color w:val="auto"/>
        </w:rPr>
      </w:pPr>
      <w:r>
        <w:rPr>
          <w:rFonts w:ascii="Arial" w:cs="Arial" w:eastAsia="Arial" w:hAnsi="Arial"/>
          <w:sz w:val="4"/>
          <w:szCs w:val="4"/>
          <w:color w:val="FFFFFF"/>
          <w:vertAlign w:val="subscript"/>
        </w:rPr>
        <w:t>Meeting</w:t>
      </w:r>
      <w:r>
        <w:rPr>
          <w:rFonts w:ascii="Arial" w:cs="Arial" w:eastAsia="Arial" w:hAnsi="Arial"/>
          <w:sz w:val="2"/>
          <w:szCs w:val="2"/>
          <w:color w:val="FFFFFF"/>
        </w:rPr>
        <w:t>PENNANTPARKInformationFLOATING</w:t>
      </w:r>
      <w:r>
        <w:rPr>
          <w:sz w:val="20"/>
          <w:szCs w:val="20"/>
          <w:color w:val="auto"/>
        </w:rPr>
        <w:tab/>
      </w:r>
      <w:r>
        <w:rPr>
          <w:rFonts w:ascii="Arial" w:cs="Arial" w:eastAsia="Arial" w:hAnsi="Arial"/>
          <w:sz w:val="3"/>
          <w:szCs w:val="3"/>
          <w:color w:val="FFFFFF"/>
        </w:rPr>
        <w:t>TE CAPITAL LTD.</w:t>
      </w:r>
    </w:p>
    <w:p>
      <w:pPr>
        <w:ind w:left="500"/>
        <w:spacing w:after="0"/>
        <w:rPr>
          <w:sz w:val="20"/>
          <w:szCs w:val="20"/>
          <w:color w:val="auto"/>
        </w:rPr>
      </w:pPr>
      <w:r>
        <w:rPr>
          <w:rFonts w:ascii="Arial" w:cs="Arial" w:eastAsia="Arial" w:hAnsi="Arial"/>
          <w:sz w:val="3"/>
          <w:szCs w:val="3"/>
          <w:color w:val="FFFFFF"/>
        </w:rPr>
        <w:t>Type: Annual Meeting</w:t>
      </w:r>
    </w:p>
    <w:p>
      <w:pPr>
        <w:spacing w:after="0" w:line="194" w:lineRule="auto"/>
        <w:rPr>
          <w:sz w:val="20"/>
          <w:szCs w:val="20"/>
          <w:color w:val="auto"/>
        </w:rPr>
      </w:pPr>
      <w:r>
        <w:rPr>
          <w:rFonts w:ascii="Arial" w:cs="Arial" w:eastAsia="Arial" w:hAnsi="Arial"/>
          <w:sz w:val="5"/>
          <w:szCs w:val="5"/>
          <w:color w:val="FFFFFF"/>
        </w:rPr>
        <w:t>For holders as of: December 01, 2014</w:t>
      </w:r>
    </w:p>
    <w:p>
      <w:pPr>
        <w:spacing w:after="0"/>
        <w:rPr>
          <w:sz w:val="20"/>
          <w:szCs w:val="20"/>
          <w:color w:val="auto"/>
        </w:rPr>
      </w:pPr>
      <w:r>
        <w:rPr>
          <w:rFonts w:ascii="Arial" w:cs="Arial" w:eastAsia="Arial" w:hAnsi="Arial"/>
          <w:sz w:val="3"/>
          <w:szCs w:val="3"/>
          <w:color w:val="FFFFFF"/>
        </w:rPr>
        <w:t>Date: February 03, 2015 Time: 9:30 AM EST</w:t>
      </w:r>
    </w:p>
    <w:p>
      <w:pPr>
        <w:spacing w:after="0" w:line="194" w:lineRule="auto"/>
        <w:rPr>
          <w:sz w:val="20"/>
          <w:szCs w:val="20"/>
          <w:color w:val="auto"/>
        </w:rPr>
      </w:pPr>
      <w:r>
        <w:rPr>
          <w:rFonts w:ascii="Arial" w:cs="Arial" w:eastAsia="Arial" w:hAnsi="Arial"/>
          <w:sz w:val="5"/>
          <w:szCs w:val="5"/>
          <w:color w:val="FFFFFF"/>
        </w:rPr>
        <w:t>Location: Offices of Dechert LLP</w:t>
      </w:r>
    </w:p>
    <w:p>
      <w:pPr>
        <w:spacing w:after="0"/>
        <w:rPr>
          <w:sz w:val="20"/>
          <w:szCs w:val="20"/>
          <w:color w:val="auto"/>
        </w:rPr>
      </w:pPr>
      <w:r>
        <w:rPr>
          <w:rFonts w:ascii="Arial" w:cs="Arial" w:eastAsia="Arial" w:hAnsi="Arial"/>
          <w:sz w:val="3"/>
          <w:szCs w:val="3"/>
          <w:color w:val="FFFFFF"/>
        </w:rPr>
        <w:t>1095 Avenue of the Americas</w:t>
      </w:r>
    </w:p>
    <w:p>
      <w:pPr>
        <w:spacing w:after="0" w:line="194" w:lineRule="auto"/>
        <w:rPr>
          <w:sz w:val="20"/>
          <w:szCs w:val="20"/>
          <w:color w:val="auto"/>
        </w:rPr>
      </w:pPr>
      <w:r>
        <w:rPr>
          <w:rFonts w:ascii="Arial" w:cs="Arial" w:eastAsia="Arial" w:hAnsi="Arial"/>
          <w:sz w:val="5"/>
          <w:szCs w:val="5"/>
          <w:color w:val="FFFFFF"/>
        </w:rPr>
        <w:t>New York, NY 10036</w:t>
      </w:r>
    </w:p>
    <w:p>
      <w:pPr>
        <w:spacing w:after="0"/>
        <w:rPr>
          <w:sz w:val="20"/>
          <w:szCs w:val="20"/>
          <w:color w:val="auto"/>
        </w:rPr>
      </w:pPr>
      <w:r>
        <w:rPr>
          <w:rFonts w:ascii="Arial" w:cs="Arial" w:eastAsia="Arial" w:hAnsi="Arial"/>
          <w:sz w:val="3"/>
          <w:szCs w:val="3"/>
          <w:color w:val="FFFFFF"/>
        </w:rPr>
        <w:t>You are receiving this communication because you hold shares in the above named company.</w:t>
      </w:r>
    </w:p>
    <w:p>
      <w:pPr>
        <w:spacing w:after="0" w:line="194" w:lineRule="auto"/>
        <w:rPr>
          <w:sz w:val="20"/>
          <w:szCs w:val="20"/>
          <w:color w:val="auto"/>
        </w:rPr>
      </w:pPr>
      <w:r>
        <w:rPr>
          <w:rFonts w:ascii="Arial" w:cs="Arial" w:eastAsia="Arial" w:hAnsi="Arial"/>
          <w:sz w:val="3"/>
          <w:szCs w:val="3"/>
          <w:color w:val="FFFFFF"/>
        </w:rPr>
        <w:t>This is not</w:t>
      </w:r>
      <w:r>
        <w:rPr>
          <w:rFonts w:ascii="Arial" w:cs="Arial" w:eastAsia="Arial" w:hAnsi="Arial"/>
          <w:sz w:val="5"/>
          <w:szCs w:val="5"/>
          <w:color w:val="FFFFFF"/>
          <w:vertAlign w:val="subscript"/>
        </w:rPr>
        <w:t>materials</w:t>
      </w:r>
      <w:r>
        <w:rPr>
          <w:rFonts w:ascii="Arial" w:cs="Arial" w:eastAsia="Arial" w:hAnsi="Arial"/>
          <w:sz w:val="3"/>
          <w:szCs w:val="3"/>
          <w:color w:val="FFFFFF"/>
        </w:rPr>
        <w:t>ballot. You cannot use this notice to vote these shares. This communication presents only an overview of the more complete proxy materials that are available to you on the Internet. You may view</w:t>
      </w:r>
    </w:p>
    <w:p>
      <w:pPr>
        <w:spacing w:after="0" w:line="211" w:lineRule="auto"/>
        <w:tabs>
          <w:tab w:leader="none" w:pos="1060" w:val="left"/>
        </w:tabs>
        <w:rPr>
          <w:sz w:val="20"/>
          <w:szCs w:val="20"/>
          <w:color w:val="auto"/>
        </w:rPr>
      </w:pPr>
      <w:r>
        <w:rPr>
          <w:rFonts w:ascii="Arial" w:cs="Arial" w:eastAsia="Arial" w:hAnsi="Arial"/>
          <w:sz w:val="3"/>
          <w:szCs w:val="3"/>
          <w:color w:val="FFFFFF"/>
        </w:rPr>
        <w:t>the proxy</w:t>
      </w:r>
      <w:r>
        <w:rPr>
          <w:sz w:val="20"/>
          <w:szCs w:val="20"/>
          <w:color w:val="auto"/>
        </w:rPr>
        <w:tab/>
      </w:r>
      <w:r>
        <w:rPr>
          <w:rFonts w:ascii="Arial" w:cs="Arial" w:eastAsia="Arial" w:hAnsi="Arial"/>
          <w:sz w:val="2"/>
          <w:szCs w:val="2"/>
          <w:color w:val="FFFFFF"/>
        </w:rPr>
        <w:t>online</w:t>
      </w:r>
      <w:r>
        <w:rPr>
          <w:rFonts w:ascii="Arial" w:cs="Arial" w:eastAsia="Arial" w:hAnsi="Arial"/>
          <w:sz w:val="4"/>
          <w:szCs w:val="4"/>
          <w:color w:val="FFFFFF"/>
          <w:vertAlign w:val="subscript"/>
        </w:rPr>
        <w:t>access</w:t>
      </w:r>
      <w:r>
        <w:rPr>
          <w:rFonts w:ascii="Arial" w:cs="Arial" w:eastAsia="Arial" w:hAnsi="Arial"/>
          <w:sz w:val="2"/>
          <w:szCs w:val="2"/>
          <w:color w:val="FFFFFF"/>
        </w:rPr>
        <w:t>at www.proxyvote.com</w:t>
      </w:r>
      <w:r>
        <w:rPr>
          <w:rFonts w:ascii="Arial" w:cs="Arial" w:eastAsia="Arial" w:hAnsi="Arial"/>
          <w:sz w:val="4"/>
          <w:szCs w:val="4"/>
          <w:color w:val="FFFFFF"/>
          <w:vertAlign w:val="subscript"/>
        </w:rPr>
        <w:t>important</w:t>
      </w:r>
      <w:r>
        <w:rPr>
          <w:rFonts w:ascii="Arial" w:cs="Arial" w:eastAsia="Arial" w:hAnsi="Arial"/>
          <w:sz w:val="2"/>
          <w:szCs w:val="2"/>
          <w:color w:val="FFFFFF"/>
        </w:rPr>
        <w:t>easily request</w:t>
      </w:r>
      <w:r>
        <w:rPr>
          <w:rFonts w:ascii="Arial" w:cs="Arial" w:eastAsia="Arial" w:hAnsi="Arial"/>
          <w:sz w:val="4"/>
          <w:szCs w:val="4"/>
          <w:color w:val="FFFFFF"/>
          <w:vertAlign w:val="subscript"/>
        </w:rPr>
        <w:t>information</w:t>
      </w:r>
      <w:r>
        <w:rPr>
          <w:rFonts w:ascii="Arial" w:cs="Arial" w:eastAsia="Arial" w:hAnsi="Arial"/>
          <w:sz w:val="2"/>
          <w:szCs w:val="2"/>
          <w:color w:val="FFFFFF"/>
        </w:rPr>
        <w:t>paper copy (see reverse side).</w:t>
      </w:r>
    </w:p>
    <w:p>
      <w:pPr>
        <w:spacing w:after="0" w:line="212" w:lineRule="auto"/>
        <w:rPr>
          <w:sz w:val="20"/>
          <w:szCs w:val="20"/>
          <w:color w:val="auto"/>
        </w:rPr>
      </w:pPr>
      <w:r>
        <w:rPr>
          <w:rFonts w:ascii="Arial" w:cs="Arial" w:eastAsia="Arial" w:hAnsi="Arial"/>
          <w:sz w:val="4"/>
          <w:szCs w:val="4"/>
          <w:color w:val="FFFFFF"/>
          <w:vertAlign w:val="superscript"/>
        </w:rPr>
        <w:t>See</w:t>
      </w:r>
    </w:p>
    <w:p>
      <w:pPr>
        <w:spacing w:after="0"/>
        <w:rPr>
          <w:sz w:val="20"/>
          <w:szCs w:val="20"/>
          <w:color w:val="auto"/>
        </w:rPr>
      </w:pPr>
      <w:r>
        <w:rPr>
          <w:rFonts w:ascii="Arial" w:cs="Arial" w:eastAsia="Arial" w:hAnsi="Arial"/>
          <w:sz w:val="3"/>
          <w:szCs w:val="3"/>
          <w:color w:val="FFFFFF"/>
        </w:rPr>
        <w:t>W encouragethereverseyousidetoof this noticeandreviewtoobtainall proxyofthe materials and voting instructions.containedin the proxy materials before voting.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0000221416_1 R1.0.0.51160</w:t>
      </w:r>
    </w:p>
    <w:p>
      <w:pPr>
        <w:sectPr>
          <w:pgSz w:w="11900" w:h="16838" w:orient="portrait"/>
          <w:cols w:equalWidth="0" w:num="1">
            <w:col w:w="11280"/>
          </w:cols>
          <w:pgMar w:left="240" w:top="1440" w:right="37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73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FFFFFF"/>
              </w:rPr>
              <w:t>-Before You Vote-</w:t>
            </w: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340" w:type="dxa"/>
            <w:vAlign w:val="bottom"/>
            <w:gridSpan w:val="3"/>
          </w:tcPr>
          <w:p>
            <w:pPr>
              <w:spacing w:after="0"/>
              <w:rPr>
                <w:sz w:val="20"/>
                <w:szCs w:val="20"/>
                <w:color w:val="auto"/>
              </w:rPr>
            </w:pPr>
            <w:r>
              <w:rPr>
                <w:rFonts w:ascii="Arial" w:cs="Arial" w:eastAsia="Arial" w:hAnsi="Arial"/>
                <w:sz w:val="3"/>
                <w:szCs w:val="3"/>
                <w:color w:val="FFFFFF"/>
              </w:rPr>
              <w:t>How to Access the Proxy Materials</w:t>
            </w: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Proxy Materials Available to VIEW or RECEIVE:</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3"/>
          </w:tcPr>
          <w:p>
            <w:pPr>
              <w:spacing w:after="0"/>
              <w:rPr>
                <w:sz w:val="20"/>
                <w:szCs w:val="20"/>
                <w:color w:val="auto"/>
              </w:rPr>
            </w:pPr>
            <w:r>
              <w:rPr>
                <w:rFonts w:ascii="Arial" w:cs="Arial" w:eastAsia="Arial" w:hAnsi="Arial"/>
                <w:sz w:val="3"/>
                <w:szCs w:val="3"/>
                <w:color w:val="FFFFFF"/>
              </w:rPr>
              <w:t>1. Notice &amp; Proxy Statement 2. Form 10-K</w:t>
            </w: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1000" w:type="dxa"/>
            <w:vAlign w:val="bottom"/>
          </w:tcPr>
          <w:p>
            <w:pPr>
              <w:ind w:left="80"/>
              <w:spacing w:after="0"/>
              <w:rPr>
                <w:sz w:val="20"/>
                <w:szCs w:val="20"/>
                <w:color w:val="auto"/>
              </w:rPr>
            </w:pPr>
            <w:r>
              <w:rPr>
                <w:rFonts w:ascii="Arial" w:cs="Arial" w:eastAsia="Arial" w:hAnsi="Arial"/>
                <w:sz w:val="3"/>
                <w:szCs w:val="3"/>
                <w:color w:val="FFFFFF"/>
              </w:rPr>
              <w:t>to View Online:</w:t>
            </w: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ind w:left="100"/>
              <w:spacing w:after="0"/>
              <w:rPr>
                <w:sz w:val="20"/>
                <w:szCs w:val="20"/>
                <w:color w:val="auto"/>
              </w:rPr>
            </w:pPr>
            <w:r>
              <w:rPr>
                <w:rFonts w:ascii="Arial" w:cs="Arial" w:eastAsia="Arial" w:hAnsi="Arial"/>
                <w:sz w:val="3"/>
                <w:szCs w:val="3"/>
                <w:color w:val="FFFFFF"/>
              </w:rPr>
              <w:t>ave the information that is printed in the box marked by the arrow xxxx xxxx xxxx xxxx (located on the following page) and visit: www.proxyvote.com.</w:t>
            </w: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How to Request and Receive a PAPER or E-MAIL Copy:</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If you want to receive a paper or  -mail copy of these documents, you must request one. There is NO charge for 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1)</w:t>
            </w:r>
          </w:p>
        </w:tc>
        <w:tc>
          <w:tcPr>
            <w:tcW w:w="2120" w:type="dxa"/>
            <w:vAlign w:val="bottom"/>
            <w:gridSpan w:val="2"/>
          </w:tcPr>
          <w:p>
            <w:pPr>
              <w:jc w:val="right"/>
              <w:ind w:right="83"/>
              <w:spacing w:after="0"/>
              <w:rPr>
                <w:sz w:val="20"/>
                <w:szCs w:val="20"/>
                <w:color w:val="auto"/>
              </w:rPr>
            </w:pPr>
            <w:r>
              <w:rPr>
                <w:rFonts w:ascii="Arial" w:cs="Arial" w:eastAsia="Arial" w:hAnsi="Arial"/>
                <w:sz w:val="3"/>
                <w:szCs w:val="3"/>
                <w:color w:val="FFFFFF"/>
              </w:rPr>
              <w:t>INTERNET www.proxyvote.com</w:t>
            </w: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2)</w:t>
            </w:r>
          </w:p>
        </w:tc>
        <w:tc>
          <w:tcPr>
            <w:tcW w:w="1000" w:type="dxa"/>
            <w:vAlign w:val="bottom"/>
          </w:tcPr>
          <w:p>
            <w:pPr>
              <w:spacing w:after="0"/>
              <w:rPr>
                <w:sz w:val="3"/>
                <w:szCs w:val="3"/>
                <w:color w:val="auto"/>
              </w:rPr>
            </w:pPr>
          </w:p>
        </w:tc>
        <w:tc>
          <w:tcPr>
            <w:tcW w:w="1120" w:type="dxa"/>
            <w:vAlign w:val="bottom"/>
          </w:tcPr>
          <w:p>
            <w:pPr>
              <w:jc w:val="right"/>
              <w:ind w:right="223"/>
              <w:spacing w:after="0"/>
              <w:rPr>
                <w:sz w:val="20"/>
                <w:szCs w:val="20"/>
                <w:color w:val="auto"/>
              </w:rPr>
            </w:pPr>
            <w:r>
              <w:rPr>
                <w:rFonts w:ascii="Arial" w:cs="Arial" w:eastAsia="Arial" w:hAnsi="Arial"/>
                <w:sz w:val="3"/>
                <w:szCs w:val="3"/>
                <w:color w:val="FFFFFF"/>
              </w:rPr>
              <w:t>1-800-579-1639</w:t>
            </w:r>
          </w:p>
        </w:tc>
        <w:tc>
          <w:tcPr>
            <w:tcW w:w="980" w:type="dxa"/>
            <w:vAlign w:val="bottom"/>
            <w:vMerge w:val="restart"/>
          </w:tcPr>
          <w:p>
            <w:pPr>
              <w:spacing w:after="0" w:line="81" w:lineRule="exact"/>
              <w:rPr>
                <w:sz w:val="20"/>
                <w:szCs w:val="20"/>
                <w:color w:val="auto"/>
              </w:rPr>
            </w:pPr>
            <w:r>
              <w:rPr>
                <w:rFonts w:ascii="Arial" w:cs="Arial" w:eastAsia="Arial" w:hAnsi="Arial"/>
                <w:sz w:val="9"/>
                <w:szCs w:val="9"/>
                <w:color w:val="FFFFFF"/>
              </w:rPr>
              <w:t>.com</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3) BY TELEPHONE:-MAIL*:</w:t>
            </w:r>
          </w:p>
        </w:tc>
        <w:tc>
          <w:tcPr>
            <w:tcW w:w="1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 If requesting materialssendmaterial@proxyvoteby-mail,pleasesend a blank e-mail with the information that is printed in the box marked by the arrow xxxx xxxx xxxx xxxx (located on the following page) in the subject line.</w:t>
            </w: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before January 20, 2015 to facilitate</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timely delivery.</w:t>
            </w: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-How T  Vote-</w:t>
            </w: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Please Choose One of the Following Voting Methods</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  “legal proxy.” To do so, please follow the instructions at www.proxyvote.com or request a paper copy of the</w:t>
            </w: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materials, which will contain the appropriate instructions.</w:t>
            </w:r>
          </w:p>
        </w:tc>
        <w:tc>
          <w:tcPr>
            <w:tcW w:w="2120" w:type="dxa"/>
            <w:vAlign w:val="bottom"/>
            <w:gridSpan w:val="2"/>
          </w:tcPr>
          <w:p>
            <w:pPr>
              <w:ind w:left="180"/>
              <w:spacing w:after="0"/>
              <w:rPr>
                <w:sz w:val="20"/>
                <w:szCs w:val="20"/>
                <w:color w:val="auto"/>
              </w:rPr>
            </w:pPr>
            <w:r>
              <w:rPr>
                <w:rFonts w:ascii="Arial" w:cs="Arial" w:eastAsia="Arial" w:hAnsi="Arial"/>
                <w:sz w:val="3"/>
                <w:szCs w:val="3"/>
                <w:color w:val="FFFFFF"/>
              </w:rPr>
              <w:t>shareholder meetings have attend</w:t>
            </w:r>
          </w:p>
        </w:tc>
        <w:tc>
          <w:tcPr>
            <w:tcW w:w="5740" w:type="dxa"/>
            <w:vAlign w:val="bottom"/>
          </w:tcPr>
          <w:p>
            <w:pPr>
              <w:ind w:left="140"/>
              <w:spacing w:after="0"/>
              <w:rPr>
                <w:sz w:val="20"/>
                <w:szCs w:val="20"/>
                <w:color w:val="auto"/>
              </w:rPr>
            </w:pPr>
            <w:r>
              <w:rPr>
                <w:rFonts w:ascii="Arial" w:cs="Arial" w:eastAsia="Arial" w:hAnsi="Arial"/>
                <w:sz w:val="3"/>
                <w:szCs w:val="3"/>
                <w:color w:val="FFFFFF"/>
              </w:rPr>
              <w:t>requirements including, but not limited to, the possession of an attendance ticket issued by the entity</w:t>
            </w:r>
          </w:p>
        </w:tc>
        <w:tc>
          <w:tcPr>
            <w:tcW w:w="0" w:type="dxa"/>
            <w:vAlign w:val="bottom"/>
          </w:tcPr>
          <w:p>
            <w:pPr>
              <w:spacing w:after="0"/>
              <w:rPr>
                <w:sz w:val="1"/>
                <w:szCs w:val="1"/>
                <w:color w:val="auto"/>
              </w:rPr>
            </w:pPr>
          </w:p>
        </w:tc>
      </w:tr>
      <w:tr>
        <w:trPr>
          <w:trHeight w:val="0"/>
        </w:trPr>
        <w:tc>
          <w:tcPr>
            <w:tcW w:w="4720" w:type="dxa"/>
            <w:vAlign w:val="bottom"/>
            <w:gridSpan w:val="5"/>
          </w:tcPr>
          <w:p>
            <w:pPr>
              <w:spacing w:after="0" w:line="80" w:lineRule="exact"/>
              <w:rPr>
                <w:sz w:val="20"/>
                <w:szCs w:val="20"/>
                <w:color w:val="auto"/>
              </w:rPr>
            </w:pPr>
            <w:r>
              <w:rPr>
                <w:rFonts w:ascii="Arial" w:cs="Arial" w:eastAsia="Arial" w:hAnsi="Arial"/>
                <w:sz w:val="9"/>
                <w:szCs w:val="9"/>
                <w:color w:val="FFFFFF"/>
              </w:rPr>
              <w:t>holding the meeting. Please check the meeting materials forMany special requirements</w:t>
            </w:r>
          </w:p>
        </w:tc>
        <w:tc>
          <w:tcPr>
            <w:tcW w:w="646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meeting attendance.</w:t>
            </w:r>
          </w:p>
        </w:tc>
        <w:tc>
          <w:tcPr>
            <w:tcW w:w="0" w:type="dxa"/>
            <w:vAlign w:val="bottom"/>
          </w:tcPr>
          <w:p>
            <w:pPr>
              <w:spacing w:after="0" w:line="20" w:lineRule="exact"/>
              <w:rPr>
                <w:sz w:val="1"/>
                <w:szCs w:val="1"/>
                <w:color w:val="auto"/>
              </w:rPr>
            </w:pPr>
          </w:p>
        </w:tc>
      </w:tr>
    </w:tbl>
    <w:p>
      <w:pPr>
        <w:spacing w:after="0" w:line="25" w:lineRule="auto"/>
        <w:tabs>
          <w:tab w:leader="none" w:pos="4340" w:val="left"/>
        </w:tabs>
        <w:rPr>
          <w:sz w:val="20"/>
          <w:szCs w:val="20"/>
          <w:color w:val="auto"/>
        </w:rPr>
      </w:pPr>
      <w:r>
        <w:rPr>
          <w:rFonts w:ascii="Arial" w:cs="Arial" w:eastAsia="Arial" w:hAnsi="Arial"/>
          <w:sz w:val="1"/>
          <w:szCs w:val="1"/>
          <w:color w:val="FFFFFF"/>
          <w:vertAlign w:val="superscript"/>
        </w:rPr>
        <w:t>Vote By</w:t>
      </w:r>
      <w:r>
        <w:rPr>
          <w:sz w:val="20"/>
          <w:szCs w:val="20"/>
          <w:color w:val="auto"/>
        </w:rPr>
        <w:tab/>
      </w:r>
      <w:r>
        <w:rPr>
          <w:rFonts w:ascii="Arial" w:cs="Arial" w:eastAsia="Arial" w:hAnsi="Arial"/>
          <w:sz w:val="1"/>
          <w:szCs w:val="1"/>
          <w:color w:val="FFFFFF"/>
        </w:rPr>
        <w:t>information</w:t>
      </w:r>
    </w:p>
    <w:p>
      <w:pPr>
        <w:ind w:left="480"/>
        <w:spacing w:after="0"/>
        <w:rPr>
          <w:sz w:val="20"/>
          <w:szCs w:val="20"/>
          <w:color w:val="auto"/>
        </w:rPr>
      </w:pPr>
      <w:r>
        <w:rPr>
          <w:rFonts w:ascii="Arial" w:cs="Arial" w:eastAsia="Arial" w:hAnsi="Arial"/>
          <w:sz w:val="3"/>
          <w:szCs w:val="3"/>
          <w:color w:val="FFFFFF"/>
        </w:rPr>
        <w:t>Mail:Internet:YouTocanvotevotenowbybymailInternet,byrequestinggotowww.proxyvote.com.apapercopyofthe materials,Havethe which will includethatisprintedavotingininstructiontheboxmarkedform. by the arrow xxxx xxxx xxxx xxxx available and follow the instructions.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0000221416_2 R1.0.0.51160</w:t>
      </w:r>
    </w:p>
    <w:p>
      <w:pPr>
        <w:sectPr>
          <w:pgSz w:w="11900" w:h="16838" w:orient="portrait"/>
          <w:cols w:equalWidth="0" w:num="1">
            <w:col w:w="11180"/>
          </w:cols>
          <w:pgMar w:left="240" w:top="1440" w:right="47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73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The Board of Directors recommends that you vote FOR the following:</w:t>
      </w:r>
    </w:p>
    <w:p>
      <w:pPr>
        <w:spacing w:after="0"/>
        <w:rPr>
          <w:sz w:val="20"/>
          <w:szCs w:val="20"/>
          <w:color w:val="auto"/>
        </w:rPr>
      </w:pPr>
      <w:r>
        <w:rPr>
          <w:rFonts w:ascii="Arial" w:cs="Arial" w:eastAsia="Arial" w:hAnsi="Arial"/>
          <w:sz w:val="3"/>
          <w:szCs w:val="3"/>
          <w:color w:val="FFFFFF"/>
        </w:rPr>
        <w:t>Nominees1.Election of Directors</w:t>
      </w:r>
    </w:p>
    <w:p>
      <w:pPr>
        <w:spacing w:after="0" w:line="194" w:lineRule="auto"/>
        <w:rPr>
          <w:sz w:val="20"/>
          <w:szCs w:val="20"/>
          <w:color w:val="auto"/>
        </w:rPr>
      </w:pPr>
      <w:r>
        <w:rPr>
          <w:rFonts w:ascii="Arial" w:cs="Arial" w:eastAsia="Arial" w:hAnsi="Arial"/>
          <w:sz w:val="5"/>
          <w:szCs w:val="5"/>
          <w:color w:val="FFFFFF"/>
        </w:rPr>
        <w:t>01 Marshall Brozost 02 Samuel L. Katz</w:t>
      </w:r>
    </w:p>
    <w:p>
      <w:pPr>
        <w:spacing w:after="0" w:line="211" w:lineRule="auto"/>
        <w:rPr>
          <w:sz w:val="20"/>
          <w:szCs w:val="20"/>
          <w:color w:val="auto"/>
        </w:rPr>
      </w:pPr>
      <w:r>
        <w:rPr>
          <w:rFonts w:ascii="Arial" w:cs="Arial" w:eastAsia="Arial" w:hAnsi="Arial"/>
          <w:sz w:val="4"/>
          <w:szCs w:val="4"/>
          <w:color w:val="FFFFFF"/>
          <w:vertAlign w:val="subscript"/>
        </w:rPr>
        <w:t>The</w:t>
      </w:r>
      <w:r>
        <w:rPr>
          <w:rFonts w:ascii="Arial" w:cs="Arial" w:eastAsia="Arial" w:hAnsi="Arial"/>
          <w:sz w:val="2"/>
          <w:szCs w:val="2"/>
          <w:color w:val="FFFFFF"/>
        </w:rPr>
        <w:t xml:space="preserve"> Board of Directors recommends you vote FOR the following </w:t>
      </w:r>
      <w:r>
        <w:rPr>
          <w:rFonts w:ascii="Arial" w:cs="Arial" w:eastAsia="Arial" w:hAnsi="Arial"/>
          <w:sz w:val="4"/>
          <w:szCs w:val="4"/>
          <w:color w:val="FFFFFF"/>
          <w:vertAlign w:val="subscript"/>
        </w:rPr>
        <w:t>proposal(s):</w:t>
      </w:r>
    </w:p>
    <w:p>
      <w:pPr>
        <w:ind w:left="680" w:right="1359" w:hanging="674"/>
        <w:spacing w:after="0" w:line="232" w:lineRule="auto"/>
        <w:rPr>
          <w:sz w:val="20"/>
          <w:szCs w:val="20"/>
          <w:color w:val="auto"/>
        </w:rPr>
      </w:pPr>
      <w:r>
        <w:rPr>
          <w:rFonts w:ascii="Arial" w:cs="Arial" w:eastAsia="Arial" w:hAnsi="Arial"/>
          <w:sz w:val="18"/>
          <w:szCs w:val="18"/>
          <w:color w:val="FFFFFF"/>
          <w:vertAlign w:val="subscript"/>
        </w:rPr>
        <w:t>0000221416</w:t>
      </w:r>
      <w:r>
        <w:rPr>
          <w:rFonts w:ascii="Arial" w:cs="Arial" w:eastAsia="Arial" w:hAnsi="Arial"/>
          <w:sz w:val="10"/>
          <w:szCs w:val="10"/>
          <w:color w:val="FFFFFF"/>
        </w:rPr>
        <w:t>oratifythe selection of McGladrey LLP to serve as the Company’ independent registered public accounting firm for the fiscal year ending September 30, 2015. _3 R1.0.0.51160</w:t>
      </w:r>
    </w:p>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73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7"/>
          <w:szCs w:val="7"/>
          <w:color w:val="FFFFFF"/>
        </w:rPr>
        <w:t>0000221416VotingInstructions_4R1.0.0.51160</w:t>
      </w:r>
    </w:p>
    <w:p>
      <w:pPr>
        <w:sectPr>
          <w:pgSz w:w="11900" w:h="16838" w:orient="portrait"/>
          <w:cols w:equalWidth="0" w:num="1">
            <w:col w:w="10219"/>
          </w:cols>
          <w:pgMar w:left="2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FFFFFF"/>
                <w:w w:val="86"/>
              </w:rPr>
              <w:t>PennantPark</w:t>
            </w:r>
          </w:p>
        </w:tc>
        <w:tc>
          <w:tcPr>
            <w:tcW w:w="33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Floating Rate Capital Ltd.</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590 MADISON AVENUE 15TH FLOOR</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NEW YORK, NY 10022</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VOTE BY INTERNET - www.proxyvote.com</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Use the Internet to transmit your voting instructions and for electronic delivery of information up until 11:59 P.M. Eastern Time the day before the cut-off date or meeting date. Have your proxy card in hand</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when you access the web site 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ELECTRONIC DELIVERY OF FUTURE PROXY MATERIALS</w:t>
            </w:r>
          </w:p>
        </w:tc>
        <w:tc>
          <w:tcPr>
            <w:tcW w:w="726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xy materials, you can consent to receiving all future proxy statements, proxy cards and annual reports el ctronically via  -mail or the</w:t>
            </w:r>
          </w:p>
        </w:tc>
        <w:tc>
          <w:tcPr>
            <w:tcW w:w="0" w:type="dxa"/>
            <w:vAlign w:val="bottom"/>
          </w:tcPr>
          <w:p>
            <w:pPr>
              <w:spacing w:after="0"/>
              <w:rPr>
                <w:sz w:val="1"/>
                <w:szCs w:val="1"/>
                <w:color w:val="auto"/>
              </w:rPr>
            </w:pPr>
          </w:p>
        </w:tc>
      </w:tr>
      <w:tr>
        <w:trPr>
          <w:trHeight w:val="41"/>
        </w:trPr>
        <w:tc>
          <w:tcPr>
            <w:tcW w:w="720" w:type="dxa"/>
            <w:vAlign w:val="bottom"/>
          </w:tcPr>
          <w:p>
            <w:pPr>
              <w:ind w:left="60"/>
              <w:spacing w:after="0"/>
              <w:rPr>
                <w:sz w:val="20"/>
                <w:szCs w:val="20"/>
                <w:color w:val="auto"/>
              </w:rPr>
            </w:pPr>
            <w:r>
              <w:rPr>
                <w:rFonts w:ascii="Arial" w:cs="Arial" w:eastAsia="Arial" w:hAnsi="Arial"/>
                <w:sz w:val="3"/>
                <w:szCs w:val="3"/>
                <w:color w:val="FFFFFF"/>
              </w:rPr>
              <w:t>f you</w:t>
            </w:r>
          </w:p>
        </w:tc>
        <w:tc>
          <w:tcPr>
            <w:tcW w:w="3380" w:type="dxa"/>
            <w:vAlign w:val="bottom"/>
          </w:tcPr>
          <w:p>
            <w:pPr>
              <w:ind w:left="20"/>
              <w:spacing w:after="0"/>
              <w:rPr>
                <w:sz w:val="20"/>
                <w:szCs w:val="20"/>
                <w:color w:val="auto"/>
              </w:rPr>
            </w:pPr>
            <w:r>
              <w:rPr>
                <w:rFonts w:ascii="Arial" w:cs="Arial" w:eastAsia="Arial" w:hAnsi="Arial"/>
                <w:sz w:val="3"/>
                <w:szCs w:val="3"/>
                <w:color w:val="FFFFFF"/>
              </w:rPr>
              <w:t>like to reduce the costs incurred by our company   maili g pr</w:t>
            </w:r>
          </w:p>
        </w:tc>
        <w:tc>
          <w:tcPr>
            <w:tcW w:w="7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Internetwould.Tsign up for electronic delivery, please follow the instructions above to vote using the Internet and, when prompted, indicate that you agree to receive or access proxy materials electronically in future</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years.</w:t>
            </w:r>
          </w:p>
        </w:tc>
        <w:tc>
          <w:tcPr>
            <w:tcW w:w="3380" w:type="dxa"/>
            <w:vAlign w:val="bottom"/>
          </w:tcPr>
          <w:p>
            <w:pPr>
              <w:spacing w:after="0"/>
              <w:rPr>
                <w:sz w:val="3"/>
                <w:szCs w:val="3"/>
                <w:color w:val="auto"/>
              </w:rPr>
            </w:pP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VOTE BY PHONE - 1-800-690-6903</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Use any touch-tone telephone to transmit your voting instructions up until 11:59 P.M. Eastern Time the day before the cut-off date or meeting date. Have your proxy card in hand when you call and then follow</w:t>
            </w: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the instructions.</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VOTE BY MAIL</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Mark, sign and date your proxy card and return it in the postage-paid envelope we have provided or return it to Vote Processing, c/o Broadridge, 51 Mercedes Way, Edgewood, NY 11717.</w:t>
            </w:r>
          </w:p>
        </w:tc>
        <w:tc>
          <w:tcPr>
            <w:tcW w:w="0" w:type="dxa"/>
            <w:vAlign w:val="bottom"/>
          </w:tcPr>
          <w:p>
            <w:pPr>
              <w:spacing w:after="0"/>
              <w:rPr>
                <w:sz w:val="1"/>
                <w:szCs w:val="1"/>
                <w:color w:val="auto"/>
              </w:rPr>
            </w:pPr>
          </w:p>
        </w:tc>
      </w:tr>
      <w:tr>
        <w:trPr>
          <w:trHeight w:val="41"/>
        </w:trPr>
        <w:tc>
          <w:tcPr>
            <w:tcW w:w="11360" w:type="dxa"/>
            <w:vAlign w:val="bottom"/>
            <w:gridSpan w:val="3"/>
          </w:tcPr>
          <w:p>
            <w:pPr>
              <w:ind w:left="80"/>
              <w:spacing w:after="0"/>
              <w:rPr>
                <w:sz w:val="20"/>
                <w:szCs w:val="20"/>
                <w:color w:val="auto"/>
              </w:rPr>
            </w:pPr>
            <w:r>
              <w:rPr>
                <w:rFonts w:ascii="Arial" w:cs="Arial" w:eastAsia="Arial" w:hAnsi="Arial"/>
                <w:sz w:val="3"/>
                <w:szCs w:val="3"/>
                <w:color w:val="FFFFFF"/>
              </w:rPr>
              <w:t>O VOTE, MARK BLOCKS BELOW IN BLUE OR BLACK INK AS FOLLOWS:</w:t>
            </w: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THIS PROXY CARD IS VALID ONLY WHEN SIGNED AND DATED.</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KEEP THIS PORTION FOR YOUR RECORDS DETACH AND RETURN THIS PORTION ONLY</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For All Withhold All For All Except T  withhold authority to vote for any individual nominee(s), mark “For All Except” and write the number(s) of the nominee(s) on the line below.</w:t>
            </w: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The Board of Directors recommends you vote FOR the following:</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1. Election of Directors</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Nominees</w:t>
            </w:r>
          </w:p>
        </w:tc>
        <w:tc>
          <w:tcPr>
            <w:tcW w:w="3380" w:type="dxa"/>
            <w:vAlign w:val="bottom"/>
          </w:tcPr>
          <w:p>
            <w:pPr>
              <w:spacing w:after="0"/>
              <w:rPr>
                <w:sz w:val="3"/>
                <w:szCs w:val="3"/>
                <w:color w:val="auto"/>
              </w:rPr>
            </w:pP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01 Marshall Brozost 02 Samuel L. Katz</w:t>
            </w:r>
          </w:p>
        </w:tc>
        <w:tc>
          <w:tcPr>
            <w:tcW w:w="726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For Against Abstain</w:t>
            </w:r>
          </w:p>
        </w:tc>
        <w:tc>
          <w:tcPr>
            <w:tcW w:w="0" w:type="dxa"/>
            <w:vAlign w:val="bottom"/>
          </w:tcPr>
          <w:p>
            <w:pPr>
              <w:spacing w:after="0"/>
              <w:rPr>
                <w:sz w:val="1"/>
                <w:szCs w:val="1"/>
                <w:color w:val="auto"/>
              </w:rPr>
            </w:pPr>
          </w:p>
        </w:tc>
      </w:tr>
      <w:tr>
        <w:trPr>
          <w:trHeight w:val="41"/>
        </w:trPr>
        <w:tc>
          <w:tcPr>
            <w:tcW w:w="4100" w:type="dxa"/>
            <w:vAlign w:val="bottom"/>
            <w:gridSpan w:val="2"/>
          </w:tcPr>
          <w:p>
            <w:pPr>
              <w:ind w:left="260"/>
              <w:spacing w:after="0"/>
              <w:rPr>
                <w:sz w:val="20"/>
                <w:szCs w:val="20"/>
                <w:color w:val="auto"/>
              </w:rPr>
            </w:pPr>
            <w:r>
              <w:rPr>
                <w:rFonts w:ascii="Arial" w:cs="Arial" w:eastAsia="Arial" w:hAnsi="Arial"/>
                <w:sz w:val="3"/>
                <w:szCs w:val="3"/>
                <w:color w:val="FFFFFF"/>
              </w:rPr>
              <w:t>Board of Directors recommends you vote FOR the following</w:t>
            </w:r>
          </w:p>
        </w:tc>
        <w:tc>
          <w:tcPr>
            <w:tcW w:w="7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The2o ratify the selection of McGladrey LLP to serve as the Company’proposal:independent registered public accounting firm for the</w:t>
            </w: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fiscal year ending September 30, 2015.</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For address change/comments, mark here.</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2"/>
          </w:tcPr>
          <w:p>
            <w:pPr>
              <w:spacing w:after="0"/>
              <w:rPr>
                <w:sz w:val="20"/>
                <w:szCs w:val="20"/>
                <w:color w:val="auto"/>
              </w:rPr>
            </w:pPr>
            <w:r>
              <w:rPr>
                <w:rFonts w:ascii="Arial" w:cs="Arial" w:eastAsia="Arial" w:hAnsi="Arial"/>
                <w:sz w:val="3"/>
                <w:szCs w:val="3"/>
                <w:color w:val="FFFFFF"/>
              </w:rPr>
              <w:t>(see reverse for instructions) Yes No</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100" w:type="dxa"/>
            <w:vAlign w:val="bottom"/>
            <w:gridSpan w:val="2"/>
          </w:tcPr>
          <w:p>
            <w:pPr>
              <w:ind w:left="380"/>
              <w:spacing w:after="0"/>
              <w:rPr>
                <w:sz w:val="20"/>
                <w:szCs w:val="20"/>
                <w:color w:val="auto"/>
              </w:rPr>
            </w:pPr>
            <w:r>
              <w:rPr>
                <w:rFonts w:ascii="Arial" w:cs="Arial" w:eastAsia="Arial" w:hAnsi="Arial"/>
                <w:sz w:val="3"/>
                <w:szCs w:val="3"/>
                <w:color w:val="FFFFFF"/>
              </w:rPr>
              <w:t>indicate if you plan to attend this meeting</w:t>
            </w:r>
          </w:p>
        </w:tc>
        <w:tc>
          <w:tcPr>
            <w:tcW w:w="7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720" w:type="dxa"/>
            <w:vAlign w:val="bottom"/>
          </w:tcPr>
          <w:p>
            <w:pPr>
              <w:spacing w:after="0" w:line="80" w:lineRule="exact"/>
              <w:rPr>
                <w:sz w:val="20"/>
                <w:szCs w:val="20"/>
                <w:color w:val="auto"/>
              </w:rPr>
            </w:pPr>
            <w:r>
              <w:rPr>
                <w:rFonts w:ascii="Arial" w:cs="Arial" w:eastAsia="Arial" w:hAnsi="Arial"/>
                <w:sz w:val="9"/>
                <w:szCs w:val="9"/>
                <w:color w:val="FFFFFF"/>
              </w:rPr>
              <w:t>Please sign</w:t>
            </w:r>
          </w:p>
        </w:tc>
        <w:tc>
          <w:tcPr>
            <w:tcW w:w="10640" w:type="dxa"/>
            <w:vAlign w:val="bottom"/>
            <w:gridSpan w:val="2"/>
          </w:tcPr>
          <w:p>
            <w:pPr>
              <w:ind w:left="340"/>
              <w:spacing w:after="0" w:line="80" w:lineRule="exact"/>
              <w:rPr>
                <w:sz w:val="20"/>
                <w:szCs w:val="20"/>
                <w:color w:val="auto"/>
              </w:rPr>
            </w:pPr>
            <w:r>
              <w:rPr>
                <w:rFonts w:ascii="Arial" w:cs="Arial" w:eastAsia="Arial" w:hAnsi="Arial"/>
                <w:sz w:val="9"/>
                <w:szCs w:val="9"/>
                <w:color w:val="FFFFFF"/>
              </w:rPr>
              <w:t>as your name(s) appear(s) h reon. When signing as attorney, executor, administrator, or other fiduciary, please give full title as such. Joint owners should each sign personally. All holders</w:t>
            </w:r>
          </w:p>
        </w:tc>
        <w:tc>
          <w:tcPr>
            <w:tcW w:w="0" w:type="dxa"/>
            <w:vAlign w:val="bottom"/>
          </w:tcPr>
          <w:p>
            <w:pPr>
              <w:spacing w:after="0" w:line="20" w:lineRule="exact"/>
              <w:rPr>
                <w:sz w:val="1"/>
                <w:szCs w:val="1"/>
                <w:color w:val="auto"/>
              </w:rPr>
            </w:pPr>
          </w:p>
        </w:tc>
      </w:tr>
    </w:tbl>
    <w:p>
      <w:pPr>
        <w:ind w:left="640"/>
        <w:spacing w:after="0"/>
        <w:tabs>
          <w:tab w:leader="none" w:pos="2280" w:val="left"/>
        </w:tabs>
        <w:rPr>
          <w:sz w:val="20"/>
          <w:szCs w:val="20"/>
          <w:color w:val="auto"/>
        </w:rPr>
      </w:pPr>
      <w:r>
        <w:rPr>
          <w:rFonts w:ascii="Arial" w:cs="Arial" w:eastAsia="Arial" w:hAnsi="Arial"/>
          <w:sz w:val="3"/>
          <w:szCs w:val="3"/>
          <w:color w:val="FFFFFF"/>
        </w:rPr>
        <w:t>exactly</w:t>
      </w:r>
      <w:r>
        <w:rPr>
          <w:sz w:val="20"/>
          <w:szCs w:val="20"/>
          <w:color w:val="auto"/>
        </w:rPr>
        <w:tab/>
      </w:r>
      <w:r>
        <w:rPr>
          <w:rFonts w:ascii="Arial" w:cs="Arial" w:eastAsia="Arial" w:hAnsi="Arial"/>
          <w:sz w:val="3"/>
          <w:szCs w:val="3"/>
          <w:color w:val="FFFFFF"/>
        </w:rPr>
        <w:t>please</w:t>
      </w:r>
    </w:p>
    <w:p>
      <w:pPr>
        <w:ind w:left="2380"/>
        <w:spacing w:after="0" w:line="186" w:lineRule="auto"/>
        <w:rPr>
          <w:sz w:val="20"/>
          <w:szCs w:val="20"/>
          <w:color w:val="auto"/>
        </w:rPr>
      </w:pPr>
      <w:r>
        <w:rPr>
          <w:rFonts w:ascii="Arial" w:cs="Arial" w:eastAsia="Arial" w:hAnsi="Arial"/>
          <w:sz w:val="4"/>
          <w:szCs w:val="4"/>
          <w:color w:val="FFFFFF"/>
          <w:vertAlign w:val="superscript"/>
        </w:rPr>
        <w:t>Date</w:t>
      </w:r>
    </w:p>
    <w:p>
      <w:pPr>
        <w:spacing w:after="0"/>
        <w:tabs>
          <w:tab w:leader="none" w:pos="2640" w:val="left"/>
        </w:tabs>
        <w:rPr>
          <w:sz w:val="20"/>
          <w:szCs w:val="20"/>
          <w:color w:val="auto"/>
        </w:rPr>
      </w:pPr>
      <w:r>
        <w:rPr>
          <w:rFonts w:ascii="Arial" w:cs="Arial" w:eastAsia="Arial" w:hAnsi="Arial"/>
          <w:sz w:val="27"/>
          <w:szCs w:val="27"/>
          <w:color w:val="FFFFFF"/>
          <w:vertAlign w:val="subscript"/>
        </w:rPr>
        <w:t>Signature</w:t>
      </w:r>
      <w:r>
        <w:rPr>
          <w:rFonts w:ascii="Arial" w:cs="Arial" w:eastAsia="Arial" w:hAnsi="Arial"/>
          <w:sz w:val="14"/>
          <w:szCs w:val="14"/>
          <w:color w:val="FFFFFF"/>
        </w:rPr>
        <w:t>mustsign.[PLEASEIfcorporationSIGN orWITHINpartnership,BOX]</w:t>
      </w:r>
      <w:r>
        <w:rPr>
          <w:sz w:val="20"/>
          <w:szCs w:val="20"/>
          <w:color w:val="auto"/>
        </w:rPr>
        <w:tab/>
      </w:r>
      <w:r>
        <w:rPr>
          <w:rFonts w:ascii="Arial" w:cs="Arial" w:eastAsia="Arial" w:hAnsi="Arial"/>
          <w:sz w:val="12"/>
          <w:szCs w:val="12"/>
          <w:color w:val="FFFFFF"/>
        </w:rPr>
        <w:t>sign in full corporate or partnership name by authorized officer.</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4"/>
          <w:szCs w:val="14"/>
          <w:color w:val="FFFFFF"/>
        </w:rPr>
        <w:t>(Joint Owners) Date</w:t>
      </w:r>
    </w:p>
    <w:p>
      <w:pPr>
        <w:spacing w:after="0"/>
        <w:rPr>
          <w:sz w:val="20"/>
          <w:szCs w:val="20"/>
          <w:color w:val="auto"/>
        </w:rPr>
      </w:pPr>
      <w:r>
        <w:rPr>
          <w:rFonts w:ascii="Arial" w:cs="Arial" w:eastAsia="Arial" w:hAnsi="Arial"/>
          <w:sz w:val="14"/>
          <w:szCs w:val="14"/>
          <w:color w:val="FFFFFF"/>
        </w:rPr>
        <w:t>0000222049_1 R1.0.0.51160</w:t>
      </w:r>
    </w:p>
    <w:p>
      <w:pPr>
        <w:sectPr>
          <w:pgSz w:w="11900" w:h="16838" w:orient="portrait"/>
          <w:cols w:equalWidth="0" w:num="1">
            <w:col w:w="11360"/>
          </w:cols>
          <w:pgMar w:left="240" w:top="1440" w:right="29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3"/>
          </w:tcPr>
          <w:p>
            <w:pPr>
              <w:spacing w:after="0"/>
              <w:rPr>
                <w:sz w:val="20"/>
                <w:szCs w:val="20"/>
                <w:color w:val="auto"/>
              </w:rPr>
            </w:pPr>
            <w:r>
              <w:rPr>
                <w:rFonts w:ascii="Arial" w:cs="Arial" w:eastAsia="Arial" w:hAnsi="Arial"/>
                <w:sz w:val="14"/>
                <w:szCs w:val="14"/>
                <w:color w:val="FFFFFF"/>
              </w:rPr>
              <w:t>Important Notice Regarding the  vailability of Proxy Materials for the Annual Meeting: The Notice &amp; Proxy Statement, Form 10-K is/are available at www.proxyvote.com.</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PENNANTPARK FLOATING RATE CAPITAL LTD. Annual Meeting of Stockholders February 3, 2015 9:30 AM</w:t>
            </w:r>
          </w:p>
        </w:tc>
        <w:tc>
          <w:tcPr>
            <w:tcW w:w="0" w:type="dxa"/>
            <w:vAlign w:val="bottom"/>
          </w:tcPr>
          <w:p>
            <w:pPr>
              <w:spacing w:after="0"/>
              <w:rPr>
                <w:sz w:val="1"/>
                <w:szCs w:val="1"/>
                <w:color w:val="auto"/>
              </w:rPr>
            </w:pPr>
          </w:p>
        </w:tc>
      </w:tr>
      <w:tr>
        <w:trPr>
          <w:trHeight w:val="41"/>
        </w:trPr>
        <w:tc>
          <w:tcPr>
            <w:tcW w:w="120" w:type="dxa"/>
            <w:vAlign w:val="bottom"/>
            <w:vMerge w:val="restart"/>
          </w:tcPr>
          <w:p>
            <w:pPr>
              <w:spacing w:after="0" w:line="81" w:lineRule="exact"/>
              <w:rPr>
                <w:sz w:val="20"/>
                <w:szCs w:val="20"/>
                <w:color w:val="auto"/>
              </w:rPr>
            </w:pPr>
            <w:r>
              <w:rPr>
                <w:rFonts w:ascii="Arial" w:cs="Arial" w:eastAsia="Arial" w:hAnsi="Arial"/>
                <w:sz w:val="9"/>
                <w:szCs w:val="9"/>
                <w:color w:val="FFFFFF"/>
              </w:rPr>
              <w:t>T</w:t>
            </w:r>
          </w:p>
        </w:tc>
        <w:tc>
          <w:tcPr>
            <w:tcW w:w="3120" w:type="dxa"/>
            <w:vAlign w:val="bottom"/>
          </w:tcPr>
          <w:p>
            <w:pPr>
              <w:ind w:left="40"/>
              <w:spacing w:after="0"/>
              <w:rPr>
                <w:sz w:val="20"/>
                <w:szCs w:val="20"/>
                <w:color w:val="auto"/>
              </w:rPr>
            </w:pPr>
            <w:r>
              <w:rPr>
                <w:rFonts w:ascii="Arial" w:cs="Arial" w:eastAsia="Arial" w:hAnsi="Arial"/>
                <w:sz w:val="3"/>
                <w:szCs w:val="3"/>
                <w:color w:val="FFFFFF"/>
              </w:rPr>
              <w:t>is proxy is solicited by the Board of Directors</w:t>
            </w:r>
          </w:p>
        </w:tc>
        <w:tc>
          <w:tcPr>
            <w:tcW w:w="8160" w:type="dxa"/>
            <w:vAlign w:val="bottom"/>
            <w:vMerge w:val="restart"/>
          </w:tcPr>
          <w:p>
            <w:pPr>
              <w:ind w:left="420"/>
              <w:spacing w:after="0" w:line="81" w:lineRule="exact"/>
              <w:rPr>
                <w:sz w:val="20"/>
                <w:szCs w:val="20"/>
                <w:color w:val="auto"/>
              </w:rPr>
            </w:pPr>
            <w:r>
              <w:rPr>
                <w:rFonts w:ascii="Arial" w:cs="Arial" w:eastAsia="Arial" w:hAnsi="Arial"/>
                <w:sz w:val="9"/>
                <w:szCs w:val="9"/>
                <w:color w:val="FFFFFF"/>
              </w:rPr>
              <w:t>substitute o act as attorney and proxy for the undersigned to vote all of the shares of Common Stock of PennantPark Floating Rate Capital Ltd.</w:t>
            </w:r>
          </w:p>
        </w:tc>
        <w:tc>
          <w:tcPr>
            <w:tcW w:w="0" w:type="dxa"/>
            <w:vAlign w:val="bottom"/>
          </w:tcPr>
          <w:p>
            <w:pPr>
              <w:spacing w:after="0"/>
              <w:rPr>
                <w:sz w:val="1"/>
                <w:szCs w:val="1"/>
                <w:color w:val="auto"/>
              </w:rPr>
            </w:pPr>
          </w:p>
        </w:tc>
      </w:tr>
      <w:tr>
        <w:trPr>
          <w:trHeight w:val="41"/>
        </w:trPr>
        <w:tc>
          <w:tcPr>
            <w:tcW w:w="120" w:type="dxa"/>
            <w:vAlign w:val="bottom"/>
            <w:vMerge w:val="continue"/>
          </w:tcPr>
          <w:p>
            <w:pPr>
              <w:spacing w:after="0"/>
              <w:rPr>
                <w:sz w:val="3"/>
                <w:szCs w:val="3"/>
                <w:color w:val="auto"/>
              </w:rPr>
            </w:pPr>
          </w:p>
        </w:tc>
        <w:tc>
          <w:tcPr>
            <w:tcW w:w="3120" w:type="dxa"/>
            <w:vAlign w:val="bottom"/>
          </w:tcPr>
          <w:p>
            <w:pPr>
              <w:ind w:left="140"/>
              <w:spacing w:after="0"/>
              <w:rPr>
                <w:sz w:val="20"/>
                <w:szCs w:val="20"/>
                <w:color w:val="auto"/>
              </w:rPr>
            </w:pPr>
            <w:r>
              <w:rPr>
                <w:rFonts w:ascii="Arial" w:cs="Arial" w:eastAsia="Arial" w:hAnsi="Arial"/>
                <w:sz w:val="3"/>
                <w:szCs w:val="3"/>
                <w:color w:val="FFFFFF"/>
              </w:rPr>
              <w:t>undersigned hereby appoints Arthur H. Penn or his d</w:t>
            </w:r>
          </w:p>
        </w:tc>
        <w:tc>
          <w:tcPr>
            <w:tcW w:w="8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240" w:type="dxa"/>
            <w:vAlign w:val="bottom"/>
            <w:gridSpan w:val="2"/>
          </w:tcPr>
          <w:p>
            <w:pPr>
              <w:spacing w:after="0" w:line="121" w:lineRule="exact"/>
              <w:rPr>
                <w:sz w:val="20"/>
                <w:szCs w:val="20"/>
                <w:color w:val="auto"/>
              </w:rPr>
            </w:pPr>
            <w:r>
              <w:rPr>
                <w:rFonts w:ascii="Arial" w:cs="Arial" w:eastAsia="Arial" w:hAnsi="Arial"/>
                <w:sz w:val="12"/>
                <w:szCs w:val="12"/>
                <w:color w:val="FFFFFF"/>
              </w:rPr>
              <w:t>(the “Company”) which the undersigned is entitled to vote</w:t>
            </w:r>
          </w:p>
        </w:tc>
        <w:tc>
          <w:tcPr>
            <w:tcW w:w="8160" w:type="dxa"/>
            <w:vAlign w:val="bottom"/>
          </w:tcPr>
          <w:p>
            <w:pPr>
              <w:ind w:left="100"/>
              <w:spacing w:after="0" w:line="121" w:lineRule="exact"/>
              <w:rPr>
                <w:sz w:val="20"/>
                <w:szCs w:val="20"/>
                <w:color w:val="auto"/>
              </w:rPr>
            </w:pPr>
            <w:r>
              <w:rPr>
                <w:rFonts w:ascii="Arial" w:cs="Arial" w:eastAsia="Arial" w:hAnsi="Arial"/>
                <w:sz w:val="12"/>
                <w:szCs w:val="12"/>
                <w:color w:val="FFFFFF"/>
              </w:rPr>
              <w:t>the Annual Meeting of Stockholders of the Company to be held at the offices of Dechert LLP, located at 1095 Avenue of the Americas, New York,</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New York, on February 3, 2015 at 9:30 a.m., Eastern Time,signatedandall adjournments thereof, as indicated on this proxy.</w:t>
      </w:r>
    </w:p>
    <w:p>
      <w:pPr>
        <w:spacing w:after="0" w:line="184" w:lineRule="auto"/>
        <w:rPr>
          <w:sz w:val="20"/>
          <w:szCs w:val="20"/>
          <w:color w:val="auto"/>
        </w:rPr>
      </w:pPr>
      <w:r>
        <w:rPr>
          <w:rFonts w:ascii="Arial" w:cs="Arial" w:eastAsia="Arial" w:hAnsi="Arial"/>
          <w:sz w:val="10"/>
          <w:szCs w:val="10"/>
          <w:color w:val="FFFFFF"/>
        </w:rPr>
        <w:t>AddressThisproxy,change/comments:whenproperlyexecuted, will be voted in the manner directed herein. If no such direction is made, this proxy will be voted in accordance with the Board of Director recommendations.</w:t>
      </w:r>
    </w:p>
    <w:p>
      <w:pPr>
        <w:spacing w:after="0"/>
        <w:rPr>
          <w:sz w:val="20"/>
          <w:szCs w:val="20"/>
          <w:color w:val="auto"/>
        </w:rPr>
      </w:pPr>
      <w:r>
        <w:rPr>
          <w:rFonts w:ascii="Arial" w:cs="Arial" w:eastAsia="Arial" w:hAnsi="Arial"/>
          <w:sz w:val="3"/>
          <w:szCs w:val="3"/>
          <w:color w:val="FFFFFF"/>
        </w:rPr>
        <w:t>Continued(Ifyounotedandanyto beAddresssignedChangesonreverseand/orsideComments above, please mark corresponding box on the reverse side.)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0000222049_2 R1.0.0.51160</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2)"/>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212"/>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2"/>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lowerRoman"/>
      <w:start w:val="2"/>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2019-12-07T15:20:19Z</dcterms:created>
  <dcterms:modified xsi:type="dcterms:W3CDTF">2019-12-07T15:20:19Z</dcterms:modified>
</cp:coreProperties>
</file>