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99"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_________________</w:t>
      </w:r>
    </w:p>
    <w:p>
      <w:pPr>
        <w:spacing w:after="0" w:line="200"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6, 2023</w:t>
      </w:r>
    </w:p>
    <w:p>
      <w:pPr>
        <w:spacing w:after="0" w:line="22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4"/>
          <w:szCs w:val="24"/>
          <w:color w:val="auto"/>
        </w:rPr>
      </w:pPr>
    </w:p>
    <w:p>
      <w:pPr>
        <w:ind w:left="3760"/>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ind w:left="3760"/>
        <w:spacing w:after="0"/>
        <w:rPr>
          <w:sz w:val="20"/>
          <w:szCs w:val="20"/>
          <w:color w:val="auto"/>
        </w:rPr>
      </w:pPr>
      <w:r>
        <w:rPr>
          <w:rFonts w:ascii="Arial" w:cs="Arial" w:eastAsia="Arial" w:hAnsi="Arial"/>
          <w:sz w:val="18"/>
          <w:szCs w:val="18"/>
          <w:color w:val="auto"/>
        </w:rPr>
        <w:t>(Exact name of registrant as specified in its charter)</w:t>
      </w:r>
    </w:p>
    <w:p>
      <w:pPr>
        <w:spacing w:after="0" w:line="202"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ectPr>
          <w:pgSz w:w="11900" w:h="16838" w:orient="portrait"/>
          <w:cols w:equalWidth="0" w:num="1">
            <w:col w:w="11240"/>
          </w:cols>
          <w:pgMar w:left="320" w:top="495" w:right="339" w:bottom="1440" w:gutter="0" w:footer="0" w:header="0"/>
        </w:sectPr>
      </w:pPr>
    </w:p>
    <w:p>
      <w:pPr>
        <w:spacing w:after="0" w:line="209"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40" w:space="720"/>
            <w:col w:w="3160"/>
          </w:cols>
          <w:pgMar w:left="320" w:top="495" w:right="339" w:bottom="144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1691 Michigan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(786) 297-9500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4" w:lineRule="exact"/>
        <w:rPr>
          <w:sz w:val="24"/>
          <w:szCs w:val="24"/>
          <w:color w:val="auto"/>
        </w:rPr>
      </w:pPr>
    </w:p>
    <w:p>
      <w:pPr>
        <w:ind w:left="3960"/>
        <w:spacing w:after="0"/>
        <w:rPr>
          <w:sz w:val="20"/>
          <w:szCs w:val="20"/>
          <w:color w:val="auto"/>
        </w:rPr>
      </w:pPr>
      <w:r>
        <w:rPr>
          <w:rFonts w:ascii="Arial" w:cs="Arial" w:eastAsia="Arial" w:hAnsi="Arial"/>
          <w:sz w:val="22"/>
          <w:szCs w:val="22"/>
          <w:color w:val="auto"/>
        </w:rPr>
        <w:t>_______________________________</w:t>
      </w:r>
    </w:p>
    <w:p>
      <w:pPr>
        <w:spacing w:after="0" w:line="213"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0"/>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Trading Symbol(s)</w:t>
            </w:r>
          </w:p>
        </w:tc>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580" w:type="dxa"/>
            <w:vAlign w:val="bottom"/>
          </w:tcPr>
          <w:p>
            <w:pPr>
              <w:jc w:val="center"/>
              <w:ind w:right="90"/>
              <w:spacing w:after="0"/>
              <w:rPr>
                <w:sz w:val="20"/>
                <w:szCs w:val="20"/>
                <w:color w:val="auto"/>
              </w:rPr>
            </w:pPr>
            <w:r>
              <w:rPr>
                <w:rFonts w:ascii="Arial" w:cs="Arial" w:eastAsia="Arial" w:hAnsi="Arial"/>
                <w:sz w:val="18"/>
                <w:szCs w:val="18"/>
                <w:color w:val="auto"/>
                <w:w w:val="89"/>
              </w:rPr>
              <w:t>Common Stock, par value $0.001 per share</w:t>
            </w:r>
          </w:p>
        </w:tc>
        <w:tc>
          <w:tcPr>
            <w:tcW w:w="2360" w:type="dxa"/>
            <w:vAlign w:val="bottom"/>
          </w:tcPr>
          <w:p>
            <w:pPr>
              <w:jc w:val="center"/>
              <w:ind w:right="70"/>
              <w:spacing w:after="0"/>
              <w:rPr>
                <w:sz w:val="20"/>
                <w:szCs w:val="20"/>
                <w:color w:val="auto"/>
              </w:rPr>
            </w:pPr>
            <w:r>
              <w:rPr>
                <w:rFonts w:ascii="Arial" w:cs="Arial" w:eastAsia="Arial" w:hAnsi="Arial"/>
                <w:sz w:val="18"/>
                <w:szCs w:val="18"/>
                <w:color w:val="auto"/>
                <w:w w:val="90"/>
              </w:rPr>
              <w:t>PFLT</w:t>
            </w:r>
          </w:p>
        </w:tc>
        <w:tc>
          <w:tcPr>
            <w:tcW w:w="430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79"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8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On July 6, 2023, PennantPark Floating Rate Capital Ltd. issued a press release announcing its scheduled earnings release for the third fiscal quarter ended June 30, 2023. A copy of the press release is furnished as Exhibit 99.1 to this report, pursuant to Item 7.01 and Regulation FD.</w:t>
      </w:r>
    </w:p>
    <w:p>
      <w:pPr>
        <w:spacing w:after="0" w:line="1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5" w:lineRule="exact"/>
        <w:rPr>
          <w:sz w:val="20"/>
          <w:szCs w:val="20"/>
          <w:color w:val="auto"/>
        </w:rPr>
      </w:pPr>
    </w:p>
    <w:p>
      <w:pPr>
        <w:ind w:right="9300" w:firstLine="8"/>
        <w:spacing w:after="0" w:line="261"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statements: </w:t>
      </w:r>
      <w:r>
        <w:rPr>
          <w:rFonts w:ascii="Arial" w:cs="Arial" w:eastAsia="Arial" w:hAnsi="Arial"/>
          <w:sz w:val="18"/>
          <w:szCs w:val="18"/>
          <w:color w:val="auto"/>
        </w:rPr>
        <w:t>None</w:t>
      </w:r>
    </w:p>
    <w:p>
      <w:pPr>
        <w:ind w:right="8400" w:firstLine="8"/>
        <w:spacing w:after="0" w:line="250" w:lineRule="auto"/>
        <w:tabs>
          <w:tab w:leader="none" w:pos="26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right="8780" w:firstLine="8"/>
        <w:spacing w:after="0" w:line="250" w:lineRule="auto"/>
        <w:tabs>
          <w:tab w:leader="none" w:pos="2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of PennantPark Floating Rate Capital Ltd. dated July 6, 2023</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840" w:type="dxa"/>
            <w:vAlign w:val="bottom"/>
            <w:gridSpan w:val="3"/>
          </w:tcPr>
          <w:p>
            <w:pPr>
              <w:ind w:left="206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88"/>
        </w:trPr>
        <w:tc>
          <w:tcPr>
            <w:tcW w:w="3400" w:type="dxa"/>
            <w:vAlign w:val="bottom"/>
          </w:tcPr>
          <w:p>
            <w:pPr>
              <w:spacing w:after="0"/>
              <w:rPr>
                <w:sz w:val="20"/>
                <w:szCs w:val="20"/>
                <w:color w:val="auto"/>
              </w:rPr>
            </w:pPr>
            <w:r>
              <w:rPr>
                <w:rFonts w:ascii="Arial" w:cs="Arial" w:eastAsia="Arial" w:hAnsi="Arial"/>
                <w:sz w:val="18"/>
                <w:szCs w:val="18"/>
                <w:color w:val="auto"/>
              </w:rPr>
              <w:t>Date: July 6, 2023</w:t>
            </w:r>
          </w:p>
        </w:tc>
        <w:tc>
          <w:tcPr>
            <w:tcW w:w="7840" w:type="dxa"/>
            <w:vAlign w:val="bottom"/>
            <w:gridSpan w:val="3"/>
          </w:tcPr>
          <w:p>
            <w:pPr>
              <w:ind w:left="2060"/>
              <w:spacing w:after="0"/>
              <w:rPr>
                <w:sz w:val="20"/>
                <w:szCs w:val="20"/>
                <w:color w:val="auto"/>
              </w:rPr>
            </w:pPr>
            <w:r>
              <w:rPr>
                <w:rFonts w:ascii="Arial" w:cs="Arial" w:eastAsia="Arial" w:hAnsi="Arial"/>
                <w:sz w:val="18"/>
                <w:szCs w:val="18"/>
                <w:color w:val="auto"/>
              </w:rPr>
              <w:t>By: /s/ Richard T. Allorto, Jr.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T. Allorto, Jr.</w:t>
            </w:r>
          </w:p>
        </w:tc>
        <w:tc>
          <w:tcPr>
            <w:tcW w:w="3320" w:type="dxa"/>
            <w:vAlign w:val="bottom"/>
          </w:tcPr>
          <w:p>
            <w:pPr>
              <w:spacing w:after="0"/>
              <w:rPr>
                <w:sz w:val="20"/>
                <w:szCs w:val="20"/>
                <w:color w:val="auto"/>
              </w:rPr>
            </w:pPr>
          </w:p>
        </w:tc>
      </w:tr>
      <w:tr>
        <w:trPr>
          <w:trHeight w:val="243"/>
        </w:trPr>
        <w:tc>
          <w:tcPr>
            <w:tcW w:w="34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513"/>
        </w:trPr>
        <w:tc>
          <w:tcPr>
            <w:tcW w:w="3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68"/>
        </w:trPr>
        <w:tc>
          <w:tcPr>
            <w:tcW w:w="3400" w:type="dxa"/>
            <w:vAlign w:val="bottom"/>
            <w:shd w:val="clear" w:color="auto" w:fill="000000"/>
          </w:tcPr>
          <w:p>
            <w:pPr>
              <w:spacing w:after="0"/>
              <w:rPr>
                <w:sz w:val="5"/>
                <w:szCs w:val="5"/>
                <w:color w:val="auto"/>
              </w:rPr>
            </w:pPr>
          </w:p>
        </w:tc>
        <w:tc>
          <w:tcPr>
            <w:tcW w:w="238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33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40"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80" w:type="dxa"/>
            <w:vAlign w:val="bottom"/>
            <w:gridSpan w:val="2"/>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6040" w:type="dxa"/>
            <w:vAlign w:val="bottom"/>
            <w:gridSpan w:val="4"/>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560" w:type="dxa"/>
            <w:vAlign w:val="bottom"/>
          </w:tcPr>
          <w:p>
            <w:pPr>
              <w:spacing w:after="0"/>
              <w:rPr>
                <w:sz w:val="24"/>
                <w:szCs w:val="24"/>
                <w:color w:val="auto"/>
              </w:rPr>
            </w:pPr>
          </w:p>
        </w:tc>
        <w:tc>
          <w:tcPr>
            <w:tcW w:w="6040" w:type="dxa"/>
            <w:vAlign w:val="bottom"/>
            <w:gridSpan w:val="4"/>
          </w:tcPr>
          <w:p>
            <w:pPr>
              <w:ind w:left="280"/>
              <w:spacing w:after="0"/>
              <w:rPr>
                <w:sz w:val="20"/>
                <w:szCs w:val="20"/>
                <w:color w:val="auto"/>
              </w:rPr>
            </w:pPr>
            <w:r>
              <w:rPr>
                <w:rFonts w:ascii="Arial" w:cs="Arial" w:eastAsia="Arial" w:hAnsi="Arial"/>
                <w:sz w:val="18"/>
                <w:szCs w:val="18"/>
                <w:color w:val="0000EE"/>
                <w:w w:val="94"/>
              </w:rPr>
              <w:t>Press Release of PennantPark Floating Rate Capital Ltd. dated July 6,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6040" w:type="dxa"/>
            <w:vAlign w:val="bottom"/>
            <w:gridSpan w:val="4"/>
          </w:tcPr>
          <w:p>
            <w:pPr>
              <w:ind w:left="280"/>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ectPr>
          <w:pgSz w:w="11900" w:h="16838" w:orient="portrait"/>
          <w:cols w:equalWidth="0" w:num="1">
            <w:col w:w="10139"/>
          </w:cols>
          <w:pgMar w:left="320" w:top="540" w:right="1440" w:bottom="1440" w:gutter="0" w:footer="0" w:header="0"/>
        </w:sectPr>
      </w:pPr>
    </w:p>
    <w:bookmarkStart w:id="4" w:name="page5"/>
    <w:bookmarkEnd w:id="4"/>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Third Fiscal Quarter 2023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MIAMI, July 06, 2023 (GLOBE NEWSWIRE) -- PennantPark Floating Rate Capital Ltd. (the "Company") (NYSE: PFLT) (TASE:PFLT) announced that it will report results for the third fiscal quarter ended June 30, 2023 on Wednesday, August 9, 2023 after the close of the financial markets.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Company will also host a conference call at 9:00 a.m. (Eastern Time) on Thursday August 10, 2023 to discuss its financial results. All interested parties are welcome to participate. You can access the conference call by dialing toll-free (888) 204-4368 approximately 5-10 minutes prior to the call. International callers should dial (646) 828-8193. All callers should reference conference ID #9543827 or PennantPark Floating Rate Capital Ltd. An archived replay will also be available on a webcast link located on the Quarterly Earnings page in the Investor section of PennantPark’s website.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$6.2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Chicago, Houston, New York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T. Allorto, Jr.</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2023-07-06T15:15:25Z</dcterms:created>
  <dcterms:modified xsi:type="dcterms:W3CDTF">2023-07-06T15:15:25Z</dcterms:modified>
</cp:coreProperties>
</file>