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2"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127000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46"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February 28, 2012</w:t>
      </w:r>
    </w:p>
    <w:p>
      <w:pPr>
        <w:spacing w:after="0" w:line="1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98425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7" w:lineRule="exact"/>
        <w:rPr>
          <w:sz w:val="24"/>
          <w:szCs w:val="24"/>
          <w:color w:val="auto"/>
        </w:rPr>
      </w:pPr>
    </w:p>
    <w:p>
      <w:pPr>
        <w:jc w:val="center"/>
        <w:ind w:right="-49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4"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6"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040" w:type="dxa"/>
            <w:vAlign w:val="bottom"/>
          </w:tcPr>
          <w:p>
            <w:pPr>
              <w:jc w:val="center"/>
              <w:ind w:right="2402"/>
              <w:spacing w:after="0"/>
              <w:rPr>
                <w:sz w:val="20"/>
                <w:szCs w:val="20"/>
                <w:color w:val="auto"/>
              </w:rPr>
            </w:pPr>
            <w:r>
              <w:rPr>
                <w:rFonts w:ascii="Arial" w:cs="Arial" w:eastAsia="Arial" w:hAnsi="Arial"/>
                <w:sz w:val="18"/>
                <w:szCs w:val="18"/>
                <w:b w:val="1"/>
                <w:bCs w:val="1"/>
                <w:color w:val="auto"/>
                <w:w w:val="96"/>
              </w:rPr>
              <w:t>Maryland</w:t>
            </w:r>
          </w:p>
        </w:tc>
        <w:tc>
          <w:tcPr>
            <w:tcW w:w="2340" w:type="dxa"/>
            <w:vAlign w:val="bottom"/>
          </w:tcPr>
          <w:p>
            <w:pPr>
              <w:ind w:left="180"/>
              <w:spacing w:after="0"/>
              <w:rPr>
                <w:sz w:val="20"/>
                <w:szCs w:val="20"/>
                <w:color w:val="auto"/>
              </w:rPr>
            </w:pPr>
            <w:r>
              <w:rPr>
                <w:rFonts w:ascii="Arial" w:cs="Arial" w:eastAsia="Arial" w:hAnsi="Arial"/>
                <w:sz w:val="18"/>
                <w:szCs w:val="18"/>
                <w:b w:val="1"/>
                <w:bCs w:val="1"/>
                <w:color w:val="auto"/>
              </w:rPr>
              <w:t>814-00891</w:t>
            </w:r>
          </w:p>
        </w:tc>
        <w:tc>
          <w:tcPr>
            <w:tcW w:w="2460" w:type="dxa"/>
            <w:vAlign w:val="bottom"/>
          </w:tcPr>
          <w:p>
            <w:pPr>
              <w:jc w:val="right"/>
              <w:ind w:right="44"/>
              <w:spacing w:after="0"/>
              <w:rPr>
                <w:sz w:val="20"/>
                <w:szCs w:val="20"/>
                <w:color w:val="auto"/>
              </w:rPr>
            </w:pPr>
            <w:r>
              <w:rPr>
                <w:rFonts w:ascii="Arial" w:cs="Arial" w:eastAsia="Arial" w:hAnsi="Arial"/>
                <w:sz w:val="18"/>
                <w:szCs w:val="18"/>
                <w:b w:val="1"/>
                <w:bCs w:val="1"/>
                <w:color w:val="auto"/>
              </w:rPr>
              <w:t>27-3794690</w:t>
            </w:r>
          </w:p>
        </w:tc>
      </w:tr>
      <w:tr>
        <w:trPr>
          <w:trHeight w:val="148"/>
        </w:trPr>
        <w:tc>
          <w:tcPr>
            <w:tcW w:w="4040" w:type="dxa"/>
            <w:vAlign w:val="bottom"/>
          </w:tcPr>
          <w:p>
            <w:pPr>
              <w:jc w:val="center"/>
              <w:ind w:right="2422"/>
              <w:spacing w:after="0"/>
              <w:rPr>
                <w:sz w:val="20"/>
                <w:szCs w:val="20"/>
                <w:color w:val="auto"/>
              </w:rPr>
            </w:pPr>
            <w:r>
              <w:rPr>
                <w:rFonts w:ascii="Arial" w:cs="Arial" w:eastAsia="Arial" w:hAnsi="Arial"/>
                <w:sz w:val="13"/>
                <w:szCs w:val="13"/>
                <w:b w:val="1"/>
                <w:bCs w:val="1"/>
                <w:color w:val="auto"/>
                <w:w w:val="94"/>
              </w:rPr>
              <w:t>(State or other jurisdiction</w:t>
            </w:r>
          </w:p>
        </w:tc>
        <w:tc>
          <w:tcPr>
            <w:tcW w:w="2340" w:type="dxa"/>
            <w:vAlign w:val="bottom"/>
          </w:tcPr>
          <w:p>
            <w:pPr>
              <w:ind w:left="180"/>
              <w:spacing w:after="0"/>
              <w:rPr>
                <w:sz w:val="20"/>
                <w:szCs w:val="20"/>
                <w:color w:val="auto"/>
              </w:rPr>
            </w:pPr>
            <w:r>
              <w:rPr>
                <w:rFonts w:ascii="Arial" w:cs="Arial" w:eastAsia="Arial" w:hAnsi="Arial"/>
                <w:sz w:val="13"/>
                <w:szCs w:val="13"/>
                <w:b w:val="1"/>
                <w:bCs w:val="1"/>
                <w:color w:val="auto"/>
              </w:rPr>
              <w:t>(Commission</w:t>
            </w:r>
          </w:p>
        </w:tc>
        <w:tc>
          <w:tcPr>
            <w:tcW w:w="2460" w:type="dxa"/>
            <w:vAlign w:val="bottom"/>
          </w:tcPr>
          <w:p>
            <w:pPr>
              <w:jc w:val="center"/>
              <w:ind w:left="130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4040" w:type="dxa"/>
            <w:vAlign w:val="bottom"/>
          </w:tcPr>
          <w:p>
            <w:pPr>
              <w:jc w:val="center"/>
              <w:ind w:right="2402"/>
              <w:spacing w:after="0"/>
              <w:rPr>
                <w:sz w:val="20"/>
                <w:szCs w:val="20"/>
                <w:color w:val="auto"/>
              </w:rPr>
            </w:pPr>
            <w:r>
              <w:rPr>
                <w:rFonts w:ascii="Arial" w:cs="Arial" w:eastAsia="Arial" w:hAnsi="Arial"/>
                <w:sz w:val="13"/>
                <w:szCs w:val="13"/>
                <w:b w:val="1"/>
                <w:bCs w:val="1"/>
                <w:color w:val="auto"/>
                <w:w w:val="96"/>
              </w:rPr>
              <w:t>of incorporation)</w:t>
            </w:r>
          </w:p>
        </w:tc>
        <w:tc>
          <w:tcPr>
            <w:tcW w:w="2340" w:type="dxa"/>
            <w:vAlign w:val="bottom"/>
          </w:tcPr>
          <w:p>
            <w:pPr>
              <w:ind w:left="180"/>
              <w:spacing w:after="0"/>
              <w:rPr>
                <w:sz w:val="20"/>
                <w:szCs w:val="20"/>
                <w:color w:val="auto"/>
              </w:rPr>
            </w:pPr>
            <w:r>
              <w:rPr>
                <w:rFonts w:ascii="Arial" w:cs="Arial" w:eastAsia="Arial" w:hAnsi="Arial"/>
                <w:sz w:val="13"/>
                <w:szCs w:val="13"/>
                <w:b w:val="1"/>
                <w:bCs w:val="1"/>
                <w:color w:val="auto"/>
              </w:rPr>
              <w:t>File Number)</w:t>
            </w:r>
          </w:p>
        </w:tc>
        <w:tc>
          <w:tcPr>
            <w:tcW w:w="2460" w:type="dxa"/>
            <w:vAlign w:val="bottom"/>
          </w:tcPr>
          <w:p>
            <w:pPr>
              <w:jc w:val="center"/>
              <w:ind w:left="132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4040" w:type="dxa"/>
            <w:vAlign w:val="bottom"/>
          </w:tcPr>
          <w:p>
            <w:pPr>
              <w:jc w:val="center"/>
              <w:ind w:left="1142"/>
              <w:spacing w:after="0"/>
              <w:rPr>
                <w:sz w:val="20"/>
                <w:szCs w:val="20"/>
                <w:color w:val="auto"/>
              </w:rPr>
            </w:pPr>
            <w:r>
              <w:rPr>
                <w:rFonts w:ascii="Arial" w:cs="Arial" w:eastAsia="Arial" w:hAnsi="Arial"/>
                <w:sz w:val="18"/>
                <w:szCs w:val="18"/>
                <w:b w:val="1"/>
                <w:bCs w:val="1"/>
                <w:color w:val="auto"/>
                <w:w w:val="87"/>
              </w:rPr>
              <w:t>590 Madison Avenue, 15th Floor,</w:t>
            </w: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31"/>
        </w:trPr>
        <w:tc>
          <w:tcPr>
            <w:tcW w:w="4040" w:type="dxa"/>
            <w:vAlign w:val="bottom"/>
          </w:tcPr>
          <w:p>
            <w:pPr>
              <w:jc w:val="center"/>
              <w:ind w:left="1162"/>
              <w:spacing w:after="0"/>
              <w:rPr>
                <w:sz w:val="20"/>
                <w:szCs w:val="20"/>
                <w:color w:val="auto"/>
              </w:rPr>
            </w:pPr>
            <w:r>
              <w:rPr>
                <w:rFonts w:ascii="Arial" w:cs="Arial" w:eastAsia="Arial" w:hAnsi="Arial"/>
                <w:sz w:val="18"/>
                <w:szCs w:val="18"/>
                <w:b w:val="1"/>
                <w:bCs w:val="1"/>
                <w:color w:val="auto"/>
                <w:w w:val="92"/>
              </w:rPr>
              <w:t>New York, NY</w:t>
            </w:r>
          </w:p>
        </w:tc>
        <w:tc>
          <w:tcPr>
            <w:tcW w:w="2340" w:type="dxa"/>
            <w:vAlign w:val="bottom"/>
          </w:tcPr>
          <w:p>
            <w:pPr>
              <w:spacing w:after="0"/>
              <w:rPr>
                <w:sz w:val="20"/>
                <w:szCs w:val="20"/>
                <w:color w:val="auto"/>
              </w:rPr>
            </w:pPr>
          </w:p>
        </w:tc>
        <w:tc>
          <w:tcPr>
            <w:tcW w:w="24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4040" w:type="dxa"/>
            <w:vAlign w:val="bottom"/>
          </w:tcPr>
          <w:p>
            <w:pPr>
              <w:jc w:val="center"/>
              <w:ind w:left="1162"/>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2340" w:type="dxa"/>
            <w:vAlign w:val="bottom"/>
          </w:tcPr>
          <w:p>
            <w:pPr>
              <w:spacing w:after="0"/>
              <w:rPr>
                <w:sz w:val="15"/>
                <w:szCs w:val="15"/>
                <w:color w:val="auto"/>
              </w:rPr>
            </w:pPr>
          </w:p>
        </w:tc>
        <w:tc>
          <w:tcPr>
            <w:tcW w:w="2460" w:type="dxa"/>
            <w:vAlign w:val="bottom"/>
          </w:tcPr>
          <w:p>
            <w:pPr>
              <w:jc w:val="center"/>
              <w:ind w:left="1324"/>
              <w:spacing w:after="0"/>
              <w:rPr>
                <w:sz w:val="20"/>
                <w:szCs w:val="20"/>
                <w:color w:val="auto"/>
              </w:rPr>
            </w:pPr>
            <w:r>
              <w:rPr>
                <w:rFonts w:ascii="Arial" w:cs="Arial" w:eastAsia="Arial" w:hAnsi="Arial"/>
                <w:sz w:val="13"/>
                <w:szCs w:val="13"/>
                <w:b w:val="1"/>
                <w:bCs w:val="1"/>
                <w:color w:val="auto"/>
                <w:w w:val="96"/>
              </w:rPr>
              <w:t>(Zip Code)</w:t>
            </w:r>
          </w:p>
        </w:tc>
      </w:tr>
    </w:tbl>
    <w:p>
      <w:pPr>
        <w:spacing w:after="0" w:line="13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49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4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103505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29" w:lineRule="exact"/>
        <w:rPr>
          <w:sz w:val="24"/>
          <w:szCs w:val="24"/>
          <w:color w:val="auto"/>
        </w:rPr>
      </w:pPr>
    </w:p>
    <w:p>
      <w:pPr>
        <w:ind w:firstLine="449"/>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314" w:right="8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 Submission of Matters to a Vote of Security Holders</w:t>
      </w:r>
    </w:p>
    <w:p>
      <w:pPr>
        <w:spacing w:after="0" w:line="96" w:lineRule="exact"/>
        <w:rPr>
          <w:sz w:val="20"/>
          <w:szCs w:val="20"/>
          <w:color w:val="auto"/>
        </w:rPr>
      </w:pPr>
    </w:p>
    <w:p>
      <w:pPr>
        <w:jc w:val="both"/>
        <w:ind w:right="340"/>
        <w:spacing w:after="0" w:line="298" w:lineRule="auto"/>
        <w:rPr>
          <w:sz w:val="20"/>
          <w:szCs w:val="20"/>
          <w:color w:val="auto"/>
        </w:rPr>
      </w:pPr>
      <w:r>
        <w:rPr>
          <w:rFonts w:ascii="Arial" w:cs="Arial" w:eastAsia="Arial" w:hAnsi="Arial"/>
          <w:sz w:val="16"/>
          <w:szCs w:val="16"/>
          <w:color w:val="auto"/>
        </w:rPr>
        <w:t>On February 28, 2012, PennantPark Floating Rate Capital Ltd. (the “Company”) reconvened its annual meeting of stockholders (the “Annual Meeting”) to consider the proposal to elect two directors of the Company. The proposal is described in detail in the Company’s definitive proxy statement filed with the Securities and Exchange Commission on December 7, 2011. As of December 14, 2011, the record date, 6,850,667 shares of common stock were eligible to vote. A summary of the matters voted upon by the stockholders is set forth below.</w:t>
      </w:r>
    </w:p>
    <w:p>
      <w:pPr>
        <w:spacing w:after="0" w:line="106"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two director candidates did not receive the affirmative vote of a majority of the shares outstanding to elect two, Class I nominees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serve as directors. Mr. Marshall Brozost and Mr. Samuel L. Katz, however, received the affirmative vote of a majority of the shares voted. In accordance with Maryland law, they will continue to serve as directors of the Company until their successors are duly elected and qualified as per the Bylaws of the Company. The voting results are set forth below:</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Broker</w:t>
            </w:r>
          </w:p>
        </w:tc>
      </w:tr>
      <w:tr>
        <w:trPr>
          <w:trHeight w:val="161"/>
        </w:trPr>
        <w:tc>
          <w:tcPr>
            <w:tcW w:w="61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2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For</w:t>
            </w: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Withheld</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Non Vote</w:t>
            </w:r>
          </w:p>
        </w:tc>
      </w:tr>
      <w:tr>
        <w:trPr>
          <w:trHeight w:val="210"/>
        </w:trPr>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Marshall Brozost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1,208,563</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304,590</w:t>
            </w:r>
          </w:p>
        </w:tc>
        <w:tc>
          <w:tcPr>
            <w:tcW w:w="4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4,139,269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ind w:left="420"/>
              <w:spacing w:after="0"/>
              <w:rPr>
                <w:sz w:val="20"/>
                <w:szCs w:val="20"/>
                <w:color w:val="auto"/>
              </w:rPr>
            </w:pPr>
            <w:r>
              <w:rPr>
                <w:rFonts w:ascii="Arial" w:cs="Arial" w:eastAsia="Arial" w:hAnsi="Arial"/>
                <w:sz w:val="18"/>
                <w:szCs w:val="18"/>
                <w:color w:val="auto"/>
              </w:rPr>
              <w:t>% of Shares Voted</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79.87%</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20.13%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Shares Outstanding</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17.64%</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Samuel L. Katz</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1,220,273</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292,880</w:t>
            </w:r>
          </w:p>
        </w:tc>
        <w:tc>
          <w:tcPr>
            <w:tcW w:w="4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4,139,269</w:t>
            </w:r>
          </w:p>
        </w:tc>
      </w:tr>
      <w:tr>
        <w:trPr>
          <w:trHeight w:val="216"/>
        </w:trPr>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Shares Voted</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80.64%</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22"/>
        </w:trPr>
        <w:tc>
          <w:tcPr>
            <w:tcW w:w="6180" w:type="dxa"/>
            <w:vAlign w:val="bottom"/>
          </w:tcPr>
          <w:p>
            <w:pPr>
              <w:ind w:left="420"/>
              <w:spacing w:after="0"/>
              <w:rPr>
                <w:sz w:val="20"/>
                <w:szCs w:val="20"/>
                <w:color w:val="auto"/>
              </w:rPr>
            </w:pPr>
            <w:r>
              <w:rPr>
                <w:rFonts w:ascii="Arial" w:cs="Arial" w:eastAsia="Arial" w:hAnsi="Arial"/>
                <w:sz w:val="18"/>
                <w:szCs w:val="18"/>
                <w:color w:val="auto"/>
              </w:rPr>
              <w:t>% of Shares Outstanding</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17.81%</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4.27%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60.42%</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February 28, 2012, the Company reconvened a special meeting of stockholders (the “Special Meeting”) to consider one proposal as described in detail in the Company’s definitive proxy statement filed with the Securities and Exchange Commission on December 7, 2011. As of December 14, 2011, the record date, 6,850,667 shares of common stock were eligible to vote. A summary of the matter voted upon by the stockholders is set forth below.</w:t>
      </w:r>
    </w:p>
    <w:p>
      <w:pPr>
        <w:spacing w:after="0" w:line="100" w:lineRule="exact"/>
        <w:rPr>
          <w:sz w:val="20"/>
          <w:szCs w:val="20"/>
          <w:color w:val="auto"/>
        </w:rPr>
      </w:pPr>
    </w:p>
    <w:p>
      <w:pPr>
        <w:ind w:right="500"/>
        <w:spacing w:after="0" w:line="310" w:lineRule="auto"/>
        <w:rPr>
          <w:sz w:val="20"/>
          <w:szCs w:val="20"/>
          <w:color w:val="auto"/>
        </w:rPr>
      </w:pPr>
      <w:r>
        <w:rPr>
          <w:rFonts w:ascii="Arial" w:cs="Arial" w:eastAsia="Arial" w:hAnsi="Arial"/>
          <w:sz w:val="16"/>
          <w:szCs w:val="16"/>
          <w:b w:val="1"/>
          <w:bCs w:val="1"/>
          <w:color w:val="auto"/>
        </w:rPr>
        <w:t xml:space="preserve">Proposal 1. </w:t>
      </w:r>
      <w:r>
        <w:rPr>
          <w:rFonts w:ascii="Arial" w:cs="Arial" w:eastAsia="Arial" w:hAnsi="Arial"/>
          <w:sz w:val="16"/>
          <w:szCs w:val="16"/>
          <w:color w:val="auto"/>
        </w:rPr>
        <w:t>Due to the absence of a quorum, the Company’s stockholders did not approve a proposal to authorize flexibility for the Company,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of its Board of Directors, to sell shares of its common stock during the next 12 months at a price below its then current net asset value per share subject to certain limitations as described the proxy statement. The voting results are set forth below:</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For</w:t>
            </w:r>
          </w:p>
        </w:tc>
        <w:tc>
          <w:tcPr>
            <w:tcW w:w="11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Against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Abstain</w:t>
            </w:r>
          </w:p>
        </w:tc>
      </w:tr>
      <w:tr>
        <w:trPr>
          <w:trHeight w:val="210"/>
        </w:trPr>
        <w:tc>
          <w:tcPr>
            <w:tcW w:w="6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With Affiliates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1,605,260</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613,210</w:t>
            </w:r>
          </w:p>
        </w:tc>
        <w:tc>
          <w:tcPr>
            <w:tcW w:w="4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177,088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tcPr>
          <w:p>
            <w:pPr>
              <w:ind w:left="420"/>
              <w:spacing w:after="0"/>
              <w:rPr>
                <w:sz w:val="20"/>
                <w:szCs w:val="20"/>
                <w:color w:val="auto"/>
              </w:rPr>
            </w:pPr>
            <w:r>
              <w:rPr>
                <w:rFonts w:ascii="Arial" w:cs="Arial" w:eastAsia="Arial" w:hAnsi="Arial"/>
                <w:sz w:val="18"/>
                <w:szCs w:val="18"/>
                <w:color w:val="auto"/>
              </w:rPr>
              <w:t>% of Shares Voted</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67.01%</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25.60%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7.39%</w:t>
            </w:r>
          </w:p>
        </w:tc>
      </w:tr>
      <w:tr>
        <w:trPr>
          <w:trHeight w:val="216"/>
        </w:trPr>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Shares Outstanding</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23.43%</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323"/>
        </w:trPr>
        <w:tc>
          <w:tcPr>
            <w:tcW w:w="6300" w:type="dxa"/>
            <w:vAlign w:val="bottom"/>
          </w:tcPr>
          <w:p>
            <w:pPr>
              <w:spacing w:after="0"/>
              <w:rPr>
                <w:sz w:val="20"/>
                <w:szCs w:val="20"/>
                <w:color w:val="auto"/>
              </w:rPr>
            </w:pPr>
            <w:r>
              <w:rPr>
                <w:rFonts w:ascii="Arial" w:cs="Arial" w:eastAsia="Arial" w:hAnsi="Arial"/>
                <w:sz w:val="18"/>
                <w:szCs w:val="18"/>
                <w:color w:val="auto"/>
              </w:rPr>
              <w:t>Without Affiliates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1,592,588</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613,210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177,088</w:t>
            </w:r>
          </w:p>
        </w:tc>
      </w:tr>
      <w:tr>
        <w:trPr>
          <w:trHeight w:val="217"/>
        </w:trPr>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Shares Voted</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66.83%</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22"/>
        </w:trPr>
        <w:tc>
          <w:tcPr>
            <w:tcW w:w="6300" w:type="dxa"/>
            <w:vAlign w:val="bottom"/>
          </w:tcPr>
          <w:p>
            <w:pPr>
              <w:ind w:left="420"/>
              <w:spacing w:after="0"/>
              <w:rPr>
                <w:sz w:val="20"/>
                <w:szCs w:val="20"/>
                <w:color w:val="auto"/>
              </w:rPr>
            </w:pPr>
            <w:r>
              <w:rPr>
                <w:rFonts w:ascii="Arial" w:cs="Arial" w:eastAsia="Arial" w:hAnsi="Arial"/>
                <w:sz w:val="18"/>
                <w:szCs w:val="18"/>
                <w:color w:val="auto"/>
              </w:rPr>
              <w:t>% of Shares Outstanding</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23.39%</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2.60%</w:t>
            </w:r>
          </w:p>
        </w:tc>
      </w:tr>
    </w:tbl>
    <w:p>
      <w:pPr>
        <w:sectPr>
          <w:pgSz w:w="11900" w:h="16838" w:orient="portrait"/>
          <w:cols w:equalWidth="0" w:num="1">
            <w:col w:w="11240"/>
          </w:cols>
          <w:pgMar w:left="320" w:top="274"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31"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Dated: March 2, 2012</w:t>
      </w:r>
      <w:r>
        <w:rPr>
          <w:sz w:val="20"/>
          <w:szCs w:val="20"/>
          <w:color w:val="auto"/>
        </w:rPr>
        <w:tab/>
      </w:r>
      <w:r>
        <w:rPr>
          <w:rFonts w:ascii="Arial" w:cs="Arial" w:eastAsia="Arial" w:hAnsi="Arial"/>
          <w:sz w:val="16"/>
          <w:szCs w:val="16"/>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10795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Chief Financial Officer &amp; Treasurer</w:t>
      </w:r>
    </w:p>
    <w:sectPr>
      <w:pgSz w:w="11900" w:h="16838" w:orient="portrait"/>
      <w:cols w:equalWidth="0" w:num="1">
        <w:col w:w="11200"/>
      </w:cols>
      <w:pgMar w:left="32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2020-05-05T12:07:42Z</dcterms:created>
  <dcterms:modified xsi:type="dcterms:W3CDTF">2020-05-05T12:07:42Z</dcterms:modified>
</cp:coreProperties>
</file>