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22"/>
          <w:szCs w:val="22"/>
          <w:b w:val="1"/>
          <w:bCs w:val="1"/>
          <w:color w:val="auto"/>
        </w:rPr>
        <w:t>As filed with the Securities and Exchange Commission on April 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Form 8-A</w:t>
      </w:r>
    </w:p>
    <w:p>
      <w:pPr>
        <w:spacing w:after="0" w:line="172"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For Registration of Certain Classes of Securities</w:t>
      </w:r>
    </w:p>
    <w:p>
      <w:pPr>
        <w:spacing w:after="0" w:line="4"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Pursuant to Section 12(b) or (g) of the</w:t>
      </w:r>
    </w:p>
    <w:p>
      <w:pPr>
        <w:jc w:val="center"/>
        <w:ind w:right="-359"/>
        <w:spacing w:after="0"/>
        <w:rPr>
          <w:sz w:val="20"/>
          <w:szCs w:val="20"/>
          <w:color w:val="auto"/>
        </w:rPr>
      </w:pPr>
      <w:r>
        <w:rPr>
          <w:rFonts w:ascii="Arial" w:cs="Arial" w:eastAsia="Arial" w:hAnsi="Arial"/>
          <w:sz w:val="22"/>
          <w:szCs w:val="22"/>
          <w:b w:val="1"/>
          <w:bCs w:val="1"/>
          <w:color w:val="auto"/>
        </w:rPr>
        <w:t>Securities Exchange Act of 1934</w:t>
      </w:r>
    </w:p>
    <w:p>
      <w:pPr>
        <w:spacing w:after="0" w:line="112" w:lineRule="exact"/>
        <w:rPr>
          <w:sz w:val="24"/>
          <w:szCs w:val="24"/>
          <w:color w:val="auto"/>
        </w:rPr>
      </w:pPr>
    </w:p>
    <w:p>
      <w:pPr>
        <w:jc w:val="center"/>
        <w:ind w:right="-35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54"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5140" w:type="dxa"/>
            <w:vAlign w:val="bottom"/>
          </w:tcPr>
          <w:p>
            <w:pPr>
              <w:jc w:val="right"/>
              <w:ind w:right="1818"/>
              <w:spacing w:after="0"/>
              <w:rPr>
                <w:sz w:val="20"/>
                <w:szCs w:val="20"/>
                <w:color w:val="auto"/>
              </w:rPr>
            </w:pPr>
            <w:r>
              <w:rPr>
                <w:rFonts w:ascii="Arial" w:cs="Arial" w:eastAsia="Arial" w:hAnsi="Arial"/>
                <w:sz w:val="18"/>
                <w:szCs w:val="18"/>
                <w:b w:val="1"/>
                <w:bCs w:val="1"/>
                <w:color w:val="auto"/>
              </w:rPr>
              <w:t>27-3794690</w:t>
            </w:r>
          </w:p>
        </w:tc>
      </w:tr>
      <w:tr>
        <w:trPr>
          <w:trHeight w:val="174"/>
        </w:trPr>
        <w:tc>
          <w:tcPr>
            <w:tcW w:w="5920" w:type="dxa"/>
            <w:vAlign w:val="bottom"/>
          </w:tcPr>
          <w:p>
            <w:pPr>
              <w:jc w:val="center"/>
              <w:spacing w:after="0"/>
              <w:rPr>
                <w:sz w:val="20"/>
                <w:szCs w:val="20"/>
                <w:color w:val="auto"/>
              </w:rPr>
            </w:pPr>
            <w:r>
              <w:rPr>
                <w:rFonts w:ascii="Arial" w:cs="Arial" w:eastAsia="Arial" w:hAnsi="Arial"/>
                <w:sz w:val="14"/>
                <w:szCs w:val="14"/>
                <w:b w:val="1"/>
                <w:bCs w:val="1"/>
                <w:color w:val="auto"/>
                <w:w w:val="88"/>
              </w:rPr>
              <w:t>(State of incorporation of organization)</w:t>
            </w:r>
          </w:p>
        </w:tc>
        <w:tc>
          <w:tcPr>
            <w:tcW w:w="5140" w:type="dxa"/>
            <w:vAlign w:val="bottom"/>
          </w:tcPr>
          <w:p>
            <w:pPr>
              <w:jc w:val="center"/>
              <w:ind w:left="418"/>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553"/>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87"/>
              </w:rPr>
              <w:t>590 Madison Avenue, 15</w:t>
            </w:r>
            <w:r>
              <w:rPr>
                <w:rFonts w:ascii="Arial" w:cs="Arial" w:eastAsia="Arial" w:hAnsi="Arial"/>
                <w:sz w:val="11"/>
                <w:szCs w:val="11"/>
                <w:b w:val="1"/>
                <w:bCs w:val="1"/>
                <w:color w:val="auto"/>
                <w:w w:val="87"/>
              </w:rPr>
              <w:t>th</w:t>
            </w:r>
            <w:r>
              <w:rPr>
                <w:rFonts w:ascii="Arial" w:cs="Arial" w:eastAsia="Arial" w:hAnsi="Arial"/>
                <w:sz w:val="18"/>
                <w:szCs w:val="18"/>
                <w:b w:val="1"/>
                <w:bCs w:val="1"/>
                <w:color w:val="auto"/>
                <w:w w:val="87"/>
              </w:rPr>
              <w:t xml:space="preserve"> Floor</w:t>
            </w:r>
          </w:p>
        </w:tc>
        <w:tc>
          <w:tcPr>
            <w:tcW w:w="5140" w:type="dxa"/>
            <w:vAlign w:val="bottom"/>
          </w:tcPr>
          <w:p>
            <w:pPr>
              <w:jc w:val="right"/>
              <w:ind w:right="2018"/>
              <w:spacing w:after="0"/>
              <w:rPr>
                <w:sz w:val="20"/>
                <w:szCs w:val="20"/>
                <w:color w:val="auto"/>
              </w:rPr>
            </w:pPr>
            <w:r>
              <w:rPr>
                <w:rFonts w:ascii="Arial" w:cs="Arial" w:eastAsia="Arial" w:hAnsi="Arial"/>
                <w:sz w:val="18"/>
                <w:szCs w:val="18"/>
                <w:b w:val="1"/>
                <w:bCs w:val="1"/>
                <w:color w:val="auto"/>
              </w:rPr>
              <w:t>10022</w:t>
            </w:r>
          </w:p>
        </w:tc>
      </w:tr>
      <w:tr>
        <w:trPr>
          <w:trHeight w:val="228"/>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2"/>
              </w:rPr>
              <w:t>New York, NY</w:t>
            </w:r>
          </w:p>
        </w:tc>
        <w:tc>
          <w:tcPr>
            <w:tcW w:w="5140" w:type="dxa"/>
            <w:vAlign w:val="bottom"/>
          </w:tcPr>
          <w:p>
            <w:pPr>
              <w:spacing w:after="0"/>
              <w:rPr>
                <w:sz w:val="19"/>
                <w:szCs w:val="19"/>
                <w:color w:val="auto"/>
              </w:rPr>
            </w:pPr>
          </w:p>
        </w:tc>
      </w:tr>
      <w:tr>
        <w:trPr>
          <w:trHeight w:val="177"/>
        </w:trPr>
        <w:tc>
          <w:tcPr>
            <w:tcW w:w="592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40" w:type="dxa"/>
            <w:vAlign w:val="bottom"/>
          </w:tcPr>
          <w:p>
            <w:pPr>
              <w:jc w:val="center"/>
              <w:ind w:left="418"/>
              <w:spacing w:after="0"/>
              <w:rPr>
                <w:sz w:val="20"/>
                <w:szCs w:val="20"/>
                <w:color w:val="auto"/>
              </w:rPr>
            </w:pPr>
            <w:r>
              <w:rPr>
                <w:rFonts w:ascii="Arial" w:cs="Arial" w:eastAsia="Arial" w:hAnsi="Arial"/>
                <w:sz w:val="14"/>
                <w:szCs w:val="14"/>
                <w:b w:val="1"/>
                <w:bCs w:val="1"/>
                <w:color w:val="auto"/>
                <w:w w:val="92"/>
              </w:rPr>
              <w:t>(Zip Code)</w:t>
            </w:r>
          </w:p>
        </w:tc>
      </w:tr>
      <w:tr>
        <w:trPr>
          <w:trHeight w:val="559"/>
        </w:trPr>
        <w:tc>
          <w:tcPr>
            <w:tcW w:w="5920" w:type="dxa"/>
            <w:vAlign w:val="bottom"/>
          </w:tcPr>
          <w:p>
            <w:pPr>
              <w:spacing w:after="0"/>
              <w:rPr>
                <w:sz w:val="20"/>
                <w:szCs w:val="20"/>
                <w:color w:val="auto"/>
              </w:rPr>
            </w:pPr>
            <w:r>
              <w:rPr>
                <w:rFonts w:ascii="Arial" w:cs="Arial" w:eastAsia="Arial" w:hAnsi="Arial"/>
                <w:sz w:val="18"/>
                <w:szCs w:val="18"/>
                <w:color w:val="auto"/>
              </w:rPr>
              <w:t>If this form relates to the registration of a class of securities pursuant to</w:t>
            </w:r>
          </w:p>
        </w:tc>
        <w:tc>
          <w:tcPr>
            <w:tcW w:w="5140" w:type="dxa"/>
            <w:vAlign w:val="bottom"/>
          </w:tcPr>
          <w:p>
            <w:pPr>
              <w:ind w:left="140"/>
              <w:spacing w:after="0"/>
              <w:rPr>
                <w:sz w:val="20"/>
                <w:szCs w:val="20"/>
                <w:color w:val="auto"/>
              </w:rPr>
            </w:pPr>
            <w:r>
              <w:rPr>
                <w:rFonts w:ascii="Arial" w:cs="Arial" w:eastAsia="Arial" w:hAnsi="Arial"/>
                <w:sz w:val="18"/>
                <w:szCs w:val="18"/>
                <w:color w:val="auto"/>
                <w:w w:val="88"/>
              </w:rPr>
              <w:t>If this form relates to the registration of a class of securities pursuant to</w:t>
            </w:r>
          </w:p>
        </w:tc>
      </w:tr>
      <w:tr>
        <w:trPr>
          <w:trHeight w:val="184"/>
        </w:trPr>
        <w:tc>
          <w:tcPr>
            <w:tcW w:w="5920" w:type="dxa"/>
            <w:vAlign w:val="bottom"/>
          </w:tcPr>
          <w:p>
            <w:pPr>
              <w:jc w:val="center"/>
              <w:ind w:right="57"/>
              <w:spacing w:after="0" w:line="183" w:lineRule="exact"/>
              <w:rPr>
                <w:sz w:val="20"/>
                <w:szCs w:val="20"/>
                <w:color w:val="auto"/>
              </w:rPr>
            </w:pPr>
            <w:r>
              <w:rPr>
                <w:rFonts w:ascii="Arial" w:cs="Arial" w:eastAsia="Arial" w:hAnsi="Arial"/>
                <w:sz w:val="18"/>
                <w:szCs w:val="18"/>
                <w:color w:val="auto"/>
                <w:w w:val="88"/>
              </w:rPr>
              <w:t>Section 12(b) of the Exchange Act and is effective pursuant to General Instruction</w:t>
            </w:r>
          </w:p>
        </w:tc>
        <w:tc>
          <w:tcPr>
            <w:tcW w:w="5140" w:type="dxa"/>
            <w:vAlign w:val="bottom"/>
          </w:tcPr>
          <w:p>
            <w:pPr>
              <w:ind w:left="140"/>
              <w:spacing w:after="0" w:line="183" w:lineRule="exact"/>
              <w:rPr>
                <w:sz w:val="20"/>
                <w:szCs w:val="20"/>
                <w:color w:val="auto"/>
              </w:rPr>
            </w:pPr>
            <w:r>
              <w:rPr>
                <w:rFonts w:ascii="Arial" w:cs="Arial" w:eastAsia="Arial" w:hAnsi="Arial"/>
                <w:sz w:val="18"/>
                <w:szCs w:val="18"/>
                <w:color w:val="auto"/>
                <w:w w:val="88"/>
              </w:rPr>
              <w:t>Section 12(g) of the Exchange Act and is effective pursuant to General</w:t>
            </w:r>
          </w:p>
        </w:tc>
      </w:tr>
      <w:tr>
        <w:trPr>
          <w:trHeight w:val="275"/>
        </w:trPr>
        <w:tc>
          <w:tcPr>
            <w:tcW w:w="5920" w:type="dxa"/>
            <w:vAlign w:val="bottom"/>
          </w:tcPr>
          <w:p>
            <w:pPr>
              <w:spacing w:after="0" w:line="207" w:lineRule="exact"/>
              <w:rPr>
                <w:sz w:val="20"/>
                <w:szCs w:val="20"/>
                <w:color w:val="auto"/>
              </w:rPr>
            </w:pPr>
            <w:r>
              <w:rPr>
                <w:rFonts w:ascii="Arial" w:cs="Arial" w:eastAsia="Arial" w:hAnsi="Arial"/>
                <w:sz w:val="18"/>
                <w:szCs w:val="18"/>
                <w:color w:val="auto"/>
              </w:rPr>
              <w:t xml:space="preserve">A.(c), please check the following box. </w:t>
            </w:r>
            <w:r>
              <w:rPr>
                <w:rFonts w:ascii="MS PGothic" w:cs="MS PGothic" w:eastAsia="MS PGothic" w:hAnsi="MS PGothic"/>
                <w:sz w:val="18"/>
                <w:szCs w:val="18"/>
                <w:color w:val="auto"/>
              </w:rPr>
              <w:t>☒</w:t>
            </w:r>
          </w:p>
        </w:tc>
        <w:tc>
          <w:tcPr>
            <w:tcW w:w="514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Instruction A.(d), please check the following box. </w:t>
            </w:r>
            <w:r>
              <w:rPr>
                <w:rFonts w:ascii="MS PGothic" w:cs="MS PGothic" w:eastAsia="MS PGothic" w:hAnsi="MS PGothic"/>
                <w:sz w:val="18"/>
                <w:szCs w:val="18"/>
                <w:color w:val="auto"/>
              </w:rPr>
              <w:t>☐</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file number to which this Form relates: 333-170243</w:t>
      </w:r>
    </w:p>
    <w:p>
      <w:pPr>
        <w:spacing w:after="0" w:line="165"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374"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4180" w:type="dxa"/>
            <w:vAlign w:val="bottom"/>
          </w:tcPr>
          <w:p>
            <w:pPr>
              <w:jc w:val="center"/>
              <w:ind w:right="1699"/>
              <w:spacing w:after="0"/>
              <w:rPr>
                <w:sz w:val="20"/>
                <w:szCs w:val="20"/>
                <w:color w:val="auto"/>
              </w:rPr>
            </w:pPr>
            <w:r>
              <w:rPr>
                <w:rFonts w:ascii="Arial" w:cs="Arial" w:eastAsia="Arial" w:hAnsi="Arial"/>
                <w:sz w:val="18"/>
                <w:szCs w:val="18"/>
                <w:b w:val="1"/>
                <w:bCs w:val="1"/>
                <w:color w:val="auto"/>
                <w:w w:val="85"/>
              </w:rPr>
              <w:t>Title of each class</w:t>
            </w:r>
          </w:p>
        </w:tc>
        <w:tc>
          <w:tcPr>
            <w:tcW w:w="3900" w:type="dxa"/>
            <w:vAlign w:val="bottom"/>
          </w:tcPr>
          <w:p>
            <w:pPr>
              <w:jc w:val="center"/>
              <w:ind w:left="1699"/>
              <w:spacing w:after="0"/>
              <w:rPr>
                <w:sz w:val="20"/>
                <w:szCs w:val="20"/>
                <w:color w:val="auto"/>
              </w:rPr>
            </w:pPr>
            <w:r>
              <w:rPr>
                <w:rFonts w:ascii="Arial" w:cs="Arial" w:eastAsia="Arial" w:hAnsi="Arial"/>
                <w:sz w:val="18"/>
                <w:szCs w:val="18"/>
                <w:b w:val="1"/>
                <w:bCs w:val="1"/>
                <w:color w:val="auto"/>
                <w:w w:val="86"/>
              </w:rPr>
              <w:t>Name of Exchange on which</w:t>
            </w:r>
          </w:p>
        </w:tc>
      </w:tr>
      <w:tr>
        <w:trPr>
          <w:trHeight w:val="228"/>
        </w:trPr>
        <w:tc>
          <w:tcPr>
            <w:tcW w:w="4180" w:type="dxa"/>
            <w:vAlign w:val="bottom"/>
          </w:tcPr>
          <w:p>
            <w:pPr>
              <w:jc w:val="center"/>
              <w:ind w:right="1699"/>
              <w:spacing w:after="0"/>
              <w:rPr>
                <w:sz w:val="20"/>
                <w:szCs w:val="20"/>
                <w:color w:val="auto"/>
              </w:rPr>
            </w:pPr>
            <w:r>
              <w:rPr>
                <w:rFonts w:ascii="Arial" w:cs="Arial" w:eastAsia="Arial" w:hAnsi="Arial"/>
                <w:sz w:val="18"/>
                <w:szCs w:val="18"/>
                <w:b w:val="1"/>
                <w:bCs w:val="1"/>
                <w:color w:val="auto"/>
                <w:w w:val="85"/>
              </w:rPr>
              <w:t>to be registered</w:t>
            </w:r>
          </w:p>
        </w:tc>
        <w:tc>
          <w:tcPr>
            <w:tcW w:w="3900" w:type="dxa"/>
            <w:vAlign w:val="bottom"/>
          </w:tcPr>
          <w:p>
            <w:pPr>
              <w:jc w:val="center"/>
              <w:ind w:left="1699"/>
              <w:spacing w:after="0"/>
              <w:rPr>
                <w:sz w:val="20"/>
                <w:szCs w:val="20"/>
                <w:color w:val="auto"/>
              </w:rPr>
            </w:pPr>
            <w:r>
              <w:rPr>
                <w:rFonts w:ascii="Arial" w:cs="Arial" w:eastAsia="Arial" w:hAnsi="Arial"/>
                <w:sz w:val="18"/>
                <w:szCs w:val="18"/>
                <w:b w:val="1"/>
                <w:bCs w:val="1"/>
                <w:color w:val="auto"/>
                <w:w w:val="83"/>
              </w:rPr>
              <w:t>class is to be registered</w:t>
            </w:r>
          </w:p>
        </w:tc>
      </w:tr>
      <w:tr>
        <w:trPr>
          <w:trHeight w:val="177"/>
        </w:trPr>
        <w:tc>
          <w:tcPr>
            <w:tcW w:w="4180" w:type="dxa"/>
            <w:vAlign w:val="bottom"/>
          </w:tcPr>
          <w:p>
            <w:pPr>
              <w:jc w:val="center"/>
              <w:ind w:right="1699"/>
              <w:spacing w:after="0"/>
              <w:rPr>
                <w:sz w:val="20"/>
                <w:szCs w:val="20"/>
                <w:color w:val="auto"/>
              </w:rPr>
            </w:pPr>
            <w:r>
              <w:rPr>
                <w:rFonts w:ascii="Arial" w:cs="Arial" w:eastAsia="Arial" w:hAnsi="Arial"/>
                <w:sz w:val="14"/>
                <w:szCs w:val="14"/>
                <w:b w:val="1"/>
                <w:bCs w:val="1"/>
                <w:color w:val="auto"/>
                <w:w w:val="86"/>
              </w:rPr>
              <w:t>Common Stock, par value $.001 per share</w:t>
            </w:r>
          </w:p>
        </w:tc>
        <w:tc>
          <w:tcPr>
            <w:tcW w:w="3900" w:type="dxa"/>
            <w:vAlign w:val="bottom"/>
          </w:tcPr>
          <w:p>
            <w:pPr>
              <w:jc w:val="center"/>
              <w:ind w:left="1699"/>
              <w:spacing w:after="0"/>
              <w:rPr>
                <w:sz w:val="20"/>
                <w:szCs w:val="20"/>
                <w:color w:val="auto"/>
              </w:rPr>
            </w:pPr>
            <w:r>
              <w:rPr>
                <w:rFonts w:ascii="Arial" w:cs="Arial" w:eastAsia="Arial" w:hAnsi="Arial"/>
                <w:sz w:val="14"/>
                <w:szCs w:val="14"/>
                <w:b w:val="1"/>
                <w:bCs w:val="1"/>
                <w:color w:val="auto"/>
                <w:w w:val="92"/>
              </w:rPr>
              <w:t>The NASDAQ Stock Market LLC</w:t>
            </w:r>
          </w:p>
        </w:tc>
      </w:tr>
    </w:tbl>
    <w:p>
      <w:pPr>
        <w:spacing w:after="0" w:line="29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177"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60"/>
          </w:cols>
          <w:pgMar w:left="240" w:top="220" w:right="5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 Description of Registrant’s Securities to be Registered</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securities to be registered hereby are shares of common stock, par value $0.001, of PennantPark Floating Rate Capital Ltd. (the “Company”). 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for payment. Shares of our common stock have no preemptive, exchange, conversion or redemption rights and are freely transferable, except where their transfer is restricted by federal and state securities laws or by contract. In the event of a liquidation, dissolution or winding up of the Company,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2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description of the common stock contained in the Company’s Registration Statement on Form N-2, as filed with the Securities and Exchange Commission, as amended from time to time (the “Registration Statement”), and any form of prospectus or prospectus supplement to the Registration Statement that includes such descriptions and that are subsequently filed are hereby incorporated by reference herein.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exhibits to this Registration Statement have been filed as exhibits to the Company’s Registration Statement and are hereby incorporated herein by reference:</w:t>
      </w:r>
    </w:p>
    <w:p>
      <w:pPr>
        <w:spacing w:after="0" w:line="172" w:lineRule="exact"/>
        <w:rPr>
          <w:sz w:val="20"/>
          <w:szCs w:val="20"/>
          <w:color w:val="auto"/>
        </w:rPr>
      </w:pPr>
    </w:p>
    <w:p>
      <w:pPr>
        <w:ind w:left="700" w:right="860" w:hanging="688"/>
        <w:spacing w:after="0" w:line="268" w:lineRule="auto"/>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Amendment and Restatement (Incorporated by reference to Exhibit No. (a) of Pre-Effective Amendment No. 3 to the Company’s Registration Statement on Form N-2 (Registration No. 333-170243), filed on March 29, 2011).</w:t>
      </w:r>
    </w:p>
    <w:p>
      <w:pPr>
        <w:spacing w:after="0" w:line="78" w:lineRule="exact"/>
        <w:rPr>
          <w:sz w:val="20"/>
          <w:szCs w:val="20"/>
          <w:color w:val="auto"/>
        </w:rPr>
      </w:pPr>
    </w:p>
    <w:p>
      <w:pPr>
        <w:ind w:left="700" w:right="620" w:hanging="688"/>
        <w:spacing w:after="0" w:line="268" w:lineRule="auto"/>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(Incorporated by reference to Exhibit No. (b) of Pre-Effective Amendment No. 3 to the Company’s Registration Statement on Form N-2 (Registration No. 333-170243), filed on March 29, 2011).</w:t>
      </w:r>
    </w:p>
    <w:p>
      <w:pPr>
        <w:spacing w:after="0" w:line="78" w:lineRule="exact"/>
        <w:rPr>
          <w:sz w:val="20"/>
          <w:szCs w:val="20"/>
          <w:color w:val="auto"/>
        </w:rPr>
      </w:pPr>
    </w:p>
    <w:p>
      <w:pPr>
        <w:ind w:left="700" w:right="60" w:hanging="688"/>
        <w:spacing w:after="0" w:line="268" w:lineRule="auto"/>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Stock Certificate (Incorporated by reference to Exhibit No. (d) of Pre-Effective Amendment No. 5 to the Company’s Registration Statement on Form N-2 (Registration No. 333-170243) filed on April 5, 2011).</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April 7,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w w:val="98"/>
              </w:rPr>
              <w:t>Chief Executive Officer, Chairman of the Board of</w:t>
            </w:r>
          </w:p>
        </w:tc>
      </w:tr>
      <w:tr>
        <w:trPr>
          <w:trHeight w:val="222"/>
        </w:trPr>
        <w:tc>
          <w:tcPr>
            <w:tcW w:w="6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Directors</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2019-12-11T10:01:48Z</dcterms:created>
  <dcterms:modified xsi:type="dcterms:W3CDTF">2019-12-11T10:01:48Z</dcterms:modified>
</cp:coreProperties>
</file>