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16"/>
        <w:spacing w:after="0"/>
        <w:rPr>
          <w:sz w:val="20"/>
          <w:szCs w:val="20"/>
          <w:color w:val="auto"/>
        </w:rPr>
      </w:pPr>
      <w:r>
        <w:rPr>
          <w:rFonts w:ascii="Arial" w:cs="Arial" w:eastAsia="Arial" w:hAnsi="Arial"/>
          <w:sz w:val="40"/>
          <w:szCs w:val="40"/>
          <w:b w:val="1"/>
          <w:bCs w:val="1"/>
          <w:color w:val="auto"/>
        </w:rPr>
        <w:t>PennantPark Floating Rate Capital Ltd.</w:t>
      </w:r>
    </w:p>
    <w:p>
      <w:pPr>
        <w:spacing w:after="0" w:line="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484"/>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814-00891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27-3794690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1"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484" w:space="720"/>
            <w:col w:w="2620" w:space="720"/>
            <w:col w:w="2480"/>
          </w:cols>
          <w:pgMar w:left="436" w:top="368" w:right="439" w:bottom="1440" w:gutter="0" w:footer="0" w:header="0"/>
          <w:type w:val="continuous"/>
        </w:sectPr>
      </w:pPr>
    </w:p>
    <w:p>
      <w:pPr>
        <w:spacing w:after="0" w:line="5" w:lineRule="exact"/>
        <w:rPr>
          <w:sz w:val="24"/>
          <w:szCs w:val="24"/>
          <w:color w:val="auto"/>
        </w:rPr>
      </w:pPr>
    </w:p>
    <w:p>
      <w:pPr>
        <w:ind w:left="1904"/>
        <w:spacing w:after="0"/>
        <w:rPr>
          <w:sz w:val="20"/>
          <w:szCs w:val="20"/>
          <w:color w:val="auto"/>
        </w:rPr>
      </w:pPr>
      <w:r>
        <w:rPr>
          <w:rFonts w:ascii="Arial" w:cs="Arial" w:eastAsia="Arial" w:hAnsi="Arial"/>
          <w:sz w:val="16"/>
          <w:szCs w:val="16"/>
          <w:b w:val="1"/>
          <w:bCs w:val="1"/>
          <w:color w:val="auto"/>
        </w:rPr>
        <w:t>1691 Michigan Avenue</w:t>
      </w:r>
    </w:p>
    <w:p>
      <w:pPr>
        <w:spacing w:after="0" w:line="50" w:lineRule="exact"/>
        <w:rPr>
          <w:sz w:val="24"/>
          <w:szCs w:val="24"/>
          <w:color w:val="auto"/>
        </w:rPr>
      </w:pPr>
    </w:p>
    <w:p>
      <w:pPr>
        <w:ind w:left="1944"/>
        <w:spacing w:after="0"/>
        <w:rPr>
          <w:sz w:val="20"/>
          <w:szCs w:val="20"/>
          <w:color w:val="auto"/>
        </w:rPr>
      </w:pPr>
      <w:r>
        <w:rPr>
          <w:rFonts w:ascii="Arial" w:cs="Arial" w:eastAsia="Arial" w:hAnsi="Arial"/>
          <w:sz w:val="17"/>
          <w:szCs w:val="17"/>
          <w:b w:val="1"/>
          <w:bCs w:val="1"/>
          <w:color w:val="auto"/>
        </w:rPr>
        <w:t>Miami Beach, Florida</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33319</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(212) 905-1000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1"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1" w:lineRule="exact"/>
        <w:rPr>
          <w:sz w:val="24"/>
          <w:szCs w:val="24"/>
          <w:color w:val="auto"/>
        </w:rPr>
      </w:pPr>
    </w:p>
    <w:tbl>
      <w:tblPr>
        <w:tblLayout w:type="fixed"/>
        <w:tblInd w:w="4" w:type="dxa"/>
        <w:tblCellMar>
          <w:top w:w="0" w:type="dxa"/>
          <w:left w:w="0" w:type="dxa"/>
          <w:bottom w:w="0" w:type="dxa"/>
          <w:right w:w="0" w:type="dxa"/>
        </w:tblCellMar>
      </w:tblP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Trading 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PFLT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r>
    </w:tbl>
    <w:p>
      <w:pPr>
        <w:spacing w:after="0" w:line="156" w:lineRule="exact"/>
        <w:rPr>
          <w:sz w:val="24"/>
          <w:szCs w:val="24"/>
          <w:color w:val="auto"/>
        </w:rPr>
      </w:pPr>
    </w:p>
    <w:p>
      <w:pPr>
        <w:ind w:left="4"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 230.405) or Rule 12b-2 of the Securities Exchange Act of 1934 (17 CFR § 240.12b-2).</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right="60"/>
        <w:spacing w:after="0" w:line="28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On June 2, 2022, PennantPark Floating Rate Capital Ltd. (“PFLT”) and PennantPark Investment Corporation (“PNNT”) announced that Richard T. Allorto, Jr. has been appointed as the Chief Financial Officer and Treasurer of each of PFLT and PNNT, effective as of June 13, 2022. In addition to his role with each of PFLT and PNNT, Mr. Allorto has also been named a senior executive on the Finance and Operations team of PennantPark Investment Administration, LLC, the investment administrator for each of PFLT and PNNT.</w:t>
      </w:r>
    </w:p>
    <w:p>
      <w:pPr>
        <w:spacing w:after="0" w:line="187"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Mr. Allorto, 50, most recently served as Chief Financial Officer of Medley Management, Inc. and Chief Financial Officer and Secretary of Sierra Income Corporation. From January 2011 to December 2020, Mr. Allorto served as Chief Financial Officer and Secretary of Medley Capital Corporation. Prior to joining Medley, Mr. Allorto held various positions at GSC Group, Inc., a registered investment adviser, including, Chief Financial Officer of GSC Investment Corp, a business development company that was externally managed by GSC Group. Mr. Allorto began his career at Arthur Andersen in public accounting in 1994. Mr. Allorto is a licensed CPA and received a B.S. in Accounting from Seton Hall University.</w:t>
      </w:r>
    </w:p>
    <w:p>
      <w:pPr>
        <w:spacing w:after="0" w:line="16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There are no reportable family relationships or related party transactions (as defined in Item 404(a) of Regulation S-K) involving PFLT or PNNT, on the one hand, or Mr. Allorto, on the other hand.</w:t>
      </w:r>
    </w:p>
    <w:p>
      <w:pPr>
        <w:spacing w:after="0" w:line="170"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Effective with Mr. Allorto’s appointment as Chief Financial Officer and Treasurer of PFLT and PNNT, Mr. Allorto will report to Richard Cheung, who will continue to serve as Chief Financial Officer of the PennantPark Investment Advisers, LLC (the “Advisor”) and the other private funds advised by the Advisor. These changes were not the result of any disagreement with PFLT or PNNT.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Arial" w:cs="Arial" w:eastAsia="Arial" w:hAnsi="Arial"/>
                <w:sz w:val="18"/>
                <w:szCs w:val="18"/>
                <w:color w:val="auto"/>
              </w:rPr>
              <w:t>Dated: June 2, 2022</w:t>
            </w:r>
          </w:p>
        </w:tc>
        <w:tc>
          <w:tcPr>
            <w:tcW w:w="7540" w:type="dxa"/>
            <w:vAlign w:val="bottom"/>
            <w:gridSpan w:val="2"/>
          </w:tcPr>
          <w:p>
            <w:pPr>
              <w:ind w:left="204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432"/>
        </w:trPr>
        <w:tc>
          <w:tcPr>
            <w:tcW w:w="3480" w:type="dxa"/>
            <w:vAlign w:val="bottom"/>
          </w:tcPr>
          <w:p>
            <w:pPr>
              <w:spacing w:after="0"/>
              <w:rPr>
                <w:sz w:val="24"/>
                <w:szCs w:val="24"/>
                <w:color w:val="auto"/>
              </w:rPr>
            </w:pPr>
          </w:p>
        </w:tc>
        <w:tc>
          <w:tcPr>
            <w:tcW w:w="2580" w:type="dxa"/>
            <w:vAlign w:val="bottom"/>
          </w:tcPr>
          <w:p>
            <w:pPr>
              <w:ind w:left="204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Arthur Penn</w:t>
            </w:r>
          </w:p>
        </w:tc>
      </w:tr>
      <w:tr>
        <w:trPr>
          <w:trHeight w:val="195"/>
        </w:trPr>
        <w:tc>
          <w:tcPr>
            <w:tcW w:w="3480" w:type="dxa"/>
            <w:vAlign w:val="bottom"/>
          </w:tcPr>
          <w:p>
            <w:pPr>
              <w:spacing w:after="0"/>
              <w:rPr>
                <w:sz w:val="16"/>
                <w:szCs w:val="16"/>
                <w:color w:val="auto"/>
              </w:rPr>
            </w:pPr>
          </w:p>
        </w:tc>
        <w:tc>
          <w:tcPr>
            <w:tcW w:w="2580" w:type="dxa"/>
            <w:vAlign w:val="bottom"/>
          </w:tcPr>
          <w:p>
            <w:pPr>
              <w:ind w:left="204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Arthur Penn</w:t>
            </w:r>
          </w:p>
        </w:tc>
      </w:tr>
      <w:tr>
        <w:trPr>
          <w:trHeight w:val="230"/>
        </w:trPr>
        <w:tc>
          <w:tcPr>
            <w:tcW w:w="3480" w:type="dxa"/>
            <w:vAlign w:val="bottom"/>
          </w:tcPr>
          <w:p>
            <w:pPr>
              <w:spacing w:after="0"/>
              <w:rPr>
                <w:sz w:val="20"/>
                <w:szCs w:val="20"/>
                <w:color w:val="auto"/>
              </w:rPr>
            </w:pPr>
          </w:p>
        </w:tc>
        <w:tc>
          <w:tcPr>
            <w:tcW w:w="2580" w:type="dxa"/>
            <w:vAlign w:val="bottom"/>
          </w:tcPr>
          <w:p>
            <w:pPr>
              <w:ind w:left="204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i w:val="1"/>
                <w:iCs w:val="1"/>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2022-06-02T15:22:12Z</dcterms:created>
  <dcterms:modified xsi:type="dcterms:W3CDTF">2022-06-02T15:22:12Z</dcterms:modified>
</cp:coreProperties>
</file>