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12,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0"/>
        <w:spacing w:after="0"/>
        <w:rPr>
          <w:sz w:val="20"/>
          <w:szCs w:val="20"/>
          <w:color w:val="auto"/>
        </w:rPr>
      </w:pPr>
      <w:r>
        <w:rPr>
          <w:rFonts w:ascii="Arial" w:cs="Arial" w:eastAsia="Arial" w:hAnsi="Arial"/>
          <w:sz w:val="22"/>
          <w:szCs w:val="22"/>
          <w:color w:val="auto"/>
        </w:rPr>
        <w:t>On November 12, 2015, PennantPark Floating Rate Capital Ltd. issued a press release announcing financial results for the fourth quarter and fiscal year ended September 30, 2015.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12,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12, 2015</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12,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right="480"/>
        <w:spacing w:after="0" w:line="256"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2015</w:t>
      </w:r>
    </w:p>
    <w:p>
      <w:pPr>
        <w:spacing w:after="0" w:line="168" w:lineRule="exact"/>
        <w:rPr>
          <w:sz w:val="20"/>
          <w:szCs w:val="20"/>
          <w:color w:val="auto"/>
        </w:rPr>
      </w:pPr>
    </w:p>
    <w:p>
      <w:pPr>
        <w:ind w:right="960"/>
        <w:spacing w:after="0" w:line="274" w:lineRule="auto"/>
        <w:rPr>
          <w:sz w:val="20"/>
          <w:szCs w:val="20"/>
          <w:color w:val="auto"/>
        </w:rPr>
      </w:pPr>
      <w:r>
        <w:rPr>
          <w:rFonts w:ascii="Arial" w:cs="Arial" w:eastAsia="Arial" w:hAnsi="Arial"/>
          <w:sz w:val="21"/>
          <w:szCs w:val="21"/>
          <w:color w:val="auto"/>
        </w:rPr>
        <w:t>NEW YORK, NY -- (Marketwired - November 12, 2015) - PennantPark Floating Rate Capital Ltd. (NASDAQ: PFLT) announced today financial results for the fourth quarter and fiscal year ended September 30, 2015.</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September 30, 2015</w:t>
      </w: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391.3</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372.9</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13.95</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260" w:type="dxa"/>
            <w:vAlign w:val="bottom"/>
          </w:tcPr>
          <w:p>
            <w:pPr>
              <w:spacing w:after="0"/>
              <w:rPr>
                <w:sz w:val="24"/>
                <w:szCs w:val="24"/>
                <w:color w:val="auto"/>
              </w:rPr>
            </w:pP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7.9%</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260" w:type="dxa"/>
            <w:vAlign w:val="bottom"/>
          </w:tcPr>
          <w:p>
            <w:pPr>
              <w:spacing w:after="0"/>
              <w:rPr>
                <w:sz w:val="24"/>
                <w:szCs w:val="24"/>
                <w:color w:val="auto"/>
              </w:rPr>
            </w:pP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Year Ended</w:t>
            </w:r>
          </w:p>
        </w:tc>
        <w:tc>
          <w:tcPr>
            <w:tcW w:w="1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Reversal of capital gain incentive fee</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but not payable per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(0.04)</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 per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0.14</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1.115</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224.2</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195.0</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48.9</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w w:val="99"/>
              </w:rPr>
              <w:t>Number of new portfolio companies invested</w:t>
            </w:r>
          </w:p>
        </w:tc>
        <w:tc>
          <w:tcPr>
            <w:tcW w:w="26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w:t>
            </w:r>
          </w:p>
        </w:tc>
        <w:tc>
          <w:tcPr>
            <w:tcW w:w="5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invested</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ending portfolio companies</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w:t>
            </w:r>
          </w:p>
        </w:tc>
      </w:tr>
    </w:tbl>
    <w:p>
      <w:pPr>
        <w:spacing w:after="0" w:line="197" w:lineRule="exact"/>
        <w:rPr>
          <w:sz w:val="20"/>
          <w:szCs w:val="20"/>
          <w:color w:val="auto"/>
        </w:rPr>
      </w:pPr>
    </w:p>
    <w:p>
      <w:pPr>
        <w:ind w:right="20" w:firstLine="8"/>
        <w:spacing w:after="0" w:line="248" w:lineRule="auto"/>
        <w:tabs>
          <w:tab w:leader="none" w:pos="306" w:val="left"/>
        </w:tabs>
        <w:numPr>
          <w:ilvl w:val="0"/>
          <w:numId w:val="2"/>
        </w:numPr>
        <w:rPr>
          <w:rFonts w:ascii="Arial" w:cs="Arial" w:eastAsia="Arial" w:hAnsi="Arial"/>
          <w:sz w:val="21"/>
          <w:szCs w:val="21"/>
          <w:color w:val="auto"/>
        </w:rPr>
      </w:pPr>
      <w:r>
        <w:rPr>
          <w:rFonts w:ascii="Arial" w:cs="Arial" w:eastAsia="Arial" w:hAnsi="Arial"/>
          <w:sz w:val="21"/>
          <w:szCs w:val="21"/>
          <w:color w:val="auto"/>
        </w:rPr>
        <w:t>Core net investment income is a non-GAAP financial measure. The Company believes that core net investment income provides useful information to investors and management because it reflects the Company's financial performance excluding both the charges related to incentive fee on net unrealized gains accrued under GAAP but not payable unless such net unrealized gains are realized and the costs associated with amending our multi-currency, senior secured revolving credit facility, or the Credit Facility. The presentation of this additional information is not meant to be considered in isolation or as a substitute for financial results prepared in accordance with GAAP.</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13, 2015</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November 13, 2015 to discuss its financial results. All interested parties are welcome to participate. You can access the conference call by dialing (888) 286-2317 approximately 5-10 minutes prior to the call. International callers should dial (719)</w:t>
      </w:r>
    </w:p>
    <w:p>
      <w:pPr>
        <w:spacing w:after="0" w:line="1" w:lineRule="exact"/>
        <w:rPr>
          <w:sz w:val="20"/>
          <w:szCs w:val="20"/>
          <w:color w:val="auto"/>
        </w:rPr>
      </w:pPr>
    </w:p>
    <w:p>
      <w:pPr>
        <w:jc w:val="both"/>
        <w:ind w:right="280"/>
        <w:spacing w:after="0" w:line="234" w:lineRule="auto"/>
        <w:rPr>
          <w:sz w:val="20"/>
          <w:szCs w:val="20"/>
          <w:color w:val="auto"/>
        </w:rPr>
      </w:pPr>
      <w:r>
        <w:rPr>
          <w:rFonts w:ascii="Arial" w:cs="Arial" w:eastAsia="Arial" w:hAnsi="Arial"/>
          <w:sz w:val="22"/>
          <w:szCs w:val="22"/>
          <w:color w:val="auto"/>
        </w:rPr>
        <w:t>325-2386. All callers should reference PennantPark Floating Rate Capital Ltd. An archived replay of the call will be available through November 27, 2015 by calling (888) 203-1112. International callers please dial (719) 457-0820. For all phone replays, please reference conference ID #157552.</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London Interbank Offered Rate, or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180"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As of September 30, 2014, our portfolio totaled $348.4 million and consisted of $302.5 million of senior secured debt, $36.5 million of second lien secured debt and $9.4 million of subordinated debt, preferred and common equity. Our debt portfolio consisted of 95% variable-rate investments (including 92% with a LIBOR or prime floor) and 5% fixed-rate investments. As of September 30, 2014, we had one company on non-accrual, representing 0.6% and 0.4% of our overall portfolio on a cost and fair value basis, respectively. Overall, the portfolio had net unrealized appreciation of $0.1 million. Our overall portfolio consisted of 72 companies with an average investment size of $4.8 million, had a weighted average yield on debt investments of 8.2%, and</w:t>
      </w:r>
    </w:p>
    <w:p>
      <w:pPr>
        <w:sectPr>
          <w:pgSz w:w="11900" w:h="16838" w:orient="portrait"/>
          <w:cols w:equalWidth="0" w:num="1">
            <w:col w:w="11240"/>
          </w:cols>
          <w:pgMar w:left="320" w:top="111" w:right="339" w:bottom="0" w:gutter="0" w:footer="0" w:header="0"/>
        </w:sectPr>
      </w:pPr>
    </w:p>
    <w:bookmarkStart w:id="3" w:name="page4"/>
    <w:bookmarkEnd w:id="3"/>
    <w:p>
      <w:pPr>
        <w:ind w:right="240"/>
        <w:spacing w:after="0" w:line="251" w:lineRule="auto"/>
        <w:rPr>
          <w:sz w:val="20"/>
          <w:szCs w:val="20"/>
          <w:color w:val="auto"/>
        </w:rPr>
      </w:pPr>
      <w:r>
        <w:rPr>
          <w:rFonts w:ascii="Arial" w:cs="Arial" w:eastAsia="Arial" w:hAnsi="Arial"/>
          <w:sz w:val="22"/>
          <w:szCs w:val="22"/>
          <w:color w:val="auto"/>
        </w:rPr>
        <w:t>was invested 87% in senior secured debt, 10% in second lien secured debt and 3% in subordinated debt, preferred and common equity.</w:t>
      </w:r>
    </w:p>
    <w:p>
      <w:pPr>
        <w:spacing w:after="0" w:line="173"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For the three months ended September 30, 2015, we invested $63.2 million in six new and eight existing portfolio companies with a weighted average yield on debt investments of 8.3%. Sales and repayments of investments for the three months ended September 30, 2015 totaled $48.9 million. This compares to the three months ended September 30, 2014, in which we invested $63.1 million in seven new and eight existing portfolio companies with a weighted average yield on debt investments of 9.3%. Sales and repayments of investments for the same period totaled $78.8 million.</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For the fiscal year ended September 30, 2015, we invested $224.2 million in 32 new and 34 existing portfolio companies with a weighted average yield on debt investments of 7.7%. Sales and repayments of investments for the year ended September 30, 2015 totaled $195.0 million. This compares to the fiscal year ended September 30, 2014, in which we invested $248.1 million in 36 new and 33 existing portfolio companies with a weighted average yield on debt investments of 8.2%. Sales and repayments of investments for the same period totaled $225.6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2015 and 2014.</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Investment income for the three months ended September 30, 2015 and 2014 was $7.8 million and $8.2 million, respectively, and was attributable to $6.1 million and $6.4 million from senior secured debt, $1.4 million and $1.3 million from second lien secured debt and $0.3 million and $0.5 million from subordinated debt, respectively.</w:t>
      </w:r>
    </w:p>
    <w:p>
      <w:pPr>
        <w:spacing w:after="0" w:line="18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Investment income for the fiscal years ended September 30, 2015 and 2014 was $30.4 million, and was attributable to $23.5 million and $24.5 million from senior secured debt, $5.7 million and $4.2 million from second lien secured debt and $1.2 million and $1.7 million from subordinated debt, respectively. Investment income was relatively the same compared to the prior year due to investing in debt with lower yields. We expect investment income to grow as we deploy capital.</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Expenses for the three months ended September 30, 2015 and 2014 totaled $4.2 million and $2.9 million, respectively. Base management fee for the same periods totaled $1.0 million and $0.9 million, incentive fee totaled $(0.5) million and $0.5 million (including zero and zero, respectively, on net realized gains and $(0.5) million and $(0.6) million, respectively, on net unrealized gains accrued but not payable), Credit Facility expenses totaled $2.9 million (including $2.1 million of Credit Facility amendment expenses) and $0.9 million, general and administrative expenses totaled $0.7 million and $0.5 million and excise taxes were $0.1 million and $0.1 million, respectively.</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Expenses for the fiscal years ended September 30, 2015 and 2014 totaled $12.7 million and $13.7 million, respectively. Base management fee for the same periods totaled $3.6 million and $3.7 million, incentive fee totaled $1.1 million and $3.5 million (including $(0.4) million and zero, respectively, on net realized gains and $(0.7) million and $0.1 million, respectively, on net unrealized gains accrued but not payable), Credit Facility expenses totaled $5.6 million and $4.2 million (including $2.3 million and $0.7 million, respectively, of Credit Facility amendment expenses), general and administrative expenses totaled $2.0 million and $1.8 million and excise taxes were $0.4 million and $0.5 million, respectively. The decrease in expenses over the prior year was primarily due to a reduction in the accrual of incentive fees offset by increased Credit Facility amendment costs.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Net investment income totaled $3.6 million and $5.3 million, or $0.18 and $0.36 per share, for the three months ended September 30, 2015 and 2014, respectively. Core net investment income, a non-GAAP financial measure, totaled $5.2 million and $4.8 million, or $0.26 and $0.32 per share, for the three months ended September 30, 2014 and 2013, respectively.</w:t>
      </w:r>
    </w:p>
    <w:p>
      <w:pPr>
        <w:spacing w:after="0" w:line="134"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Net investment income totaled $17.7 million and $16.6 million, or $1.08 and $1.12 per share, for the fiscal years ended September 30, 2015 and 2014, respectively. Core net investment income, a non-GAAP financial measure, totaled $19.2 million and $17.4 million, or $1.18 and $1.17 per share, for the same periods. The decrease in net investment income per share was due to issuance of new shares.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Sales and repayments of investments for the three months ended September 30, 2015 and 2014 totaled $48.9 million and $78.8 million, respectively. Net realized (losses) gains totaled less than $(0.1) million and $1.1 million for the same periods, respectively.</w:t>
      </w:r>
    </w:p>
    <w:p>
      <w:pPr>
        <w:spacing w:after="0" w:line="186" w:lineRule="exact"/>
        <w:rPr>
          <w:sz w:val="20"/>
          <w:szCs w:val="20"/>
          <w:color w:val="auto"/>
        </w:rPr>
      </w:pPr>
    </w:p>
    <w:p>
      <w:pPr>
        <w:ind w:right="200"/>
        <w:spacing w:after="0" w:line="257" w:lineRule="auto"/>
        <w:rPr>
          <w:sz w:val="20"/>
          <w:szCs w:val="20"/>
          <w:color w:val="auto"/>
        </w:rPr>
      </w:pPr>
      <w:r>
        <w:rPr>
          <w:rFonts w:ascii="Arial" w:cs="Arial" w:eastAsia="Arial" w:hAnsi="Arial"/>
          <w:sz w:val="21"/>
          <w:szCs w:val="21"/>
          <w:color w:val="auto"/>
        </w:rPr>
        <w:t>Sales and repayments of investments for the fiscal years ended September 30, 2015 and 2014 totaled $195.0 million and $225.6 million, respectively, and net realized gains totaled $0.4 million and $2.9 million, respectively. The decrease in realized gains over the prior year was driven by changes in market conditions of our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ectPr>
          <w:pgSz w:w="11900" w:h="16838" w:orient="portrait"/>
          <w:cols w:equalWidth="0" w:num="1">
            <w:col w:w="11240"/>
          </w:cols>
          <w:pgMar w:left="320" w:top="118" w:right="339" w:bottom="0" w:gutter="0" w:footer="0" w:header="0"/>
        </w:sectPr>
      </w:pPr>
    </w:p>
    <w:bookmarkStart w:id="4" w:name="page5"/>
    <w:bookmarkEnd w:id="4"/>
    <w:p>
      <w:pPr>
        <w:spacing w:after="0" w:line="3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For the three months ended September 30, 2015 and 2014, we reported unrealized depreciation on investments of $2.7 million and $3.6 million, respectively. Net change in unrealized appreciation on our Credit Facility totaled $0.3 million and $0.5 million, respectively, for the same periods.</w:t>
      </w:r>
    </w:p>
    <w:p>
      <w:pPr>
        <w:spacing w:after="0" w:line="187" w:lineRule="exact"/>
        <w:rPr>
          <w:sz w:val="20"/>
          <w:szCs w:val="20"/>
          <w:color w:val="auto"/>
        </w:rPr>
      </w:pPr>
    </w:p>
    <w:p>
      <w:pPr>
        <w:jc w:val="both"/>
        <w:ind w:right="180"/>
        <w:spacing w:after="0" w:line="282" w:lineRule="auto"/>
        <w:rPr>
          <w:sz w:val="20"/>
          <w:szCs w:val="20"/>
          <w:color w:val="auto"/>
        </w:rPr>
      </w:pPr>
      <w:r>
        <w:rPr>
          <w:rFonts w:ascii="Arial" w:cs="Arial" w:eastAsia="Arial" w:hAnsi="Arial"/>
          <w:sz w:val="19"/>
          <w:szCs w:val="19"/>
          <w:color w:val="auto"/>
        </w:rPr>
        <w:t>For the fiscal years ended September 30, 2015 and 2014, we reported unrealized (depreciation) appreciation on investments of $(6.1) million and $1.6 million, respectively. As of September 30, 2015 and 2014, net unrealized (depreciation) appreciation on investments totaled $(6.0) million and $0.1 million, respectively. The net change in unrealized appreciation on our investments was driven primarily by changes in the capital market conditions, financial performance of certain portfolio companies, and the reversal of unrealized depreciation (appreciation) of investments liquidated.</w:t>
      </w:r>
    </w:p>
    <w:p>
      <w:pPr>
        <w:spacing w:after="0" w:line="147"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For the fiscal years ended September 30, 2015 and 2014, our Credit Facility had a change in unrealized depreciation (appreciation) of $0.5 million and $(0.5) million, respectively. As of September 30, 2015 and 2014, net unrealized appreciation on our Credit Facility totaled zero and $0.5 million, respectively. The change compared to prior year was due to changes in the capital markets.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Net change in net assets resulting from operations totaled $1.2 million and $2.3 million, or $0.06 and $0.15 per share, for the three months ended September 30, 2015 and 2014, respectively.</w:t>
      </w:r>
    </w:p>
    <w:p>
      <w:pPr>
        <w:spacing w:after="0" w:line="175"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Net change in net assets resulting from operations totaled $12.5 million and $20.5 million, or $0.77 and $1.38 per share, for the fiscal years ended September 30, 2015 and 2014, respectively. The decrease in the net change in net assets from operations compared to the prior year reflects the change in portfolio investment valuation during the reporting period.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As of September 30, 2015 and 2014, we had $29.6 million and $146.4 million of outstanding borrowings under the Credit Facility, respectively. The Credit Facility has an interest rate of 2.20% and 2.16%, respectively, excluding the undrawn commitment fees as of September 30, 2015 and 2014. The annualized weighted average cost of debt for the fiscal years ended September 30, 2015 and 2014, inclusive of the fee on the undrawn commitment on the Credit Facility but excluding amendment costs, was 2.63% and 2.35%, respectively.</w:t>
      </w:r>
    </w:p>
    <w:p>
      <w:pPr>
        <w:spacing w:after="0" w:line="187"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As of September 30, 2015 and 2014, we had $260.4 million and $53.6 million of unused borrowing capacity under our Credit Facility, respectively, subject to the regulatory restrictions that the 1940 Act imposes on us as a business development company.</w:t>
      </w:r>
    </w:p>
    <w:p>
      <w:pPr>
        <w:spacing w:after="0" w:line="105" w:lineRule="exact"/>
        <w:rPr>
          <w:sz w:val="20"/>
          <w:szCs w:val="20"/>
          <w:color w:val="auto"/>
        </w:rPr>
      </w:pPr>
    </w:p>
    <w:p>
      <w:pPr>
        <w:jc w:val="both"/>
        <w:ind w:right="600"/>
        <w:spacing w:after="0"/>
        <w:rPr>
          <w:sz w:val="20"/>
          <w:szCs w:val="20"/>
          <w:color w:val="auto"/>
        </w:rPr>
      </w:pPr>
      <w:r>
        <w:rPr>
          <w:rFonts w:ascii="Arial" w:cs="Arial" w:eastAsia="Arial" w:hAnsi="Arial"/>
          <w:sz w:val="22"/>
          <w:szCs w:val="22"/>
          <w:color w:val="auto"/>
        </w:rPr>
        <w:t>On September 30, 2015 and 2014, we had cash equivalents of $21.4 million and $13.1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220"/>
        <w:spacing w:after="0" w:line="257" w:lineRule="auto"/>
        <w:rPr>
          <w:sz w:val="20"/>
          <w:szCs w:val="20"/>
          <w:color w:val="auto"/>
        </w:rPr>
      </w:pPr>
      <w:r>
        <w:rPr>
          <w:rFonts w:ascii="Arial" w:cs="Arial" w:eastAsia="Arial" w:hAnsi="Arial"/>
          <w:sz w:val="21"/>
          <w:szCs w:val="21"/>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our merger with MCG Capital Corporation.</w:t>
      </w:r>
    </w:p>
    <w:p>
      <w:pPr>
        <w:spacing w:after="0" w:line="16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On October 15, 2015, the Company increased the size of its Credit Facility from $290 million to $350 million. All other terms remain unchanged.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During the three months ended September 30, 2015 and 2014, we declared distributions of $0.285 and $0.270 per share, respectively, for total distributions of $6.5 million and $4.0 million, respectively. During the years ended September 30, 2015 and 2014, we declared distributions of $1.12 and $1.08 per share, respectively, for total distributions of $18.9 million and $16.1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ectPr>
          <w:pgSz w:w="11900" w:h="16874" w:orient="portrait"/>
          <w:cols w:equalWidth="0" w:num="1">
            <w:col w:w="11200"/>
          </w:cols>
          <w:pgMar w:left="320" w:top="118" w:right="379" w:bottom="0" w:gutter="0" w:footer="0" w:header="0"/>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its website at www.pennantpark.com.</w:t>
      </w:r>
    </w:p>
    <w:p>
      <w:pPr>
        <w:spacing w:after="0" w:line="394"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8"/>
          <w:szCs w:val="18"/>
          <w:color w:val="auto"/>
        </w:rPr>
        <w:t>PENNANTPARK FLOATING RATE CAPITAL LTD. AND SUBSIDIARIES</w:t>
      </w:r>
    </w:p>
    <w:p>
      <w:pPr>
        <w:jc w:val="center"/>
        <w:ind w:right="30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September 30,</w:t>
            </w:r>
          </w:p>
        </w:tc>
        <w:tc>
          <w:tcPr>
            <w:tcW w:w="1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c>
          <w:tcPr>
            <w:tcW w:w="26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non-affiliated investments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$394,561,175 and $348,354,295,</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$ 388,535,383</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$ 348,428,492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Controlled, affiliated investments (cost -</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$2,777,132)</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2,776,507</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 - $397,338,307</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$348,354,295, respectively)</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391,311,890</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348,428,492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21,428,514</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13,113,817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1,959,404</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1,773,870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9,001,938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1,420,529</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556,359</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416,120,337</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372,874,476</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2,539,357</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1,340,825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9,367,500</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3,162,000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2,705,882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 - $29,600,000</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$146,400,000, respectively)</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29,600,000</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146,949,000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224,633</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284,906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956,115</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914,978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2,936</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2,180,604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539,347</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808,571</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43,229,888</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158,346,766</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26,730,074 and 14,898,056</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Par value $0.001 per share and 100,000,000</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26,730</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14,898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371,502,801</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207,226,615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6,991,473</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4,878,091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net realized gain on investments</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395,862</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2,882,909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investments</w:t>
            </w:r>
          </w:p>
        </w:tc>
        <w:tc>
          <w:tcPr>
            <w:tcW w:w="26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(6,026,417)</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74,197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 on Credit</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(549,000)</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$ 372,890,449</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$ 214,527,710</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$ 416,120,337</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$ 372,874,476</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13.95</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7"/>
        </w:trPr>
        <w:tc>
          <w:tcPr>
            <w:tcW w:w="8020" w:type="dxa"/>
            <w:vAlign w:val="bottom"/>
            <w:gridSpan w:val="5"/>
          </w:tcPr>
          <w:p>
            <w:pPr>
              <w:ind w:left="1160"/>
              <w:spacing w:after="0"/>
              <w:rPr>
                <w:sz w:val="20"/>
                <w:szCs w:val="20"/>
                <w:color w:val="auto"/>
              </w:rPr>
            </w:pPr>
            <w:r>
              <w:rPr>
                <w:rFonts w:ascii="Courier New" w:cs="Courier New" w:eastAsia="Courier New" w:hAnsi="Courier New"/>
                <w:sz w:val="18"/>
                <w:szCs w:val="18"/>
                <w:color w:val="auto"/>
              </w:rPr>
              <w:t>PENNANTPARK FLOATING RATE CAPITAL LTD. AND SUBSIDIARIES</w:t>
            </w:r>
          </w:p>
        </w:tc>
      </w:tr>
      <w:tr>
        <w:trPr>
          <w:trHeight w:val="203"/>
        </w:trPr>
        <w:tc>
          <w:tcPr>
            <w:tcW w:w="6440" w:type="dxa"/>
            <w:vAlign w:val="bottom"/>
            <w:gridSpan w:val="3"/>
          </w:tcPr>
          <w:p>
            <w:pPr>
              <w:ind w:left="2120"/>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9"/>
              </w:rPr>
              <w:t>Years Ended September 30,</w:t>
            </w:r>
          </w:p>
        </w:tc>
      </w:tr>
      <w:tr>
        <w:trPr>
          <w:trHeight w:val="203"/>
        </w:trPr>
        <w:tc>
          <w:tcPr>
            <w:tcW w:w="4740" w:type="dxa"/>
            <w:vAlign w:val="bottom"/>
          </w:tcPr>
          <w:p>
            <w:pPr>
              <w:spacing w:after="0"/>
              <w:rPr>
                <w:sz w:val="17"/>
                <w:szCs w:val="17"/>
                <w:color w:val="auto"/>
              </w:rPr>
            </w:pPr>
          </w:p>
        </w:tc>
        <w:tc>
          <w:tcPr>
            <w:tcW w:w="32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c>
          <w:tcPr>
            <w:tcW w:w="26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29,203,963</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29,256,441</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1,151,336</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1,100,391</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30,355,299</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30,356,832</w:t>
            </w:r>
          </w:p>
        </w:tc>
      </w:tr>
      <w:tr>
        <w:trPr>
          <w:trHeight w:val="202"/>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26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3,572,614</w:t>
            </w:r>
          </w:p>
        </w:tc>
        <w:tc>
          <w:tcPr>
            <w:tcW w:w="2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3,702,826</w:t>
            </w:r>
          </w:p>
        </w:tc>
      </w:tr>
    </w:tbl>
    <w:p>
      <w:pPr>
        <w:sectPr>
          <w:pgSz w:w="11900" w:h="16838" w:orient="portrait"/>
          <w:cols w:equalWidth="0" w:num="1">
            <w:col w:w="11200"/>
          </w:cols>
          <w:pgMar w:left="320" w:top="118" w:right="3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Performance-based incentive fee</w:t>
            </w:r>
          </w:p>
        </w:tc>
        <w:tc>
          <w:tcPr>
            <w:tcW w:w="32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1,114,972</w:t>
            </w:r>
          </w:p>
        </w:tc>
        <w:tc>
          <w:tcPr>
            <w:tcW w:w="300" w:type="dxa"/>
            <w:vAlign w:val="bottom"/>
          </w:tcPr>
          <w:p>
            <w:pPr>
              <w:spacing w:after="0"/>
              <w:rPr>
                <w:sz w:val="17"/>
                <w:szCs w:val="17"/>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3,464,344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the Credit</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3,251,761</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3,471,347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837,708</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879,000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1,176,769</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1,011,285</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excise tax and amendment</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9,953,824</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12,528,802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440,000</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479,425</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2,301,478</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712,930</w:t>
            </w:r>
          </w:p>
        </w:tc>
      </w:tr>
      <w:tr>
        <w:trPr>
          <w:trHeight w:val="202"/>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12,695,302</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13,721,157</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17,659,997</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16,635,675</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gain on</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395,862</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2,873,525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non-affiliated investments</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(6,100,614)</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1,553,771</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depreciation</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549,000</w:t>
            </w:r>
          </w:p>
        </w:tc>
        <w:tc>
          <w:tcPr>
            <w:tcW w:w="3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(549,000)</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 investments and Credit</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(5,551,614)</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1,004,771</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realized and unrealized (loss) gain from</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(5,155,752)</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3,878,296</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12,504,245</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20,513,971</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0.77</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86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2020-05-05T12:04:53Z</dcterms:created>
  <dcterms:modified xsi:type="dcterms:W3CDTF">2020-05-05T12:04:53Z</dcterms:modified>
</cp:coreProperties>
</file>