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396"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Date of Report: July 1, 2011</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61"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8"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Maryland</w:t>
            </w: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814-00891</w:t>
            </w:r>
          </w:p>
        </w:tc>
        <w:tc>
          <w:tcPr>
            <w:tcW w:w="2180" w:type="dxa"/>
            <w:vAlign w:val="bottom"/>
          </w:tcPr>
          <w:p>
            <w:pPr>
              <w:jc w:val="right"/>
              <w:ind w:right="330"/>
              <w:spacing w:after="0"/>
              <w:rPr>
                <w:sz w:val="20"/>
                <w:szCs w:val="20"/>
                <w:color w:val="auto"/>
              </w:rPr>
            </w:pPr>
            <w:r>
              <w:rPr>
                <w:rFonts w:ascii="Arial" w:cs="Arial" w:eastAsia="Arial" w:hAnsi="Arial"/>
                <w:sz w:val="18"/>
                <w:szCs w:val="18"/>
                <w:b w:val="1"/>
                <w:bCs w:val="1"/>
                <w:color w:val="auto"/>
              </w:rPr>
              <w:t>27-3794690</w:t>
            </w:r>
          </w:p>
        </w:tc>
      </w:tr>
      <w:tr>
        <w:trPr>
          <w:trHeight w:val="216"/>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19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1"/>
              </w:rPr>
              <w:t>Number)</w:t>
            </w:r>
          </w:p>
        </w:tc>
        <w:tc>
          <w:tcPr>
            <w:tcW w:w="2180" w:type="dxa"/>
            <w:vAlign w:val="bottom"/>
          </w:tcPr>
          <w:p>
            <w:pPr>
              <w:jc w:val="center"/>
              <w:ind w:left="430"/>
              <w:spacing w:after="0"/>
              <w:rPr>
                <w:sz w:val="20"/>
                <w:szCs w:val="20"/>
                <w:color w:val="auto"/>
              </w:rPr>
            </w:pPr>
            <w:r>
              <w:rPr>
                <w:rFonts w:ascii="Arial" w:cs="Arial" w:eastAsia="Arial" w:hAnsi="Arial"/>
                <w:sz w:val="18"/>
                <w:szCs w:val="18"/>
                <w:color w:val="auto"/>
                <w:w w:val="94"/>
              </w:rPr>
              <w:t>Identification Number)</w:t>
            </w:r>
          </w:p>
        </w:tc>
      </w:tr>
      <w:tr>
        <w:trPr>
          <w:trHeight w:val="805"/>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590 Madison Avenue, 15th Floor, New</w:t>
            </w: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0"/>
        </w:trPr>
        <w:tc>
          <w:tcPr>
            <w:tcW w:w="30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York, NY</w:t>
            </w:r>
          </w:p>
        </w:tc>
        <w:tc>
          <w:tcPr>
            <w:tcW w:w="198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30"/>
        </w:trPr>
        <w:tc>
          <w:tcPr>
            <w:tcW w:w="306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r>
        <w:trPr>
          <w:trHeight w:val="621"/>
        </w:trPr>
        <w:tc>
          <w:tcPr>
            <w:tcW w:w="3060" w:type="dxa"/>
            <w:vAlign w:val="bottom"/>
          </w:tcPr>
          <w:p>
            <w:pPr>
              <w:spacing w:after="0"/>
              <w:rPr>
                <w:sz w:val="24"/>
                <w:szCs w:val="24"/>
                <w:color w:val="auto"/>
              </w:rPr>
            </w:pPr>
          </w:p>
        </w:tc>
        <w:tc>
          <w:tcPr>
            <w:tcW w:w="1980" w:type="dxa"/>
            <w:vAlign w:val="bottom"/>
          </w:tcPr>
          <w:p>
            <w:pPr>
              <w:ind w:left="400"/>
              <w:spacing w:after="0"/>
              <w:rPr>
                <w:sz w:val="20"/>
                <w:szCs w:val="20"/>
                <w:color w:val="auto"/>
              </w:rPr>
            </w:pPr>
            <w:r>
              <w:rPr>
                <w:rFonts w:ascii="Arial" w:cs="Arial" w:eastAsia="Arial" w:hAnsi="Arial"/>
                <w:sz w:val="18"/>
                <w:szCs w:val="18"/>
                <w:b w:val="1"/>
                <w:bCs w:val="1"/>
                <w:color w:val="auto"/>
              </w:rPr>
              <w:t>212-905-1000</w:t>
            </w:r>
          </w:p>
        </w:tc>
        <w:tc>
          <w:tcPr>
            <w:tcW w:w="2180" w:type="dxa"/>
            <w:vAlign w:val="bottom"/>
          </w:tcPr>
          <w:p>
            <w:pPr>
              <w:spacing w:after="0"/>
              <w:rPr>
                <w:sz w:val="24"/>
                <w:szCs w:val="24"/>
                <w:color w:val="auto"/>
              </w:rPr>
            </w:pPr>
          </w:p>
        </w:tc>
      </w:tr>
    </w:tbl>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98"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ectPr>
          <w:pgSz w:w="11900" w:h="16838" w:orient="portrait"/>
          <w:cols w:equalWidth="0" w:num="1">
            <w:col w:w="10560"/>
          </w:cols>
          <w:pgMar w:left="320" w:top="1066" w:right="1019" w:bottom="1440" w:gutter="0" w:footer="0" w:header="0"/>
        </w:sectPr>
      </w:pPr>
    </w:p>
    <w:bookmarkStart w:id="1" w:name="page2"/>
    <w:bookmarkEnd w:id="1"/>
    <w:p>
      <w:pPr>
        <w:ind w:left="5"/>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5"/>
        <w:spacing w:after="0" w:line="308" w:lineRule="auto"/>
        <w:rPr>
          <w:sz w:val="20"/>
          <w:szCs w:val="20"/>
          <w:color w:val="auto"/>
        </w:rPr>
      </w:pPr>
      <w:r>
        <w:rPr>
          <w:rFonts w:ascii="Arial" w:cs="Arial" w:eastAsia="Arial" w:hAnsi="Arial"/>
          <w:sz w:val="17"/>
          <w:szCs w:val="17"/>
          <w:color w:val="auto"/>
        </w:rPr>
        <w:t>On July 1, 2011, PennantPark Floating Rate Capital Ltd. issued a press release announcing its scheduled earnings release for the third fiscal quarter ended June 30, 2011. A copy of the press release is furnished as Exhibit 99.1 to this report, pursuant to Item 7.01 and Regulation FD.</w:t>
      </w:r>
    </w:p>
    <w:p>
      <w:pPr>
        <w:spacing w:after="0" w:line="362" w:lineRule="exact"/>
        <w:rPr>
          <w:sz w:val="20"/>
          <w:szCs w:val="20"/>
          <w:color w:val="auto"/>
        </w:rPr>
      </w:pPr>
    </w:p>
    <w:p>
      <w:pPr>
        <w:ind w:left="5" w:right="180"/>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38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585" w:right="9180" w:hanging="585"/>
        <w:spacing w:after="0" w:line="293" w:lineRule="auto"/>
        <w:tabs>
          <w:tab w:leader="none" w:pos="25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585" w:right="8240" w:hanging="540"/>
        <w:spacing w:after="0" w:line="250" w:lineRule="auto"/>
        <w:tabs>
          <w:tab w:leader="none" w:pos="31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585" w:right="8620" w:hanging="540"/>
        <w:spacing w:after="0" w:line="250" w:lineRule="auto"/>
        <w:tabs>
          <w:tab w:leader="none" w:pos="29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05" w:hanging="260"/>
        <w:spacing w:after="0"/>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585"/>
        <w:spacing w:after="0"/>
        <w:tabs>
          <w:tab w:leader="none" w:pos="1145"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Press Release of PennantPark Floating Rate Capital Ltd. dated July 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4"/>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5" w:right="54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6280" w:type="dxa"/>
            <w:vAlign w:val="bottom"/>
            <w:gridSpan w:val="3"/>
          </w:tcPr>
          <w:p>
            <w:pPr>
              <w:ind w:left="2120"/>
              <w:spacing w:after="0"/>
              <w:rPr>
                <w:sz w:val="20"/>
                <w:szCs w:val="20"/>
                <w:color w:val="auto"/>
              </w:rPr>
            </w:pPr>
            <w:r>
              <w:rPr>
                <w:rFonts w:ascii="Arial" w:cs="Arial" w:eastAsia="Arial" w:hAnsi="Arial"/>
                <w:sz w:val="18"/>
                <w:szCs w:val="18"/>
                <w:b w:val="1"/>
                <w:bCs w:val="1"/>
                <w:color w:val="auto"/>
                <w:w w:val="99"/>
              </w:rPr>
              <w:t>PENNANTPARK FLOATING RATE CAPITAL LTD.</w:t>
            </w:r>
          </w:p>
        </w:tc>
      </w:tr>
      <w:tr>
        <w:trPr>
          <w:trHeight w:val="391"/>
        </w:trPr>
        <w:tc>
          <w:tcPr>
            <w:tcW w:w="3500" w:type="dxa"/>
            <w:vAlign w:val="bottom"/>
          </w:tcPr>
          <w:p>
            <w:pPr>
              <w:spacing w:after="0"/>
              <w:rPr>
                <w:sz w:val="20"/>
                <w:szCs w:val="20"/>
                <w:color w:val="auto"/>
              </w:rPr>
            </w:pPr>
            <w:r>
              <w:rPr>
                <w:rFonts w:ascii="Arial" w:cs="Arial" w:eastAsia="Arial" w:hAnsi="Arial"/>
                <w:sz w:val="18"/>
                <w:szCs w:val="18"/>
                <w:color w:val="auto"/>
              </w:rPr>
              <w:t>Dated: July 1, 2011</w:t>
            </w:r>
          </w:p>
        </w:tc>
        <w:tc>
          <w:tcPr>
            <w:tcW w:w="6280" w:type="dxa"/>
            <w:vAlign w:val="bottom"/>
            <w:gridSpan w:val="3"/>
          </w:tcPr>
          <w:p>
            <w:pPr>
              <w:ind w:left="2120"/>
              <w:spacing w:after="0"/>
              <w:rPr>
                <w:sz w:val="20"/>
                <w:szCs w:val="20"/>
                <w:color w:val="auto"/>
              </w:rPr>
            </w:pPr>
            <w:r>
              <w:rPr>
                <w:rFonts w:ascii="Arial" w:cs="Arial" w:eastAsia="Arial" w:hAnsi="Arial"/>
                <w:sz w:val="18"/>
                <w:szCs w:val="18"/>
                <w:color w:val="auto"/>
              </w:rPr>
              <w:t>By: /s/ Aviv Efrat</w:t>
            </w:r>
          </w:p>
        </w:tc>
      </w:tr>
      <w:tr>
        <w:trPr>
          <w:trHeight w:val="20"/>
        </w:trPr>
        <w:tc>
          <w:tcPr>
            <w:tcW w:w="3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2"/>
        </w:trPr>
        <w:tc>
          <w:tcPr>
            <w:tcW w:w="3500" w:type="dxa"/>
            <w:vAlign w:val="bottom"/>
          </w:tcPr>
          <w:p>
            <w:pPr>
              <w:spacing w:after="0"/>
              <w:rPr>
                <w:sz w:val="19"/>
                <w:szCs w:val="19"/>
                <w:color w:val="auto"/>
              </w:rPr>
            </w:pPr>
          </w:p>
        </w:tc>
        <w:tc>
          <w:tcPr>
            <w:tcW w:w="6280" w:type="dxa"/>
            <w:vAlign w:val="bottom"/>
            <w:gridSpan w:val="3"/>
          </w:tcPr>
          <w:p>
            <w:pPr>
              <w:ind w:left="2380"/>
              <w:spacing w:after="0"/>
              <w:rPr>
                <w:sz w:val="20"/>
                <w:szCs w:val="20"/>
                <w:color w:val="auto"/>
              </w:rPr>
            </w:pPr>
            <w:r>
              <w:rPr>
                <w:rFonts w:ascii="Arial" w:cs="Arial" w:eastAsia="Arial" w:hAnsi="Arial"/>
                <w:sz w:val="18"/>
                <w:szCs w:val="18"/>
                <w:color w:val="auto"/>
              </w:rPr>
              <w:t>Aviv Efrat</w:t>
            </w:r>
          </w:p>
        </w:tc>
      </w:tr>
      <w:tr>
        <w:trPr>
          <w:trHeight w:val="230"/>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i w:val="1"/>
                <w:iCs w:val="1"/>
                <w:color w:val="auto"/>
              </w:rPr>
              <w:t>Chief 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345"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29"/>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47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80" w:type="dxa"/>
            <w:vAlign w:val="bottom"/>
            <w:vMerge w:val="restart"/>
          </w:tcPr>
          <w:p>
            <w:pPr>
              <w:jc w:val="right"/>
              <w:ind w:right="190"/>
              <w:spacing w:after="0"/>
              <w:rPr>
                <w:sz w:val="20"/>
                <w:szCs w:val="20"/>
                <w:color w:val="auto"/>
              </w:rPr>
            </w:pPr>
            <w:r>
              <w:rPr>
                <w:rFonts w:ascii="Arial" w:cs="Arial" w:eastAsia="Arial" w:hAnsi="Arial"/>
                <w:sz w:val="18"/>
                <w:szCs w:val="18"/>
                <w:color w:val="auto"/>
              </w:rPr>
              <w:t>99.1</w:t>
            </w:r>
          </w:p>
        </w:tc>
        <w:tc>
          <w:tcPr>
            <w:tcW w:w="7200" w:type="dxa"/>
            <w:vAlign w:val="bottom"/>
            <w:gridSpan w:val="3"/>
          </w:tcPr>
          <w:p>
            <w:pPr>
              <w:jc w:val="center"/>
              <w:ind w:left="3050"/>
              <w:spacing w:after="0"/>
              <w:rPr>
                <w:sz w:val="20"/>
                <w:szCs w:val="20"/>
                <w:color w:val="auto"/>
              </w:rPr>
            </w:pPr>
            <w:r>
              <w:rPr>
                <w:rFonts w:ascii="Arial" w:cs="Arial" w:eastAsia="Arial" w:hAnsi="Arial"/>
                <w:sz w:val="18"/>
                <w:szCs w:val="18"/>
                <w:color w:val="auto"/>
                <w:w w:val="89"/>
              </w:rPr>
              <w:t>Press Release of PennantPark Floating Rate Capital Ltd.</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7200" w:type="dxa"/>
            <w:vAlign w:val="bottom"/>
            <w:gridSpan w:val="3"/>
            <w:vMerge w:val="restart"/>
          </w:tcPr>
          <w:p>
            <w:pPr>
              <w:jc w:val="center"/>
              <w:ind w:left="3050"/>
              <w:spacing w:after="0"/>
              <w:rPr>
                <w:sz w:val="20"/>
                <w:szCs w:val="20"/>
                <w:color w:val="auto"/>
              </w:rPr>
            </w:pPr>
            <w:r>
              <w:rPr>
                <w:rFonts w:ascii="Arial" w:cs="Arial" w:eastAsia="Arial" w:hAnsi="Arial"/>
                <w:sz w:val="18"/>
                <w:szCs w:val="18"/>
                <w:color w:val="auto"/>
                <w:w w:val="89"/>
              </w:rPr>
              <w:t>Dated July 1, 2011</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85"/>
          </w:cols>
          <w:pgMar w:left="355" w:top="742" w:right="4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PennantPark Floating Rate Capital Ltd. Schedules Earnings Release of Third Quarter 2011 Results</w:t>
      </w:r>
    </w:p>
    <w:p>
      <w:pPr>
        <w:spacing w:after="0" w:line="378" w:lineRule="exact"/>
        <w:rPr>
          <w:sz w:val="20"/>
          <w:szCs w:val="20"/>
          <w:color w:val="auto"/>
        </w:rPr>
      </w:pPr>
    </w:p>
    <w:p>
      <w:pPr>
        <w:ind w:right="260"/>
        <w:spacing w:after="0" w:line="424" w:lineRule="auto"/>
        <w:rPr>
          <w:sz w:val="20"/>
          <w:szCs w:val="20"/>
          <w:color w:val="auto"/>
        </w:rPr>
      </w:pPr>
      <w:r>
        <w:rPr>
          <w:rFonts w:ascii="Arial" w:cs="Arial" w:eastAsia="Arial" w:hAnsi="Arial"/>
          <w:sz w:val="17"/>
          <w:szCs w:val="17"/>
          <w:color w:val="auto"/>
        </w:rPr>
        <w:t>NEW YORK, NY -- (Marketwire - July 1, 2011) - PennantPark Floating Rate Capital Ltd. (the "Company") (NASDAQ: PFLT) announced today that it will report its third fiscal quarter ended June 30, 2011 results on Thursday, August 4, 2011 after the close of the financial markets.</w:t>
      </w:r>
    </w:p>
    <w:p>
      <w:pPr>
        <w:spacing w:after="0" w:line="241" w:lineRule="exact"/>
        <w:rPr>
          <w:sz w:val="20"/>
          <w:szCs w:val="20"/>
          <w:color w:val="auto"/>
        </w:rPr>
      </w:pPr>
    </w:p>
    <w:p>
      <w:pPr>
        <w:ind w:right="40"/>
        <w:spacing w:after="0" w:line="366" w:lineRule="auto"/>
        <w:rPr>
          <w:sz w:val="20"/>
          <w:szCs w:val="20"/>
          <w:color w:val="auto"/>
        </w:rPr>
      </w:pPr>
      <w:r>
        <w:rPr>
          <w:rFonts w:ascii="Arial" w:cs="Arial" w:eastAsia="Arial" w:hAnsi="Arial"/>
          <w:sz w:val="18"/>
          <w:szCs w:val="18"/>
          <w:color w:val="auto"/>
        </w:rPr>
        <w:t>The Company will also host a conference call at 10:00 a.m. (Eastern Time) on Friday, August 5, 2011 to discuss the quarterly financial results. All interested parties are welcome to participate. You can access the conference call by dialing (800) 946-0708 approximately 5-10 minutes prior to the call. International callers should dial (719) 325-2138. All callers should reference PennantPark Floating Rate Capital Ltd. An archived replay of the call will be available through August 19, 2011 by calling (888) 203-1112. International callers please dial (719) 457-0820. For all phone replays, please reference conference ID #8948995.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04" w:lineRule="exact"/>
        <w:rPr>
          <w:sz w:val="20"/>
          <w:szCs w:val="20"/>
          <w:color w:val="auto"/>
        </w:rPr>
      </w:pPr>
    </w:p>
    <w:p>
      <w:pPr>
        <w:ind w:right="120"/>
        <w:spacing w:after="0" w:line="37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04" w:lineRule="exact"/>
        <w:rPr>
          <w:sz w:val="20"/>
          <w:szCs w:val="20"/>
          <w:color w:val="auto"/>
        </w:rPr>
      </w:pPr>
    </w:p>
    <w:p>
      <w:pPr>
        <w:spacing w:after="0" w:line="366"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right="95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1180"/>
      </w:cols>
      <w:pgMar w:left="320"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2020-05-05T12:10:39Z</dcterms:created>
  <dcterms:modified xsi:type="dcterms:W3CDTF">2020-05-05T12:10:39Z</dcterms:modified>
</cp:coreProperties>
</file>