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6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31750</wp:posOffset>
            </wp:positionV>
            <wp:extent cx="4029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6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CURRENT REPORT</w:t>
      </w:r>
    </w:p>
    <w:p>
      <w:pPr>
        <w:spacing w:after="0" w:line="15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Date of Report: October 21, 2024</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31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73" w:lineRule="exact"/>
        <w:rPr>
          <w:sz w:val="24"/>
          <w:szCs w:val="24"/>
          <w:color w:val="auto"/>
        </w:rPr>
      </w:pPr>
    </w:p>
    <w:tbl>
      <w:tblPr>
        <w:tblLayout w:type="fixed"/>
        <w:tblInd w:w="2300" w:type="dxa"/>
        <w:tblCellMar>
          <w:top w:w="0" w:type="dxa"/>
          <w:left w:w="0" w:type="dxa"/>
          <w:bottom w:w="0" w:type="dxa"/>
          <w:right w:w="0" w:type="dxa"/>
        </w:tblCellMar>
      </w:tblPr>
      <w:tr>
        <w:trPr>
          <w:trHeight w:val="220"/>
        </w:trPr>
        <w:tc>
          <w:tcPr>
            <w:tcW w:w="22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814-00891</w:t>
            </w:r>
          </w:p>
        </w:tc>
        <w:tc>
          <w:tcPr>
            <w:tcW w:w="2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27-3794690</w:t>
            </w:r>
          </w:p>
        </w:tc>
      </w:tr>
      <w:tr>
        <w:trPr>
          <w:trHeight w:val="216"/>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 File</w:t>
            </w: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Number)</w:t>
            </w: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200" w:lineRule="exact"/>
        <w:rPr>
          <w:sz w:val="24"/>
          <w:szCs w:val="24"/>
          <w:color w:val="auto"/>
        </w:rPr>
      </w:pPr>
    </w:p>
    <w:p>
      <w:pPr>
        <w:spacing w:after="0" w:line="372"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3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1691 Michigan Avenue</w:t>
            </w:r>
          </w:p>
        </w:tc>
        <w:tc>
          <w:tcPr>
            <w:tcW w:w="34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33139</w:t>
            </w:r>
          </w:p>
        </w:tc>
        <w:tc>
          <w:tcPr>
            <w:tcW w:w="0" w:type="dxa"/>
            <w:vAlign w:val="bottom"/>
          </w:tcPr>
          <w:p>
            <w:pPr>
              <w:spacing w:after="0"/>
              <w:rPr>
                <w:sz w:val="1"/>
                <w:szCs w:val="1"/>
                <w:color w:val="auto"/>
              </w:rPr>
            </w:pPr>
          </w:p>
        </w:tc>
      </w:tr>
      <w:tr>
        <w:trPr>
          <w:trHeight w:val="112"/>
        </w:trPr>
        <w:tc>
          <w:tcPr>
            <w:tcW w:w="308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vMerge w:val="continue"/>
          </w:tcPr>
          <w:p>
            <w:pPr>
              <w:spacing w:after="0"/>
              <w:rPr>
                <w:sz w:val="9"/>
                <w:szCs w:val="9"/>
                <w:color w:val="auto"/>
              </w:rPr>
            </w:pPr>
          </w:p>
        </w:tc>
        <w:tc>
          <w:tcPr>
            <w:tcW w:w="3420" w:type="dxa"/>
            <w:vAlign w:val="bottom"/>
            <w:vMerge w:val="restart"/>
          </w:tcPr>
          <w:p>
            <w:pPr>
              <w:jc w:val="center"/>
              <w:ind w:left="25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26"/>
        </w:trPr>
        <w:tc>
          <w:tcPr>
            <w:tcW w:w="3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80" w:type="dxa"/>
            <w:vAlign w:val="bottom"/>
            <w:vMerge w:val="continue"/>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4"/>
        </w:trPr>
        <w:tc>
          <w:tcPr>
            <w:tcW w:w="3080" w:type="dxa"/>
            <w:vAlign w:val="bottom"/>
          </w:tcPr>
          <w:p>
            <w:pPr>
              <w:spacing w:after="0"/>
              <w:rPr>
                <w:sz w:val="24"/>
                <w:szCs w:val="24"/>
                <w:color w:val="auto"/>
              </w:rPr>
            </w:pPr>
          </w:p>
        </w:tc>
        <w:tc>
          <w:tcPr>
            <w:tcW w:w="3420" w:type="dxa"/>
            <w:vAlign w:val="bottom"/>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786-297-9500</w:t>
            </w:r>
          </w:p>
        </w:tc>
        <w:tc>
          <w:tcPr>
            <w:tcW w:w="0" w:type="dxa"/>
            <w:vAlign w:val="bottom"/>
          </w:tcPr>
          <w:p>
            <w:pPr>
              <w:spacing w:after="0"/>
              <w:rPr>
                <w:sz w:val="1"/>
                <w:szCs w:val="1"/>
                <w:color w:val="auto"/>
              </w:rPr>
            </w:pPr>
          </w:p>
        </w:tc>
      </w:tr>
      <w:tr>
        <w:trPr>
          <w:trHeight w:val="234"/>
        </w:trPr>
        <w:tc>
          <w:tcPr>
            <w:tcW w:w="650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34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9" w:lineRule="exact"/>
        <w:rPr>
          <w:rFonts w:ascii="Wingdings" w:cs="Wingdings" w:eastAsia="Wingdings" w:hAnsi="Wingdings"/>
          <w:sz w:val="18"/>
          <w:szCs w:val="18"/>
          <w:b w:val="1"/>
          <w:bCs w:val="1"/>
          <w:color w:val="auto"/>
        </w:rPr>
      </w:pP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right="2980" w:firstLine="8"/>
        <w:spacing w:after="0" w:line="428" w:lineRule="auto"/>
        <w:tabs>
          <w:tab w:leader="none" w:pos="20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4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PFLT</w:t>
            </w:r>
          </w:p>
        </w:tc>
        <w:tc>
          <w:tcPr>
            <w:tcW w:w="4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1235"/>
        </w:trPr>
        <w:tc>
          <w:tcPr>
            <w:tcW w:w="41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Wingdings" w:cs="Wingdings" w:eastAsia="Wingdings" w:hAnsi="Wingdings"/>
          <w:sz w:val="18"/>
          <w:szCs w:val="18"/>
          <w:b w:val="1"/>
          <w:bCs w:val="1"/>
          <w:color w:val="auto"/>
        </w:rPr>
        <w: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Highlights and Preliminary Estimates of Results as of September 30, 2024</w:t>
      </w:r>
    </w:p>
    <w:p>
      <w:pPr>
        <w:spacing w:after="0" w:line="31" w:lineRule="exact"/>
        <w:rPr>
          <w:sz w:val="20"/>
          <w:szCs w:val="20"/>
          <w:color w:val="auto"/>
        </w:rPr>
      </w:pPr>
    </w:p>
    <w:p>
      <w:pPr>
        <w:ind w:left="20" w:right="360"/>
        <w:spacing w:after="0" w:line="260" w:lineRule="auto"/>
        <w:rPr>
          <w:sz w:val="20"/>
          <w:szCs w:val="20"/>
          <w:color w:val="auto"/>
        </w:rPr>
      </w:pPr>
      <w:r>
        <w:rPr>
          <w:rFonts w:ascii="Times New Roman" w:cs="Times New Roman" w:eastAsia="Times New Roman" w:hAnsi="Times New Roman"/>
          <w:sz w:val="18"/>
          <w:szCs w:val="18"/>
          <w:color w:val="auto"/>
        </w:rPr>
        <w:t>On October 21, 2024, PennantPark Floating Rate Capital Ltd. (the “Company”) announced certain highlights and preliminary estimates of its financial results for the quarter ended September 30, 2024.</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Highlights:</w:t>
      </w:r>
    </w:p>
    <w:p>
      <w:pPr>
        <w:spacing w:after="0" w:line="333" w:lineRule="exact"/>
        <w:rPr>
          <w:sz w:val="20"/>
          <w:szCs w:val="20"/>
          <w:color w:val="auto"/>
        </w:rPr>
      </w:pPr>
    </w:p>
    <w:p>
      <w:pPr>
        <w:jc w:val="both"/>
        <w:ind w:left="980" w:hanging="518"/>
        <w:spacing w:after="0" w:line="25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PennantPark CLO I, Ltd, a wholly-owned and consolidated subsidiary of the Company, closed the refinancing and upsize of a four-year reinvestment period, twelve-year final maturity $351.0 million debt securitization, of which the Company retained $85.0 million. The weighted average spread of 1.89% is a meaningful decrease of 50 basis points from the prior level of 2.39% spread. The main contributor to this decrease was a favorable market environment in which the AAA portion of the structure priced at an attractive weighted average spread of 1.75%. In connection with the refinancing, the Company expensed $2.1 million of financing fees and expenses and realized a loss of $0.4 million related to the write-off of unamortized deferred financing costs.</w:t>
      </w:r>
    </w:p>
    <w:p>
      <w:pPr>
        <w:spacing w:after="0" w:line="79" w:lineRule="exact"/>
        <w:rPr>
          <w:rFonts w:ascii="Times New Roman" w:cs="Times New Roman" w:eastAsia="Times New Roman" w:hAnsi="Times New Roman"/>
          <w:sz w:val="18"/>
          <w:szCs w:val="18"/>
          <w:color w:val="auto"/>
        </w:rPr>
      </w:pPr>
    </w:p>
    <w:p>
      <w:pPr>
        <w:jc w:val="both"/>
        <w:ind w:left="980" w:hanging="518"/>
        <w:spacing w:after="0" w:line="25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PennantPark Floating Rate Funding I, LLC, a wholly-owned subsidiary of the Company, closed an amendment and extension of its multi-currency senior secured revolving credit facility with Truist Bank and other lenders (the “Credit Facility”). Among other things, the amendment increased lender commitments to $636 million from $611 million, decreased our borrowing cost to SOFR + 2.25%, down from SOFR + 2.36% and extended the revolving period to August 12, 2027 from August 12, 2024. In connection with the refinancing, the Company expensed $6.4 million financing fees and expenses.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Preliminary estimates:</w:t>
      </w:r>
    </w:p>
    <w:p>
      <w:pPr>
        <w:spacing w:after="0" w:line="333" w:lineRule="exact"/>
        <w:rPr>
          <w:sz w:val="20"/>
          <w:szCs w:val="20"/>
          <w:color w:val="auto"/>
        </w:rPr>
      </w:pPr>
    </w:p>
    <w:p>
      <w:pPr>
        <w:jc w:val="both"/>
        <w:ind w:left="980" w:hanging="518"/>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estimated to be between $11.28 and $11.33 per common share at September 30, 2024. This compares to a net asset value per common share of $11.34 at June 30, 2024. The decrease in net asset value per share was attributable to approximately $0.08 per share of one-time non-recurring expenses related to the Company’s debt refinancing noted above.</w:t>
      </w:r>
    </w:p>
    <w:p>
      <w:pPr>
        <w:spacing w:after="0" w:line="67" w:lineRule="exact"/>
        <w:rPr>
          <w:rFonts w:ascii="Times New Roman" w:cs="Times New Roman" w:eastAsia="Times New Roman" w:hAnsi="Times New Roman"/>
          <w:sz w:val="18"/>
          <w:szCs w:val="18"/>
          <w:color w:val="auto"/>
        </w:rPr>
      </w:pPr>
    </w:p>
    <w:p>
      <w:pPr>
        <w:jc w:val="both"/>
        <w:ind w:left="980" w:hanging="518"/>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is estimated to be between $0.23 and $0.25 per common share for the quarter ended September 30, 2024 and includes approximately $0.08 per common share of one-time non-recurring expenses related to the Company’s debt refinancings noted above, net of the impact on incentive fees. This compares to net investment income of $0.31 per common share for the quarter ended June 30, 2024.</w:t>
      </w:r>
    </w:p>
    <w:p>
      <w:pPr>
        <w:spacing w:after="0" w:line="67" w:lineRule="exact"/>
        <w:rPr>
          <w:rFonts w:ascii="Times New Roman" w:cs="Times New Roman" w:eastAsia="Times New Roman" w:hAnsi="Times New Roman"/>
          <w:sz w:val="18"/>
          <w:szCs w:val="18"/>
          <w:color w:val="auto"/>
        </w:rPr>
      </w:pPr>
    </w:p>
    <w:p>
      <w:pPr>
        <w:jc w:val="both"/>
        <w:ind w:left="980" w:hanging="518"/>
        <w:spacing w:after="0" w:line="23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net investment income is estimated to be between $0.31 and $0.33 per common share for the quarter ended September 30, 2024 and excludes approximately $0.08 per common share of one-time non-recurring expenses related to the Company’s debt refinancings noted above, net of the impact on incentive fees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This compares to core net investment income of $0.31 per common share for the quarter ended June 30, 2024.</w:t>
      </w:r>
    </w:p>
    <w:p>
      <w:pPr>
        <w:spacing w:after="0" w:line="90" w:lineRule="exact"/>
        <w:rPr>
          <w:rFonts w:ascii="Times New Roman" w:cs="Times New Roman" w:eastAsia="Times New Roman" w:hAnsi="Times New Roman"/>
          <w:sz w:val="18"/>
          <w:szCs w:val="18"/>
          <w:color w:val="auto"/>
        </w:rPr>
      </w:pPr>
    </w:p>
    <w:p>
      <w:pPr>
        <w:ind w:left="980" w:hanging="51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portfolio at fair value was $1.98 billion, compared to $1.66 billion as of June 30, 2024.</w:t>
      </w:r>
    </w:p>
    <w:p>
      <w:pPr>
        <w:spacing w:after="0" w:line="117" w:lineRule="exact"/>
        <w:rPr>
          <w:rFonts w:ascii="Times New Roman" w:cs="Times New Roman" w:eastAsia="Times New Roman" w:hAnsi="Times New Roman"/>
          <w:sz w:val="18"/>
          <w:szCs w:val="18"/>
          <w:color w:val="auto"/>
        </w:rPr>
      </w:pPr>
    </w:p>
    <w:p>
      <w:pPr>
        <w:ind w:left="980" w:hanging="518"/>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2024, there were two loans on non-accrual representing 0.4% of the portfolio at cost and 0.2% at fair market value versus three loans on non-accrual at June 30, 2024 representing 1.5% of the portfolio at cost and 1.1% at fair market value.</w:t>
      </w:r>
    </w:p>
    <w:p>
      <w:pPr>
        <w:spacing w:after="0" w:line="53" w:lineRule="exact"/>
        <w:rPr>
          <w:rFonts w:ascii="Times New Roman" w:cs="Times New Roman" w:eastAsia="Times New Roman" w:hAnsi="Times New Roman"/>
          <w:sz w:val="18"/>
          <w:szCs w:val="18"/>
          <w:color w:val="auto"/>
        </w:rPr>
      </w:pPr>
    </w:p>
    <w:p>
      <w:pPr>
        <w:jc w:val="both"/>
        <w:ind w:left="980" w:hanging="518"/>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the Company had approximately $1.2 billion of total debt consisting of, $443.9 million of borrowings outstanding at cost under the Company’s Credit Facility, $185.0 million in aggregate principal amount of 4.25% Notes due 2026 outstanding, $266.0 million in aggregate principal amount of asset-backed debt consisting of various notes due in July 2036, and $287.0 million in aggregate principal amount of asset-backed debt consisting of various notes due in April 2036.</w:t>
      </w:r>
    </w:p>
    <w:p>
      <w:pPr>
        <w:spacing w:after="0" w:line="71" w:lineRule="exact"/>
        <w:rPr>
          <w:rFonts w:ascii="Times New Roman" w:cs="Times New Roman" w:eastAsia="Times New Roman" w:hAnsi="Times New Roman"/>
          <w:sz w:val="18"/>
          <w:szCs w:val="18"/>
          <w:color w:val="auto"/>
        </w:rPr>
      </w:pPr>
    </w:p>
    <w:p>
      <w:pPr>
        <w:ind w:left="980" w:hanging="518"/>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2024, we had approximately $112.1 million in cash and approximately $192.1 million in unused capacity under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ind w:right="220"/>
        <w:spacing w:after="0" w:line="258" w:lineRule="auto"/>
        <w:rPr>
          <w:sz w:val="20"/>
          <w:szCs w:val="20"/>
          <w:color w:val="auto"/>
        </w:rPr>
      </w:pPr>
      <w:r>
        <w:rPr>
          <w:rFonts w:ascii="Times New Roman" w:cs="Times New Roman" w:eastAsia="Times New Roman" w:hAnsi="Times New Roman"/>
          <w:sz w:val="18"/>
          <w:szCs w:val="18"/>
          <w:color w:val="auto"/>
        </w:rPr>
        <w:t>These estimates are subject to the completion of the Company’s financial closing procedures and are not a comprehensive statement of the Company’s financial position, results of operations or cash flows for the quarter ended September 30, 2024. Final results may differ materially from these estimates as a result of the completion of the Company’s financial closing procedures, as well as any subsequent events, including the discovery of information affecting fair values of the Company’s portfolio investments as of September 30, 2024, arising between the date hereof and the completion of the Company’s financial statements and the filing of the Company’s Form 10-K for the year then ended.</w:t>
      </w:r>
    </w:p>
    <w:p>
      <w:pPr>
        <w:spacing w:after="0" w:line="1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preliminary financial estimates provided herein have been prepared by, and are the responsibility of the Company’s management. RSM US LLP, the Company’s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Supplemental information regarding core net investment income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September 30, 2024 Core NII excluded: i) $6.4 million or $0.09 per share of financing costs that were expensed in connection with the amendment and extension of the Credit Facility on August 8, 2024; ii) $2.1 million or $0.03 per share of financing costs that were expensed in connection with the refinancing and upsizing of CLO I debt securitization on July 26, 2024; and iii) an add back of $2.8 million or $0.04 per share of incentive fee expense.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2.02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557530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right="60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October 21, 2024</w:t>
      </w:r>
      <w:r>
        <w:rPr>
          <w:sz w:val="20"/>
          <w:szCs w:val="20"/>
          <w:color w:val="auto"/>
        </w:rPr>
        <w:tab/>
      </w:r>
      <w:r>
        <w:rPr>
          <w:rFonts w:ascii="Times New Roman" w:cs="Times New Roman" w:eastAsia="Times New Roman" w:hAnsi="Times New Roman"/>
          <w:sz w:val="17"/>
          <w:szCs w:val="17"/>
          <w:b w:val="1"/>
          <w:bCs w:val="1"/>
          <w:color w:val="auto"/>
        </w:rPr>
        <w:t>PENNANTPARK FLOATING RATE CAPITAL LTD.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T. Allorto, Jr.</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962025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201" w:right="4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2024-10-21T15:48:26Z</dcterms:created>
  <dcterms:modified xsi:type="dcterms:W3CDTF">2024-10-21T15:48:26Z</dcterms:modified>
</cp:coreProperties>
</file>