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09, 2017</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53"/>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95"/>
              </w:rPr>
              <w:t>Maryland</w:t>
            </w:r>
          </w:p>
        </w:tc>
        <w:tc>
          <w:tcPr>
            <w:tcW w:w="278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(State or other jurisdiction</w:t>
            </w:r>
          </w:p>
        </w:tc>
        <w:tc>
          <w:tcPr>
            <w:tcW w:w="278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3880" w:type="dxa"/>
            <w:vAlign w:val="bottom"/>
          </w:tcPr>
          <w:p>
            <w:pPr>
              <w:jc w:val="center"/>
              <w:ind w:right="332"/>
              <w:spacing w:after="0"/>
              <w:rPr>
                <w:sz w:val="20"/>
                <w:szCs w:val="20"/>
                <w:color w:val="auto"/>
              </w:rPr>
            </w:pPr>
            <w:r>
              <w:rPr>
                <w:rFonts w:ascii="Arial" w:cs="Arial" w:eastAsia="Arial" w:hAnsi="Arial"/>
                <w:sz w:val="22"/>
                <w:szCs w:val="22"/>
                <w:color w:val="auto"/>
                <w:w w:val="93"/>
              </w:rPr>
              <w:t>of incorporation)</w:t>
            </w:r>
          </w:p>
        </w:tc>
        <w:tc>
          <w:tcPr>
            <w:tcW w:w="2780" w:type="dxa"/>
            <w:vAlign w:val="bottom"/>
          </w:tcPr>
          <w:p>
            <w:pPr>
              <w:jc w:val="center"/>
              <w:ind w:right="25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590 Madison Avenue, 15th Floor</w:t>
            </w:r>
          </w:p>
        </w:tc>
        <w:tc>
          <w:tcPr>
            <w:tcW w:w="278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3880" w:type="dxa"/>
            <w:vAlign w:val="bottom"/>
          </w:tcPr>
          <w:p>
            <w:pPr>
              <w:jc w:val="center"/>
              <w:ind w:right="352"/>
              <w:spacing w:after="0"/>
              <w:rPr>
                <w:sz w:val="20"/>
                <w:szCs w:val="20"/>
                <w:color w:val="auto"/>
              </w:rPr>
            </w:pPr>
            <w:r>
              <w:rPr>
                <w:rFonts w:ascii="Arial" w:cs="Arial" w:eastAsia="Arial" w:hAnsi="Arial"/>
                <w:sz w:val="22"/>
                <w:szCs w:val="22"/>
                <w:color w:val="auto"/>
                <w:w w:val="90"/>
              </w:rPr>
              <w:t>(Address of principal executive offices)</w:t>
            </w:r>
          </w:p>
        </w:tc>
        <w:tc>
          <w:tcPr>
            <w:tcW w:w="278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200"/>
        <w:spacing w:after="0"/>
        <w:rPr>
          <w:sz w:val="20"/>
          <w:szCs w:val="20"/>
          <w:color w:val="auto"/>
        </w:rPr>
      </w:pPr>
      <w:r>
        <w:rPr>
          <w:rFonts w:ascii="Arial" w:cs="Arial" w:eastAsia="Arial" w:hAnsi="Arial"/>
          <w:sz w:val="22"/>
          <w:szCs w:val="22"/>
          <w:color w:val="auto"/>
        </w:rPr>
        <w:t>On February 9, 2017, PennantPark Floating Rate Capital Ltd. issued a press release announcing financial results for the first fiscal quarter ended December 31, 2016.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84" w:orient="portrait"/>
          <w:cols w:equalWidth="0" w:num="1">
            <w:col w:w="11200"/>
          </w:cols>
          <w:pgMar w:left="320" w:top="828" w:right="379" w:bottom="0" w:gutter="0" w:footer="0" w:header="0"/>
        </w:sectPr>
      </w:pPr>
    </w:p>
    <w:bookmarkStart w:id="1" w:name="page2"/>
    <w:bookmarkEnd w:id="1"/>
    <w:p>
      <w:pPr>
        <w:spacing w:after="0" w:line="252" w:lineRule="auto"/>
        <w:rPr>
          <w:sz w:val="20"/>
          <w:szCs w:val="20"/>
          <w:color w:val="auto"/>
        </w:rPr>
      </w:pPr>
      <w:r>
        <w:rPr>
          <w:rFonts w:ascii="Arial" w:cs="Arial" w:eastAsia="Arial" w:hAnsi="Arial"/>
          <w:sz w:val="21"/>
          <w:szCs w:val="21"/>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February 09,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09, 2017</w:t>
            </w:r>
          </w:p>
        </w:tc>
        <w:tc>
          <w:tcPr>
            <w:tcW w:w="6700" w:type="dxa"/>
            <w:vAlign w:val="bottom"/>
            <w:gridSpan w:val="3"/>
          </w:tcPr>
          <w:p>
            <w:pPr>
              <w:ind w:left="17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20" w:type="dxa"/>
            <w:vAlign w:val="bottom"/>
          </w:tcPr>
          <w:p>
            <w:pPr>
              <w:spacing w:after="0"/>
              <w:rPr>
                <w:sz w:val="24"/>
                <w:szCs w:val="24"/>
                <w:color w:val="auto"/>
              </w:rPr>
            </w:pPr>
          </w:p>
        </w:tc>
        <w:tc>
          <w:tcPr>
            <w:tcW w:w="670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70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70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February 09, 2017</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361" w:right="459" w:bottom="1440" w:gutter="0" w:footer="0" w:header="0"/>
        </w:sectPr>
      </w:pPr>
    </w:p>
    <w:bookmarkStart w:id="2" w:name="page3"/>
    <w:bookmarkEnd w:id="2"/>
    <w:p>
      <w:pPr>
        <w:spacing w:after="0" w:line="115" w:lineRule="exact"/>
        <w:rPr>
          <w:sz w:val="20"/>
          <w:szCs w:val="20"/>
          <w:color w:val="auto"/>
        </w:rPr>
      </w:pPr>
    </w:p>
    <w:p>
      <w:pPr>
        <w:ind w:left="1012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PennantPark Floating Rate Capital Ltd. Announces Financial Results for the Quarter Ended December 31, 2016</w:t>
      </w:r>
    </w:p>
    <w:p>
      <w:pPr>
        <w:spacing w:after="0" w:line="224"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NEW YORK, NY -- (Marketwired - February 09, 2017) - PennantPark Floating Rate Capital Ltd. (NASDAQ: PFLT) announces today financial results for the first fiscal quarter ended December 31, 2016.</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HIGHLIGHTS</w:t>
      </w:r>
    </w:p>
    <w:p>
      <w:pPr>
        <w:spacing w:after="0" w:line="238" w:lineRule="auto"/>
        <w:rPr>
          <w:sz w:val="20"/>
          <w:szCs w:val="20"/>
          <w:color w:val="auto"/>
        </w:rPr>
      </w:pPr>
      <w:r>
        <w:rPr>
          <w:rFonts w:ascii="Arial" w:cs="Arial" w:eastAsia="Arial" w:hAnsi="Arial"/>
          <w:sz w:val="22"/>
          <w:szCs w:val="22"/>
          <w:color w:val="auto"/>
        </w:rPr>
        <w:t>Quarter ended December 31, 2016</w:t>
      </w:r>
    </w:p>
    <w:p>
      <w:pPr>
        <w:spacing w:after="0"/>
        <w:rPr>
          <w:sz w:val="20"/>
          <w:szCs w:val="20"/>
          <w:color w:val="auto"/>
        </w:rPr>
      </w:pPr>
      <w:r>
        <w:rPr>
          <w:rFonts w:ascii="Arial" w:cs="Arial" w:eastAsia="Arial" w:hAnsi="Arial"/>
          <w:sz w:val="22"/>
          <w:szCs w:val="22"/>
          <w:color w:val="auto"/>
        </w:rPr>
        <w:t>($ in millions,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656.9</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377.1</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14.11</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299.9</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7.9%</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GAAP net investment income per share</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0.26</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gain incentive fee accrued but not payable per share</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Core net investment income per share (1)</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0.285</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124.8</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70.4</w:t>
            </w:r>
          </w:p>
        </w:tc>
      </w:tr>
      <w:tr>
        <w:trPr>
          <w:trHeight w:val="405"/>
        </w:trPr>
        <w:tc>
          <w:tcPr>
            <w:tcW w:w="674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48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 at quarter-end</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w:t>
            </w:r>
          </w:p>
        </w:tc>
      </w:tr>
    </w:tbl>
    <w:p>
      <w:pPr>
        <w:spacing w:after="0" w:line="197" w:lineRule="exact"/>
        <w:rPr>
          <w:sz w:val="20"/>
          <w:szCs w:val="20"/>
          <w:color w:val="auto"/>
        </w:rPr>
      </w:pPr>
    </w:p>
    <w:p>
      <w:pPr>
        <w:ind w:right="60" w:firstLine="8"/>
        <w:spacing w:after="0" w:line="236" w:lineRule="auto"/>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Core net investment income is a non-GAAP financial measure. The Company believes that core net investment income provides useful information to investors and management because it reflects the Company's financial performance excluding the charges related to incentive fee on net unrealized gains accrued under GAAP but not payable unless such net unrealized gains are realized. The presentation of this additional information is not meant to be considered in isolation or as a substitute for financial results prepared in accordance with GAAP.</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10, 2017</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PennantPark Floating Rate Capital Ltd. ("we," "our," "us" or "Company") will host a conference call at 10:00 a.m. (Eastern Time) on Friday, February 10, 2017 to discuss its financial results. All interested parties are welcome to participate. You can access the conference call by dialing (888) 297-0339 approximately 5-10 minutes prior to the call. International callers should dial (719)</w:t>
      </w:r>
    </w:p>
    <w:p>
      <w:pPr>
        <w:spacing w:after="0" w:line="1" w:lineRule="exact"/>
        <w:rPr>
          <w:sz w:val="20"/>
          <w:szCs w:val="20"/>
          <w:color w:val="auto"/>
        </w:rPr>
      </w:pPr>
    </w:p>
    <w:p>
      <w:pPr>
        <w:jc w:val="both"/>
        <w:ind w:right="340"/>
        <w:spacing w:after="0" w:line="234" w:lineRule="auto"/>
        <w:rPr>
          <w:sz w:val="20"/>
          <w:szCs w:val="20"/>
          <w:color w:val="auto"/>
        </w:rPr>
      </w:pPr>
      <w:r>
        <w:rPr>
          <w:rFonts w:ascii="Arial" w:cs="Arial" w:eastAsia="Arial" w:hAnsi="Arial"/>
          <w:sz w:val="22"/>
          <w:szCs w:val="22"/>
          <w:color w:val="auto"/>
        </w:rPr>
        <w:t>325-2337. All callers should reference PennantPark Floating Rate Capital Ltd. An archived replay of the call will be available through February 24, 2017 by calling (888) 203-1112. International callers please dial (719) 457-0820. For all phone replays, please reference conference ID #2019530.</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As of December 31, 2016, our portfolio totaled $656.9 million and consisted of $600.1 million of senior secured debt, $36.9 million of second lien secured debt and $19.9 million of subordinated debt, preferred and common equity. Our debt portfolio consisted of 98% variable-rate investments (including 95% with a floor) and 2% fixed-rate investments. As of December 31, 2016, we had no investments that were on non-accrual. Overall, the portfolio had net unrealized appreciation of $3.5 million. Our overall portfolio consisted of 98 companies with an average investment size of $6.7 million, had a weighted average yield on debt investments of 7.9%, and was invested 91% in senior secured debt, 6% in second lien secured debt and 3% in subordinated debt, preferred and common equity.</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with a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2016, we invested $124.8 million in 12 new and 13 existing portfolio companies with a weighted average yield on debt investments of 7.6%. Sales and repayments of investments for the three months ended December 31, 2016 totaled $70.4 million.</w:t>
      </w:r>
    </w:p>
    <w:p>
      <w:pPr>
        <w:spacing w:after="0" w:line="186" w:lineRule="exact"/>
        <w:rPr>
          <w:sz w:val="20"/>
          <w:szCs w:val="20"/>
          <w:color w:val="auto"/>
        </w:rPr>
      </w:pPr>
    </w:p>
    <w:p>
      <w:pPr>
        <w:ind w:right="100"/>
        <w:spacing w:after="0" w:line="328" w:lineRule="auto"/>
        <w:rPr>
          <w:sz w:val="20"/>
          <w:szCs w:val="20"/>
          <w:color w:val="auto"/>
        </w:rPr>
      </w:pPr>
      <w:r>
        <w:rPr>
          <w:rFonts w:ascii="Arial" w:cs="Arial" w:eastAsia="Arial" w:hAnsi="Arial"/>
          <w:sz w:val="19"/>
          <w:szCs w:val="19"/>
          <w:color w:val="auto"/>
        </w:rPr>
        <w:t>For the three months ended December 31, 2015, we invested $99.2 million in ten new and five existing portfolio companies with a weighted average yield on debt investments of 8.4%. Sales and repayments of investments for the three months ended</w:t>
      </w:r>
    </w:p>
    <w:p>
      <w:pPr>
        <w:sectPr>
          <w:pgSz w:w="11900" w:h="16954" w:orient="portrait"/>
          <w:cols w:equalWidth="0" w:num="1">
            <w:col w:w="11240"/>
          </w:cols>
          <w:pgMar w:left="320" w:top="111" w:right="339" w:bottom="0" w:gutter="0" w:footer="0" w:header="0"/>
        </w:sectPr>
      </w:pPr>
    </w:p>
    <w:bookmarkStart w:id="3" w:name="page4"/>
    <w:bookmarkEnd w:id="3"/>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2015 totaled $26.9 million.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2016 and 2015.</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Investment income for the three months ended December 31, 2016 was $12.6 million and was attributable to $11.2 million from senior secured debt and $1.4 million from second lien secured debt and subordinated debt, respectively. Investment income for the three months ended December 31, 2015 was $8.8 million and was attributable to $7.3 million from senior secured debt and $1.5 million from second lien secured debt and subordinated debt, respectively. The increase in investment income compared to the same period in the prior year was primarily due to the growth of our portfolio.</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Expenses for the three months ended December 31, 2016 totaled $5.8 million. Base management fee for the same period totaled $1.6 million, incentive fee totaled $1.5 million (including $0.6 million on unrealized gains accrued but not payable), expenses on our multi-currency, senior secured revolving credit facility, or the Credit Facility, totaled $1.8 million and general and administrative expenses totaled $0.9 million. Expenses for the three months ended December 31, 2015 totaled $3.7 million. Base management fee for the same period totaled $1.1 million, incentive fee totaled zero, Credit Facility expenses totaled $1.8 million (including $0.9 million of Credit Facility amendment expenses) and general and administrative expenses totaled $0.8 million. The increase in expenses compared with the same period in the prior year was primarily due to increases in base management and incentive fees as a result of the growth of our portfolio.</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Net investment income totaled $6.8 million, or $0.26 per share, for the three months ended December 31, 2016, and $5.1 million, or $0.19 per share, for the three months ended December 31, 2015. Core net investment income, a non-GAAP financial measure that excludes capital gain incentive fee accruals not payable, totaled $7.4 million and $6.0 million, or $0.28 and $0.22 per share, for the three months ended December 31, 2016 and 2015, respectively. The increase in net investment income compared to the same period in the prior year was primarily due to the growth of our portfolio.</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320"/>
        <w:spacing w:after="0" w:line="252" w:lineRule="auto"/>
        <w:rPr>
          <w:sz w:val="20"/>
          <w:szCs w:val="20"/>
          <w:color w:val="auto"/>
        </w:rPr>
      </w:pPr>
      <w:r>
        <w:rPr>
          <w:rFonts w:ascii="Arial" w:cs="Arial" w:eastAsia="Arial" w:hAnsi="Arial"/>
          <w:sz w:val="21"/>
          <w:szCs w:val="21"/>
          <w:color w:val="auto"/>
        </w:rPr>
        <w:t>Sales and repayments of investments for the three months ended December 31, 2016 totaled $70.4 million and realized gains totaled $0.5 million. Sales and repayments of investments totaled $26.9 million and realized losses totaled $3.2 million for the three months ended December 31, 2015. The change in realized gains/losses was primarily due to changes in the market conditions of our investments and the values at which they were realized.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For the three months ended December 31, 2016 and 2015, we reported net unrealized appreciation (depreciation) on investments of $2.5 million and $(0.7) million, respectively. As of December 31, 2016 and September 30, 2016, our net unrealized appreciation on investments totaled $3.5 million and $1.0 million, respectively. The net change in unrealized appreciation on our investments was driven primarily by changes in capital market conditions, the financial performance of certain portfolio companies and the reversal of unrealized depreciation (appreciation) on investments that were sold.</w:t>
      </w:r>
    </w:p>
    <w:p>
      <w:pPr>
        <w:spacing w:after="0" w:line="178"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For the three months ended December 31, 2016 and 2015, we reported net unrealized (appreciation) depreciation on our Credit Facility of $(1.1) million and $0.6 million, respectively. The change compared to the same period in the prior year was primarily due to changes in the capital markets.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Net change in net assets resulting from operations totaled $8.8 million, or $0.33 per share, for the three months ended December 31, 2016. This compares to a net change in net assets resulting from operations of $1.7 million, or $0.07 per share, for the three months ended December 31, 2015. The increase in the net change in net assets from operations compared to the same period in the prior year reflects the change in portfolio investment valuation during the reporting period and the change in net realized losses during the current period.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As of December 31, 2016 and September 30, 2016, we had $299.3 million and $232.9 million of outstanding borrowings under the Credit Facility, respectively. The Credit Facility had an interest rate of 2.74% and 2.57%, as of December 31, 2016 and</w:t>
      </w:r>
    </w:p>
    <w:p>
      <w:pPr>
        <w:sectPr>
          <w:pgSz w:w="11900" w:h="16954" w:orient="portrait"/>
          <w:cols w:equalWidth="0" w:num="1">
            <w:col w:w="11240"/>
          </w:cols>
          <w:pgMar w:left="320" w:top="118" w:right="339" w:bottom="0" w:gutter="0" w:footer="0" w:header="0"/>
        </w:sectPr>
      </w:pPr>
    </w:p>
    <w:bookmarkStart w:id="4" w:name="page5"/>
    <w:bookmarkEnd w:id="4"/>
    <w:p>
      <w:pPr>
        <w:spacing w:after="0" w:line="24"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September 30, 2016, respectively, excluding the undrawn commitment fees of 0.375%. The annualized weighted average cost of debt for the three months ended December 31, 2016 and 2015, inclusive of the fee on the undrawn commitment on the Credit Facility but excluding amendment costs, was 2.91% and 5.95%, respectively.</w:t>
      </w:r>
    </w:p>
    <w:p>
      <w:pPr>
        <w:spacing w:after="0" w:line="187"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As of December 31, 2016 and September 30, 2016, we had $50.7 million and $117.1 million of unused borrowing capacity under our Credit Facility, respectively, subject to the regulatory restrictions.</w:t>
      </w:r>
    </w:p>
    <w:p>
      <w:pPr>
        <w:spacing w:after="0" w:line="175" w:lineRule="exact"/>
        <w:rPr>
          <w:sz w:val="20"/>
          <w:szCs w:val="20"/>
          <w:color w:val="auto"/>
        </w:rPr>
      </w:pPr>
    </w:p>
    <w:p>
      <w:pPr>
        <w:jc w:val="both"/>
        <w:ind w:right="640"/>
        <w:spacing w:after="0"/>
        <w:rPr>
          <w:sz w:val="20"/>
          <w:szCs w:val="20"/>
          <w:color w:val="auto"/>
        </w:rPr>
      </w:pPr>
      <w:r>
        <w:rPr>
          <w:rFonts w:ascii="Arial" w:cs="Arial" w:eastAsia="Arial" w:hAnsi="Arial"/>
          <w:sz w:val="22"/>
          <w:szCs w:val="22"/>
          <w:color w:val="auto"/>
        </w:rPr>
        <w:t>At December 31, 2016 and September 30, 2016, we had cash equivalents of $24.2 million and $28.9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ind w:right="60"/>
        <w:spacing w:after="0" w:line="257" w:lineRule="auto"/>
        <w:rPr>
          <w:sz w:val="20"/>
          <w:szCs w:val="20"/>
          <w:color w:val="auto"/>
        </w:rPr>
      </w:pPr>
      <w:r>
        <w:rPr>
          <w:rFonts w:ascii="Arial" w:cs="Arial" w:eastAsia="Arial" w:hAnsi="Arial"/>
          <w:sz w:val="21"/>
          <w:szCs w:val="21"/>
          <w:color w:val="auto"/>
        </w:rPr>
        <w:t>Our operating activities used cash of $63.5 million for the three months ended December 31, 2016, and our financing activities provided cash of $58.8 million for the same period. Our operating activities used cash primarily for our investment activities and our financing activities provided cash primarily from net borrowings under the Credit Facility.</w:t>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21"/>
          <w:szCs w:val="21"/>
          <w:color w:val="auto"/>
        </w:rPr>
        <w:t>Our operating activities used cash of $66.5 million for the three months ended December 31, 2015, and our financing activities provided cash of $59.1 million for the same period. Our operating activities used cash primarily for our investment activities and our financing activities provided cash primarily from net borrowings under the Credit Facility.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During the three months ended December 31, 2016 and 2015, we declared distributions of $0.285 and $0.285 per share, respectively, for total distributions of $7.6 million and $7.6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Securities and Exchange Commission, or the SEC.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pacing w:after="0" w:line="396"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8"/>
          <w:szCs w:val="18"/>
          <w:color w:val="auto"/>
        </w:rPr>
        <w:t>PENNANTPARK FLOATING RATE CAPITAL LTD. AND SUBSIDIARIES</w:t>
      </w:r>
    </w:p>
    <w:p>
      <w:pPr>
        <w:jc w:val="center"/>
        <w:ind w:right="308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December 31,</w:t>
            </w: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700" w:type="dxa"/>
            <w:vAlign w:val="bottom"/>
          </w:tcPr>
          <w:p>
            <w:pPr>
              <w:spacing w:after="0"/>
              <w:rPr>
                <w:sz w:val="17"/>
                <w:szCs w:val="17"/>
                <w:color w:val="auto"/>
              </w:rPr>
            </w:pP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2016</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2016</w:t>
            </w:r>
          </w:p>
        </w:tc>
      </w:tr>
      <w:tr>
        <w:trPr>
          <w:trHeight w:val="203"/>
        </w:trPr>
        <w:tc>
          <w:tcPr>
            <w:tcW w:w="470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16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Non-controlled, non-affiliated investments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(cost--$653,340,297 and $597,910,267,</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656,868,887</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598,887,525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Cash and cash equivalents (cost--$24,201,258</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$28,903,359, respectively)</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24,203,565</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28,910,973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3,088,719</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2,480,406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11,357,601</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1,088,475</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1,141,191</w:t>
            </w:r>
          </w:p>
        </w:tc>
      </w:tr>
      <w:tr>
        <w:trPr>
          <w:trHeight w:val="203"/>
        </w:trPr>
        <w:tc>
          <w:tcPr>
            <w:tcW w:w="470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696,607,247</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631,420,095</w:t>
            </w:r>
          </w:p>
        </w:tc>
      </w:tr>
      <w:tr>
        <w:trPr>
          <w:trHeight w:val="203"/>
        </w:trPr>
        <w:tc>
          <w:tcPr>
            <w:tcW w:w="470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2,539,357</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2,539,357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11,827,362</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14,935,970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(cost--$299,309,500</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$232,907,500, respectively)</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299,859,712</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232,389,498</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672,625</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531,926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1,595,726</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1,458,625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2,602,140</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3,454,914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372,659</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202,977</w:t>
            </w:r>
          </w:p>
        </w:tc>
      </w:tr>
      <w:tr>
        <w:trPr>
          <w:trHeight w:val="202"/>
        </w:trPr>
        <w:tc>
          <w:tcPr>
            <w:tcW w:w="470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319,469,581</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255,513,267</w:t>
            </w:r>
          </w:p>
        </w:tc>
      </w:tr>
      <w:tr>
        <w:trPr>
          <w:trHeight w:val="203"/>
        </w:trPr>
        <w:tc>
          <w:tcPr>
            <w:tcW w:w="470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26,730,074 shares issued and</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Par value $0.001 per share and 100,000,000</w:t>
            </w:r>
          </w:p>
        </w:tc>
        <w:tc>
          <w:tcPr>
            <w:tcW w:w="1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2"/>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26,730</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26,730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371,194,366</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371,194,366</w:t>
            </w: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Undistributed net investment income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3,763,272</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4,559,646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Accumulated net realized loss on investments</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(827,387)</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(1,376,788)</w:t>
            </w:r>
          </w:p>
        </w:tc>
      </w:tr>
    </w:tbl>
    <w:p>
      <w:pPr>
        <w:sectPr>
          <w:pgSz w:w="11900" w:h="16862" w:orient="portrait"/>
          <w:cols w:equalWidth="0" w:num="1">
            <w:col w:w="11200"/>
          </w:cols>
          <w:pgMar w:left="320" w:top="118" w:right="3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unrealized appreciation on investments</w:t>
            </w:r>
          </w:p>
        </w:tc>
        <w:tc>
          <w:tcPr>
            <w:tcW w:w="160" w:type="dxa"/>
            <w:vAlign w:val="bottom"/>
          </w:tcPr>
          <w:p>
            <w:pPr>
              <w:spacing w:after="0"/>
              <w:rPr>
                <w:sz w:val="17"/>
                <w:szCs w:val="17"/>
                <w:color w:val="auto"/>
              </w:rPr>
            </w:pP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3,530,897</w:t>
            </w:r>
          </w:p>
        </w:tc>
        <w:tc>
          <w:tcPr>
            <w:tcW w:w="260" w:type="dxa"/>
            <w:vAlign w:val="bottom"/>
          </w:tcPr>
          <w:p>
            <w:pPr>
              <w:spacing w:after="0"/>
              <w:rPr>
                <w:sz w:val="17"/>
                <w:szCs w:val="17"/>
                <w:color w:val="auto"/>
              </w:rPr>
            </w:pP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984,872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Net unrealized (appreciation) depreciation on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(550,212)</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518,002</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377,137,666</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375,906,828</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696,607,247</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631,420,095</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14.11</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14.06</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810"/>
        </w:trPr>
        <w:tc>
          <w:tcPr>
            <w:tcW w:w="8020" w:type="dxa"/>
            <w:vAlign w:val="bottom"/>
            <w:gridSpan w:val="5"/>
          </w:tcPr>
          <w:p>
            <w:pPr>
              <w:jc w:val="center"/>
              <w:ind w:left="12"/>
              <w:spacing w:after="0"/>
              <w:rPr>
                <w:sz w:val="20"/>
                <w:szCs w:val="20"/>
                <w:color w:val="auto"/>
              </w:rPr>
            </w:pPr>
            <w:r>
              <w:rPr>
                <w:rFonts w:ascii="Courier New" w:cs="Courier New" w:eastAsia="Courier New" w:hAnsi="Courier New"/>
                <w:sz w:val="18"/>
                <w:szCs w:val="18"/>
                <w:color w:val="auto"/>
                <w:w w:val="97"/>
              </w:rPr>
              <w:t>PENNANTPARK FLOATING RATE CAPITAL LTD. AND SUBSIDIARIES</w:t>
            </w:r>
          </w:p>
        </w:tc>
      </w:tr>
      <w:tr>
        <w:trPr>
          <w:trHeight w:val="203"/>
        </w:trPr>
        <w:tc>
          <w:tcPr>
            <w:tcW w:w="6380" w:type="dxa"/>
            <w:vAlign w:val="bottom"/>
            <w:gridSpan w:val="3"/>
          </w:tcPr>
          <w:p>
            <w:pPr>
              <w:jc w:val="center"/>
              <w:ind w:left="167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jc w:val="center"/>
              <w:ind w:left="329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608"/>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w w:val="98"/>
              </w:rPr>
              <w:t>Three Months Ended December</w:t>
            </w:r>
          </w:p>
        </w:tc>
      </w:tr>
      <w:tr>
        <w:trPr>
          <w:trHeight w:val="203"/>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c>
          <w:tcPr>
            <w:tcW w:w="13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328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2016</w:t>
            </w:r>
          </w:p>
        </w:tc>
        <w:tc>
          <w:tcPr>
            <w:tcW w:w="2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non-affiliated</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11,951,835</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8,612,862</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679,433</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102,685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 affiliated investments: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40,933</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12,631,268</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8,756,480</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1,595,727</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1,077,741</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1,469,369</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(2,936)</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 on Credit Facility</w:t>
            </w:r>
          </w:p>
        </w:tc>
        <w:tc>
          <w:tcPr>
            <w:tcW w:w="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1,800,725</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939,682</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561,250</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200,000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357,500</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548,313</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 provision for taxes and</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 costs</w:t>
            </w:r>
          </w:p>
        </w:tc>
        <w:tc>
          <w:tcPr>
            <w:tcW w:w="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5,784,571</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2,762,800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25,000</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amendment costs</w:t>
            </w:r>
          </w:p>
        </w:tc>
        <w:tc>
          <w:tcPr>
            <w:tcW w:w="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907,722</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5,809,571</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3,670,522</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6,821,697</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5,085,958</w:t>
            </w:r>
          </w:p>
        </w:tc>
      </w:tr>
      <w:tr>
        <w:trPr>
          <w:trHeight w:val="202"/>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gain (loss) on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(loss) on investments</w:t>
            </w:r>
          </w:p>
        </w:tc>
        <w:tc>
          <w:tcPr>
            <w:tcW w:w="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549,401</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(3,232,008)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Non-controlled, non-affiliated investments</w:t>
            </w:r>
          </w:p>
        </w:tc>
        <w:tc>
          <w:tcPr>
            <w:tcW w:w="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2,546,025</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(708,946)</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Credit Facility (appreciation) depreciation</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(1,068,214)</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601,875</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on investments and Credit</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Facility</w:t>
            </w:r>
          </w:p>
        </w:tc>
        <w:tc>
          <w:tcPr>
            <w:tcW w:w="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1,477,811</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(107,071)</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realized and unrealized gain (loss) from</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2,027,212</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(3,339,079)</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8,848,909</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1,746,879</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2"/>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0.33</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0.07</w:t>
            </w:r>
          </w:p>
        </w:tc>
      </w:tr>
      <w:tr>
        <w:trPr>
          <w:trHeight w:val="202"/>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0.26</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0.19</w:t>
            </w:r>
          </w:p>
        </w:tc>
      </w:tr>
      <w:tr>
        <w:trPr>
          <w:trHeight w:val="203"/>
        </w:trPr>
        <w:tc>
          <w:tcPr>
            <w:tcW w:w="474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PennantPark Floating Rate Capital Ltd. is a business development company which primarily invests in U.S. middle-market private companies in the form of floating rate senior secured loans. From time to time, the Company may also invest in</w:t>
      </w:r>
    </w:p>
    <w:p>
      <w:pPr>
        <w:sectPr>
          <w:pgSz w:w="11900" w:h="16838" w:orient="portrait"/>
          <w:cols w:equalWidth="0" w:num="1">
            <w:col w:w="10640"/>
          </w:cols>
          <w:pgMar w:left="320" w:top="136" w:right="939" w:bottom="0" w:gutter="0" w:footer="0" w:header="0"/>
        </w:sectPr>
      </w:pPr>
    </w:p>
    <w:bookmarkStart w:id="6" w:name="page7"/>
    <w:bookmarkEnd w:id="6"/>
    <w:p>
      <w:pPr>
        <w:ind w:right="820"/>
        <w:spacing w:after="0" w:line="251" w:lineRule="auto"/>
        <w:rPr>
          <w:sz w:val="20"/>
          <w:szCs w:val="20"/>
          <w:color w:val="auto"/>
        </w:rPr>
      </w:pPr>
      <w:r>
        <w:rPr>
          <w:rFonts w:ascii="Arial" w:cs="Arial" w:eastAsia="Arial" w:hAnsi="Arial"/>
          <w:sz w:val="22"/>
          <w:szCs w:val="22"/>
          <w:color w:val="auto"/>
        </w:rPr>
        <w:t>mezzanine debt and equity investments. PennantPark Floating Rate Capital Ltd. is managed by PennantPark Investment Advisers, LLC.</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0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ind w:left="120"/>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ind w:left="120"/>
        <w:spacing w:after="0"/>
        <w:rPr>
          <w:sz w:val="20"/>
          <w:szCs w:val="20"/>
          <w:color w:val="auto"/>
        </w:rPr>
      </w:pPr>
      <w:r>
        <w:rPr>
          <w:rFonts w:ascii="Courier New" w:cs="Courier New" w:eastAsia="Courier New" w:hAnsi="Courier New"/>
          <w:sz w:val="18"/>
          <w:szCs w:val="18"/>
          <w:color w:val="auto"/>
        </w:rPr>
        <w:t>Reception: (212) 905-1000</w:t>
      </w:r>
    </w:p>
    <w:p>
      <w:pPr>
        <w:ind w:left="120"/>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2020-05-05T12:04:39Z</dcterms:created>
  <dcterms:modified xsi:type="dcterms:W3CDTF">2020-05-05T12:04:39Z</dcterms:modified>
</cp:coreProperties>
</file>