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39"/>
        <w:spacing w:after="0"/>
        <w:rPr>
          <w:sz w:val="20"/>
          <w:szCs w:val="20"/>
          <w:color w:val="auto"/>
        </w:rPr>
      </w:pPr>
      <w:r>
        <w:rPr>
          <w:rFonts w:ascii="Arial" w:cs="Arial" w:eastAsia="Arial" w:hAnsi="Arial"/>
          <w:sz w:val="22"/>
          <w:szCs w:val="22"/>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2096770</wp:posOffset>
            </wp:positionH>
            <wp:positionV relativeFrom="paragraph">
              <wp:posOffset>132715</wp:posOffset>
            </wp:positionV>
            <wp:extent cx="295719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957195" cy="8890"/>
                    </a:xfrm>
                    <a:prstGeom prst="rect">
                      <a:avLst/>
                    </a:prstGeom>
                    <a:noFill/>
                  </pic:spPr>
                </pic:pic>
              </a:graphicData>
            </a:graphic>
          </wp:anchor>
        </w:drawing>
      </w:r>
    </w:p>
    <w:p>
      <w:pPr>
        <w:spacing w:after="0" w:line="392" w:lineRule="exact"/>
        <w:rPr>
          <w:sz w:val="24"/>
          <w:szCs w:val="24"/>
          <w:color w:val="auto"/>
        </w:rPr>
      </w:pPr>
    </w:p>
    <w:p>
      <w:pPr>
        <w:ind w:left="5100"/>
        <w:spacing w:after="0"/>
        <w:rPr>
          <w:sz w:val="20"/>
          <w:szCs w:val="20"/>
          <w:color w:val="auto"/>
        </w:rPr>
      </w:pPr>
      <w:r>
        <w:rPr>
          <w:rFonts w:ascii="Arial" w:cs="Arial" w:eastAsia="Arial" w:hAnsi="Arial"/>
          <w:sz w:val="22"/>
          <w:szCs w:val="22"/>
          <w:b w:val="1"/>
          <w:bCs w:val="1"/>
          <w:color w:val="auto"/>
        </w:rPr>
        <w:t>FORM 8-K</w:t>
      </w:r>
    </w:p>
    <w:p>
      <w:pPr>
        <w:spacing w:after="0" w:line="206" w:lineRule="exact"/>
        <w:rPr>
          <w:sz w:val="24"/>
          <w:szCs w:val="24"/>
          <w:color w:val="auto"/>
        </w:rPr>
      </w:pPr>
    </w:p>
    <w:p>
      <w:pPr>
        <w:ind w:left="4620"/>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4"/>
          <w:szCs w:val="24"/>
          <w:color w:val="auto"/>
        </w:rPr>
      </w:pPr>
    </w:p>
    <w:p>
      <w:pPr>
        <w:ind w:left="3900"/>
        <w:spacing w:after="0"/>
        <w:rPr>
          <w:sz w:val="20"/>
          <w:szCs w:val="20"/>
          <w:color w:val="auto"/>
        </w:rPr>
      </w:pPr>
      <w:r>
        <w:rPr>
          <w:rFonts w:ascii="Arial" w:cs="Arial" w:eastAsia="Arial" w:hAnsi="Arial"/>
          <w:sz w:val="22"/>
          <w:szCs w:val="22"/>
          <w:b w:val="1"/>
          <w:bCs w:val="1"/>
          <w:color w:val="auto"/>
        </w:rPr>
        <w:t>Pursuant to Section 13 or 15(d) of the</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Securities Exchange Act of 1934</w:t>
      </w:r>
    </w:p>
    <w:p>
      <w:pPr>
        <w:spacing w:after="0" w:line="223"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Date of Report: August 03, 2015</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(Date of earliest event reported)</w:t>
      </w:r>
    </w:p>
    <w:p>
      <w:pPr>
        <w:spacing w:after="0" w:line="209"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PennantPark Floating Rate Capital Ltd.</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(Exact name of registrant as specified in its charter)</w:t>
      </w:r>
    </w:p>
    <w:p>
      <w:pPr>
        <w:spacing w:after="0" w:line="205"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4620" w:type="dxa"/>
            <w:vAlign w:val="bottom"/>
          </w:tcPr>
          <w:p>
            <w:pPr>
              <w:jc w:val="center"/>
              <w:ind w:right="72"/>
              <w:spacing w:after="0"/>
              <w:rPr>
                <w:sz w:val="20"/>
                <w:szCs w:val="20"/>
                <w:color w:val="auto"/>
              </w:rPr>
            </w:pPr>
            <w:r>
              <w:rPr>
                <w:rFonts w:ascii="Arial" w:cs="Arial" w:eastAsia="Arial" w:hAnsi="Arial"/>
                <w:sz w:val="22"/>
                <w:szCs w:val="22"/>
                <w:b w:val="1"/>
                <w:bCs w:val="1"/>
                <w:color w:val="auto"/>
                <w:w w:val="95"/>
              </w:rPr>
              <w:t>Maryland</w:t>
            </w:r>
          </w:p>
        </w:tc>
        <w:tc>
          <w:tcPr>
            <w:tcW w:w="2540" w:type="dxa"/>
            <w:vAlign w:val="bottom"/>
          </w:tcPr>
          <w:p>
            <w:pPr>
              <w:jc w:val="center"/>
              <w:ind w:right="492"/>
              <w:spacing w:after="0"/>
              <w:rPr>
                <w:sz w:val="20"/>
                <w:szCs w:val="20"/>
                <w:color w:val="auto"/>
              </w:rPr>
            </w:pPr>
            <w:r>
              <w:rPr>
                <w:rFonts w:ascii="Arial" w:cs="Arial" w:eastAsia="Arial" w:hAnsi="Arial"/>
                <w:sz w:val="22"/>
                <w:szCs w:val="22"/>
                <w:b w:val="1"/>
                <w:bCs w:val="1"/>
                <w:color w:val="auto"/>
                <w:w w:val="89"/>
              </w:rPr>
              <w:t>814-00891</w:t>
            </w:r>
          </w:p>
        </w:tc>
        <w:tc>
          <w:tcPr>
            <w:tcW w:w="2800" w:type="dxa"/>
            <w:vAlign w:val="bottom"/>
          </w:tcPr>
          <w:p>
            <w:pPr>
              <w:jc w:val="right"/>
              <w:ind w:right="372"/>
              <w:spacing w:after="0"/>
              <w:rPr>
                <w:sz w:val="20"/>
                <w:szCs w:val="20"/>
                <w:color w:val="auto"/>
              </w:rPr>
            </w:pPr>
            <w:r>
              <w:rPr>
                <w:rFonts w:ascii="Arial" w:cs="Arial" w:eastAsia="Arial" w:hAnsi="Arial"/>
                <w:sz w:val="22"/>
                <w:szCs w:val="22"/>
                <w:b w:val="1"/>
                <w:bCs w:val="1"/>
                <w:color w:val="auto"/>
              </w:rPr>
              <w:t>27-3794690</w:t>
            </w:r>
          </w:p>
        </w:tc>
      </w:tr>
      <w:tr>
        <w:trPr>
          <w:trHeight w:val="243"/>
        </w:trPr>
        <w:tc>
          <w:tcPr>
            <w:tcW w:w="4620" w:type="dxa"/>
            <w:vAlign w:val="bottom"/>
          </w:tcPr>
          <w:p>
            <w:pPr>
              <w:jc w:val="center"/>
              <w:ind w:right="132"/>
              <w:spacing w:after="0" w:line="243" w:lineRule="exact"/>
              <w:rPr>
                <w:sz w:val="20"/>
                <w:szCs w:val="20"/>
                <w:color w:val="auto"/>
              </w:rPr>
            </w:pPr>
            <w:r>
              <w:rPr>
                <w:rFonts w:ascii="Arial" w:cs="Arial" w:eastAsia="Arial" w:hAnsi="Arial"/>
                <w:sz w:val="22"/>
                <w:szCs w:val="22"/>
                <w:color w:val="auto"/>
                <w:w w:val="90"/>
              </w:rPr>
              <w:t>(State or other jurisdiction</w:t>
            </w:r>
          </w:p>
        </w:tc>
        <w:tc>
          <w:tcPr>
            <w:tcW w:w="2540" w:type="dxa"/>
            <w:vAlign w:val="bottom"/>
          </w:tcPr>
          <w:p>
            <w:pPr>
              <w:jc w:val="center"/>
              <w:ind w:right="492"/>
              <w:spacing w:after="0" w:line="243" w:lineRule="exact"/>
              <w:rPr>
                <w:sz w:val="20"/>
                <w:szCs w:val="20"/>
                <w:color w:val="auto"/>
              </w:rPr>
            </w:pPr>
            <w:r>
              <w:rPr>
                <w:rFonts w:ascii="Arial" w:cs="Arial" w:eastAsia="Arial" w:hAnsi="Arial"/>
                <w:sz w:val="22"/>
                <w:szCs w:val="22"/>
                <w:color w:val="auto"/>
                <w:w w:val="90"/>
              </w:rPr>
              <w:t>(Commission File</w:t>
            </w:r>
          </w:p>
        </w:tc>
        <w:tc>
          <w:tcPr>
            <w:tcW w:w="2800" w:type="dxa"/>
            <w:vAlign w:val="bottom"/>
          </w:tcPr>
          <w:p>
            <w:pPr>
              <w:jc w:val="center"/>
              <w:ind w:left="632"/>
              <w:spacing w:after="0" w:line="243" w:lineRule="exact"/>
              <w:rPr>
                <w:sz w:val="20"/>
                <w:szCs w:val="20"/>
                <w:color w:val="auto"/>
              </w:rPr>
            </w:pPr>
            <w:r>
              <w:rPr>
                <w:rFonts w:ascii="Arial" w:cs="Arial" w:eastAsia="Arial" w:hAnsi="Arial"/>
                <w:sz w:val="22"/>
                <w:szCs w:val="22"/>
                <w:color w:val="auto"/>
                <w:w w:val="90"/>
              </w:rPr>
              <w:t>(IRS Employer</w:t>
            </w:r>
          </w:p>
        </w:tc>
      </w:tr>
      <w:tr>
        <w:trPr>
          <w:trHeight w:val="274"/>
        </w:trPr>
        <w:tc>
          <w:tcPr>
            <w:tcW w:w="4620" w:type="dxa"/>
            <w:vAlign w:val="bottom"/>
          </w:tcPr>
          <w:p>
            <w:pPr>
              <w:jc w:val="center"/>
              <w:ind w:right="72"/>
              <w:spacing w:after="0"/>
              <w:rPr>
                <w:sz w:val="20"/>
                <w:szCs w:val="20"/>
                <w:color w:val="auto"/>
              </w:rPr>
            </w:pPr>
            <w:r>
              <w:rPr>
                <w:rFonts w:ascii="Arial" w:cs="Arial" w:eastAsia="Arial" w:hAnsi="Arial"/>
                <w:sz w:val="22"/>
                <w:szCs w:val="22"/>
                <w:color w:val="auto"/>
                <w:w w:val="93"/>
              </w:rPr>
              <w:t>of incorporation)</w:t>
            </w:r>
          </w:p>
        </w:tc>
        <w:tc>
          <w:tcPr>
            <w:tcW w:w="2540" w:type="dxa"/>
            <w:vAlign w:val="bottom"/>
          </w:tcPr>
          <w:p>
            <w:pPr>
              <w:jc w:val="center"/>
              <w:ind w:right="492"/>
              <w:spacing w:after="0"/>
              <w:rPr>
                <w:sz w:val="20"/>
                <w:szCs w:val="20"/>
                <w:color w:val="auto"/>
              </w:rPr>
            </w:pPr>
            <w:r>
              <w:rPr>
                <w:rFonts w:ascii="Arial" w:cs="Arial" w:eastAsia="Arial" w:hAnsi="Arial"/>
                <w:sz w:val="22"/>
                <w:szCs w:val="22"/>
                <w:color w:val="auto"/>
                <w:w w:val="91"/>
              </w:rPr>
              <w:t>Number)</w:t>
            </w:r>
          </w:p>
        </w:tc>
        <w:tc>
          <w:tcPr>
            <w:tcW w:w="2800" w:type="dxa"/>
            <w:vAlign w:val="bottom"/>
          </w:tcPr>
          <w:p>
            <w:pPr>
              <w:jc w:val="center"/>
              <w:ind w:left="692"/>
              <w:spacing w:after="0"/>
              <w:rPr>
                <w:sz w:val="20"/>
                <w:szCs w:val="20"/>
                <w:color w:val="auto"/>
              </w:rPr>
            </w:pPr>
            <w:r>
              <w:rPr>
                <w:rFonts w:ascii="Arial" w:cs="Arial" w:eastAsia="Arial" w:hAnsi="Arial"/>
                <w:sz w:val="22"/>
                <w:szCs w:val="22"/>
                <w:color w:val="auto"/>
                <w:w w:val="92"/>
              </w:rPr>
              <w:t>Identification Number)</w:t>
            </w:r>
          </w:p>
        </w:tc>
      </w:tr>
      <w:tr>
        <w:trPr>
          <w:trHeight w:val="455"/>
        </w:trPr>
        <w:tc>
          <w:tcPr>
            <w:tcW w:w="4620" w:type="dxa"/>
            <w:vAlign w:val="bottom"/>
          </w:tcPr>
          <w:p>
            <w:pPr>
              <w:jc w:val="center"/>
              <w:ind w:right="92"/>
              <w:spacing w:after="0"/>
              <w:rPr>
                <w:sz w:val="20"/>
                <w:szCs w:val="20"/>
                <w:color w:val="auto"/>
              </w:rPr>
            </w:pPr>
            <w:r>
              <w:rPr>
                <w:rFonts w:ascii="Arial" w:cs="Arial" w:eastAsia="Arial" w:hAnsi="Arial"/>
                <w:sz w:val="22"/>
                <w:szCs w:val="22"/>
                <w:b w:val="1"/>
                <w:bCs w:val="1"/>
                <w:color w:val="auto"/>
                <w:w w:val="89"/>
              </w:rPr>
              <w:t>590 Madison Avenue, 15th Floor, New York, NY</w:t>
            </w:r>
          </w:p>
        </w:tc>
        <w:tc>
          <w:tcPr>
            <w:tcW w:w="2540" w:type="dxa"/>
            <w:vAlign w:val="bottom"/>
          </w:tcPr>
          <w:p>
            <w:pPr>
              <w:spacing w:after="0"/>
              <w:rPr>
                <w:sz w:val="24"/>
                <w:szCs w:val="24"/>
                <w:color w:val="auto"/>
              </w:rPr>
            </w:pPr>
          </w:p>
        </w:tc>
        <w:tc>
          <w:tcPr>
            <w:tcW w:w="2800" w:type="dxa"/>
            <w:vAlign w:val="bottom"/>
          </w:tcPr>
          <w:p>
            <w:pPr>
              <w:jc w:val="right"/>
              <w:ind w:right="632"/>
              <w:spacing w:after="0"/>
              <w:rPr>
                <w:sz w:val="20"/>
                <w:szCs w:val="20"/>
                <w:color w:val="auto"/>
              </w:rPr>
            </w:pPr>
            <w:r>
              <w:rPr>
                <w:rFonts w:ascii="Arial" w:cs="Arial" w:eastAsia="Arial" w:hAnsi="Arial"/>
                <w:sz w:val="22"/>
                <w:szCs w:val="22"/>
                <w:b w:val="1"/>
                <w:bCs w:val="1"/>
                <w:color w:val="auto"/>
              </w:rPr>
              <w:t>10022</w:t>
            </w:r>
          </w:p>
        </w:tc>
      </w:tr>
      <w:tr>
        <w:trPr>
          <w:trHeight w:val="274"/>
        </w:trPr>
        <w:tc>
          <w:tcPr>
            <w:tcW w:w="4620" w:type="dxa"/>
            <w:vAlign w:val="bottom"/>
          </w:tcPr>
          <w:p>
            <w:pPr>
              <w:jc w:val="center"/>
              <w:ind w:right="92"/>
              <w:spacing w:after="0"/>
              <w:rPr>
                <w:sz w:val="20"/>
                <w:szCs w:val="20"/>
                <w:color w:val="auto"/>
              </w:rPr>
            </w:pPr>
            <w:r>
              <w:rPr>
                <w:rFonts w:ascii="Arial" w:cs="Arial" w:eastAsia="Arial" w:hAnsi="Arial"/>
                <w:sz w:val="22"/>
                <w:szCs w:val="22"/>
                <w:color w:val="auto"/>
                <w:w w:val="90"/>
              </w:rPr>
              <w:t>(Address of principal executive offices)</w:t>
            </w:r>
          </w:p>
        </w:tc>
        <w:tc>
          <w:tcPr>
            <w:tcW w:w="2540" w:type="dxa"/>
            <w:vAlign w:val="bottom"/>
          </w:tcPr>
          <w:p>
            <w:pPr>
              <w:spacing w:after="0"/>
              <w:rPr>
                <w:sz w:val="23"/>
                <w:szCs w:val="23"/>
                <w:color w:val="auto"/>
              </w:rPr>
            </w:pPr>
          </w:p>
        </w:tc>
        <w:tc>
          <w:tcPr>
            <w:tcW w:w="2800" w:type="dxa"/>
            <w:vAlign w:val="bottom"/>
          </w:tcPr>
          <w:p>
            <w:pPr>
              <w:jc w:val="center"/>
              <w:ind w:left="692"/>
              <w:spacing w:after="0"/>
              <w:rPr>
                <w:sz w:val="20"/>
                <w:szCs w:val="20"/>
                <w:color w:val="auto"/>
              </w:rPr>
            </w:pPr>
            <w:r>
              <w:rPr>
                <w:rFonts w:ascii="Arial" w:cs="Arial" w:eastAsia="Arial" w:hAnsi="Arial"/>
                <w:sz w:val="22"/>
                <w:szCs w:val="22"/>
                <w:color w:val="auto"/>
                <w:w w:val="92"/>
              </w:rPr>
              <w:t>(Zip Code)</w:t>
            </w:r>
          </w:p>
        </w:tc>
      </w:tr>
    </w:tbl>
    <w:p>
      <w:pPr>
        <w:spacing w:after="0" w:line="206"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212-905-1000</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(Registrant's telephone number, including area code)</w:t>
      </w:r>
    </w:p>
    <w:p>
      <w:pPr>
        <w:spacing w:after="0" w:line="209"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Not Applicable</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(Former Name or Former Address, if changed since last report)</w:t>
      </w:r>
    </w:p>
    <w:p>
      <w:pPr>
        <w:spacing w:after="0" w:line="200" w:lineRule="exact"/>
        <w:rPr>
          <w:sz w:val="24"/>
          <w:szCs w:val="24"/>
          <w:color w:val="auto"/>
        </w:rPr>
      </w:pPr>
    </w:p>
    <w:p>
      <w:pPr>
        <w:spacing w:after="0" w:line="200" w:lineRule="exact"/>
        <w:rPr>
          <w:sz w:val="24"/>
          <w:szCs w:val="24"/>
          <w:color w:val="auto"/>
        </w:rPr>
      </w:pPr>
    </w:p>
    <w:p>
      <w:pPr>
        <w:spacing w:after="0" w:line="274"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Check the appropriate box below if the Form 8-K filing is intended to simultaneously satisfy the filing obligation of the registrant under any of the following provisions:</w:t>
      </w:r>
    </w:p>
    <w:p>
      <w:pPr>
        <w:spacing w:after="0" w:line="175" w:lineRule="exact"/>
        <w:rPr>
          <w:sz w:val="24"/>
          <w:szCs w:val="24"/>
          <w:color w:val="auto"/>
        </w:rPr>
      </w:pPr>
    </w:p>
    <w:p>
      <w:pPr>
        <w:ind w:left="540"/>
        <w:spacing w:after="0"/>
        <w:rPr>
          <w:sz w:val="20"/>
          <w:szCs w:val="20"/>
          <w:color w:val="auto"/>
        </w:rPr>
      </w:pPr>
      <w:r>
        <w:rPr>
          <w:rFonts w:ascii="Arial" w:cs="Arial" w:eastAsia="Arial" w:hAnsi="Arial"/>
          <w:sz w:val="22"/>
          <w:szCs w:val="22"/>
          <w:color w:val="auto"/>
        </w:rPr>
        <w:t>o Written communications pursuant to Rule 425 under the Securities Act (17 CFR 230.425)</w:t>
      </w:r>
    </w:p>
    <w:p>
      <w:pPr>
        <w:ind w:left="540"/>
        <w:spacing w:after="0" w:line="238" w:lineRule="auto"/>
        <w:rPr>
          <w:sz w:val="20"/>
          <w:szCs w:val="20"/>
          <w:color w:val="auto"/>
        </w:rPr>
      </w:pPr>
      <w:r>
        <w:rPr>
          <w:rFonts w:ascii="Arial" w:cs="Arial" w:eastAsia="Arial" w:hAnsi="Arial"/>
          <w:sz w:val="22"/>
          <w:szCs w:val="22"/>
          <w:color w:val="auto"/>
        </w:rPr>
        <w:t>o Soliciting material pursuant to Rule 14a-12 under the Exchange Act (17 CFR 240.14a-12)</w:t>
      </w:r>
    </w:p>
    <w:p>
      <w:pPr>
        <w:ind w:left="540"/>
        <w:spacing w:after="0"/>
        <w:rPr>
          <w:sz w:val="20"/>
          <w:szCs w:val="20"/>
          <w:color w:val="auto"/>
        </w:rPr>
      </w:pPr>
      <w:r>
        <w:rPr>
          <w:rFonts w:ascii="Arial" w:cs="Arial" w:eastAsia="Arial" w:hAnsi="Arial"/>
          <w:sz w:val="21"/>
          <w:szCs w:val="21"/>
          <w:color w:val="auto"/>
        </w:rPr>
        <w:t>o Pre-commencement communications pursuant to Rule 14d-2(b) under the Exchange Act (17 CFR 240.14d-2(b))</w:t>
      </w:r>
    </w:p>
    <w:p>
      <w:pPr>
        <w:spacing w:after="0" w:line="2" w:lineRule="exact"/>
        <w:rPr>
          <w:sz w:val="24"/>
          <w:szCs w:val="24"/>
          <w:color w:val="auto"/>
        </w:rPr>
      </w:pPr>
    </w:p>
    <w:p>
      <w:pPr>
        <w:ind w:left="540"/>
        <w:spacing w:after="0"/>
        <w:rPr>
          <w:sz w:val="20"/>
          <w:szCs w:val="20"/>
          <w:color w:val="auto"/>
        </w:rPr>
      </w:pPr>
      <w:r>
        <w:rPr>
          <w:rFonts w:ascii="Arial" w:cs="Arial" w:eastAsia="Arial" w:hAnsi="Arial"/>
          <w:sz w:val="21"/>
          <w:szCs w:val="21"/>
          <w:color w:val="auto"/>
        </w:rPr>
        <w:t>o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140335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6" w:lineRule="exact"/>
        <w:rPr>
          <w:sz w:val="24"/>
          <w:szCs w:val="24"/>
          <w:color w:val="auto"/>
        </w:rPr>
      </w:pPr>
    </w:p>
    <w:p>
      <w:pPr>
        <w:ind w:left="40"/>
        <w:spacing w:after="0"/>
        <w:rPr>
          <w:sz w:val="20"/>
          <w:szCs w:val="20"/>
          <w:color w:val="auto"/>
        </w:rPr>
      </w:pPr>
      <w:r>
        <w:rPr>
          <w:rFonts w:ascii="Arial" w:cs="Arial" w:eastAsia="Arial" w:hAnsi="Arial"/>
          <w:sz w:val="22"/>
          <w:szCs w:val="22"/>
          <w:b w:val="1"/>
          <w:bCs w:val="1"/>
          <w:color w:val="auto"/>
        </w:rPr>
        <w:t>Item 7.01. Regulation FD Disclosure</w:t>
      </w:r>
    </w:p>
    <w:p>
      <w:pPr>
        <w:spacing w:after="0" w:line="239" w:lineRule="exact"/>
        <w:rPr>
          <w:sz w:val="24"/>
          <w:szCs w:val="24"/>
          <w:color w:val="auto"/>
        </w:rPr>
      </w:pPr>
    </w:p>
    <w:p>
      <w:pPr>
        <w:ind w:left="40" w:right="240"/>
        <w:spacing w:after="0" w:line="250" w:lineRule="auto"/>
        <w:rPr>
          <w:sz w:val="20"/>
          <w:szCs w:val="20"/>
          <w:color w:val="auto"/>
        </w:rPr>
      </w:pPr>
      <w:r>
        <w:rPr>
          <w:rFonts w:ascii="Arial" w:cs="Arial" w:eastAsia="Arial" w:hAnsi="Arial"/>
          <w:sz w:val="22"/>
          <w:szCs w:val="22"/>
          <w:color w:val="auto"/>
        </w:rPr>
        <w:t>On August 3, 2015, PennantPark Floating Rate Capital Ltd. issued a press release announcing monthly distribution. A copy of the press release is furnished as Exhibit 99.1 to this Form 8-K.</w:t>
      </w:r>
    </w:p>
    <w:p>
      <w:pPr>
        <w:spacing w:after="0" w:line="202" w:lineRule="exact"/>
        <w:rPr>
          <w:sz w:val="24"/>
          <w:szCs w:val="24"/>
          <w:color w:val="auto"/>
        </w:rPr>
      </w:pPr>
    </w:p>
    <w:p>
      <w:pPr>
        <w:ind w:left="40" w:right="80"/>
        <w:spacing w:after="0" w:line="236" w:lineRule="auto"/>
        <w:rPr>
          <w:sz w:val="20"/>
          <w:szCs w:val="20"/>
          <w:color w:val="auto"/>
        </w:rPr>
      </w:pPr>
      <w:r>
        <w:rPr>
          <w:rFonts w:ascii="Arial" w:cs="Arial" w:eastAsia="Arial" w:hAnsi="Arial"/>
          <w:sz w:val="22"/>
          <w:szCs w:val="22"/>
          <w:color w:val="auto"/>
        </w:rPr>
        <w:t>The information in this Current Report on Form 8-K, including Exhibit 99.1 furnished herewith, is being furnished and shall not be deemed "filed" for purposes of Section 18 of the Securities Exchange Act of 1934, as amended (the "Exchange Act"), or otherwise subject to the liabilities of such section. The information in this Current Report on Form 8-K shall not be deemed incorporated by reference in any filing under the Securities Act of 1933, as amended, or the Exchange Act except as shall be expressly set forth by specific reference in such filing.</w:t>
      </w:r>
    </w:p>
    <w:p>
      <w:pPr>
        <w:spacing w:after="0" w:line="214" w:lineRule="exact"/>
        <w:rPr>
          <w:sz w:val="24"/>
          <w:szCs w:val="24"/>
          <w:color w:val="auto"/>
        </w:rPr>
      </w:pPr>
    </w:p>
    <w:p>
      <w:pPr>
        <w:ind w:left="40"/>
        <w:spacing w:after="0"/>
        <w:rPr>
          <w:sz w:val="20"/>
          <w:szCs w:val="20"/>
          <w:color w:val="auto"/>
        </w:rPr>
      </w:pPr>
      <w:r>
        <w:rPr>
          <w:rFonts w:ascii="Arial" w:cs="Arial" w:eastAsia="Arial" w:hAnsi="Arial"/>
          <w:sz w:val="22"/>
          <w:szCs w:val="22"/>
          <w:color w:val="auto"/>
        </w:rPr>
        <w:t>Forward-Looking Statements</w:t>
      </w:r>
    </w:p>
    <w:p>
      <w:pPr>
        <w:spacing w:after="0" w:line="233" w:lineRule="exact"/>
        <w:rPr>
          <w:sz w:val="24"/>
          <w:szCs w:val="24"/>
          <w:color w:val="auto"/>
        </w:rPr>
      </w:pPr>
    </w:p>
    <w:p>
      <w:pPr>
        <w:ind w:left="40" w:right="120"/>
        <w:spacing w:after="0" w:line="246" w:lineRule="auto"/>
        <w:rPr>
          <w:sz w:val="20"/>
          <w:szCs w:val="20"/>
          <w:color w:val="auto"/>
        </w:rPr>
      </w:pPr>
      <w:r>
        <w:rPr>
          <w:rFonts w:ascii="Arial" w:cs="Arial" w:eastAsia="Arial" w:hAnsi="Arial"/>
          <w:sz w:val="21"/>
          <w:szCs w:val="21"/>
          <w:color w:val="auto"/>
        </w:rPr>
        <w:t>This Current Report on Form 8-K, including Exhibit 99.1 furnished herewith, may contain "forward-looking statements" within the meaning of the Private Securities Litigation Reform Act of 1995. All statements other than statements of historical facts included in this Current Report on Form 8-K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Floating Rate Capital Ltd. undertakes no duty to update any forward-looking statement made herein. You should not place undue influence on such forward-looking statements as such statements speak only as of the date on which they are made.</w:t>
      </w:r>
    </w:p>
    <w:p>
      <w:pPr>
        <w:spacing w:after="0" w:line="174" w:lineRule="exact"/>
        <w:rPr>
          <w:sz w:val="24"/>
          <w:szCs w:val="24"/>
          <w:color w:val="auto"/>
        </w:rPr>
      </w:pPr>
    </w:p>
    <w:p>
      <w:pPr>
        <w:ind w:left="40"/>
        <w:spacing w:after="0"/>
        <w:rPr>
          <w:sz w:val="20"/>
          <w:szCs w:val="20"/>
          <w:color w:val="auto"/>
        </w:rPr>
      </w:pPr>
      <w:r>
        <w:rPr>
          <w:rFonts w:ascii="Arial" w:cs="Arial" w:eastAsia="Arial" w:hAnsi="Arial"/>
          <w:sz w:val="22"/>
          <w:szCs w:val="22"/>
          <w:b w:val="1"/>
          <w:bCs w:val="1"/>
          <w:color w:val="auto"/>
        </w:rPr>
        <w:t>Item 9.01. Financial Statements and Exhibits</w:t>
      </w:r>
    </w:p>
    <w:p>
      <w:pPr>
        <w:sectPr>
          <w:pgSz w:w="11900" w:h="16838" w:orient="portrait"/>
          <w:cols w:equalWidth="0" w:num="1">
            <w:col w:w="11200"/>
          </w:cols>
          <w:pgMar w:left="320" w:top="828" w:right="379" w:bottom="0" w:gutter="0" w:footer="0" w:header="0"/>
        </w:sectPr>
      </w:pPr>
    </w:p>
    <w:bookmarkStart w:id="1" w:name="page2"/>
    <w:bookmarkEnd w:id="1"/>
    <w:p>
      <w:pPr>
        <w:ind w:left="660" w:right="8800" w:hanging="652"/>
        <w:spacing w:after="0" w:line="280" w:lineRule="auto"/>
        <w:tabs>
          <w:tab w:leader="none" w:pos="318" w:val="left"/>
        </w:tabs>
        <w:numPr>
          <w:ilvl w:val="0"/>
          <w:numId w:val="1"/>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Financial statements: </w:t>
      </w:r>
      <w:r>
        <w:rPr>
          <w:rFonts w:ascii="Arial" w:cs="Arial" w:eastAsia="Arial" w:hAnsi="Arial"/>
          <w:sz w:val="19"/>
          <w:szCs w:val="19"/>
          <w:color w:val="auto"/>
        </w:rPr>
        <w:t>None</w:t>
      </w:r>
    </w:p>
    <w:p>
      <w:pPr>
        <w:ind w:left="660" w:right="7720" w:hanging="652"/>
        <w:spacing w:after="0" w:line="230" w:lineRule="auto"/>
        <w:tabs>
          <w:tab w:leader="none" w:pos="330"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Pro forma financial information: </w:t>
      </w:r>
      <w:r>
        <w:rPr>
          <w:rFonts w:ascii="Arial" w:cs="Arial" w:eastAsia="Arial" w:hAnsi="Arial"/>
          <w:sz w:val="22"/>
          <w:szCs w:val="22"/>
          <w:color w:val="auto"/>
        </w:rPr>
        <w:t>None</w:t>
      </w:r>
    </w:p>
    <w:p>
      <w:pPr>
        <w:spacing w:after="0" w:line="1" w:lineRule="exact"/>
        <w:rPr>
          <w:rFonts w:ascii="Arial" w:cs="Arial" w:eastAsia="Arial" w:hAnsi="Arial"/>
          <w:sz w:val="22"/>
          <w:szCs w:val="22"/>
          <w:b w:val="1"/>
          <w:bCs w:val="1"/>
          <w:color w:val="auto"/>
        </w:rPr>
      </w:pPr>
    </w:p>
    <w:p>
      <w:pPr>
        <w:ind w:left="660" w:right="8180" w:hanging="652"/>
        <w:spacing w:after="0" w:line="230" w:lineRule="auto"/>
        <w:tabs>
          <w:tab w:leader="none" w:pos="306"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Shell company transactions: </w:t>
      </w:r>
      <w:r>
        <w:rPr>
          <w:rFonts w:ascii="Arial" w:cs="Arial" w:eastAsia="Arial" w:hAnsi="Arial"/>
          <w:sz w:val="22"/>
          <w:szCs w:val="22"/>
          <w:color w:val="auto"/>
        </w:rPr>
        <w:t>None</w:t>
      </w:r>
    </w:p>
    <w:p>
      <w:pPr>
        <w:spacing w:after="0" w:line="1" w:lineRule="exact"/>
        <w:rPr>
          <w:rFonts w:ascii="Arial" w:cs="Arial" w:eastAsia="Arial" w:hAnsi="Arial"/>
          <w:sz w:val="22"/>
          <w:szCs w:val="22"/>
          <w:b w:val="1"/>
          <w:bCs w:val="1"/>
          <w:color w:val="auto"/>
        </w:rPr>
      </w:pPr>
    </w:p>
    <w:p>
      <w:pPr>
        <w:ind w:left="320" w:hanging="312"/>
        <w:spacing w:after="0" w:line="230" w:lineRule="auto"/>
        <w:tabs>
          <w:tab w:leader="none" w:pos="320"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Exhibits</w:t>
      </w:r>
    </w:p>
    <w:p>
      <w:pPr>
        <w:spacing w:after="0" w:line="1" w:lineRule="exact"/>
        <w:rPr>
          <w:sz w:val="20"/>
          <w:szCs w:val="20"/>
          <w:color w:val="auto"/>
        </w:rPr>
      </w:pPr>
    </w:p>
    <w:p>
      <w:pPr>
        <w:ind w:left="660"/>
        <w:spacing w:after="0"/>
        <w:tabs>
          <w:tab w:leader="none" w:pos="1400" w:val="left"/>
        </w:tabs>
        <w:rPr>
          <w:rFonts w:ascii="Arial" w:cs="Arial" w:eastAsia="Arial" w:hAnsi="Arial"/>
          <w:sz w:val="19"/>
          <w:szCs w:val="19"/>
          <w:u w:val="single" w:color="auto"/>
          <w:color w:val="0000EE"/>
        </w:rPr>
      </w:pPr>
      <w:r>
        <w:rPr>
          <w:rFonts w:ascii="Arial" w:cs="Arial" w:eastAsia="Arial" w:hAnsi="Arial"/>
          <w:sz w:val="22"/>
          <w:szCs w:val="22"/>
          <w:color w:val="auto"/>
        </w:rPr>
        <w:t>99.1</w:t>
      </w:r>
      <w:r>
        <w:rPr>
          <w:sz w:val="20"/>
          <w:szCs w:val="20"/>
          <w:color w:val="auto"/>
        </w:rPr>
        <w:tab/>
      </w:r>
      <w:hyperlink w:anchor="page3">
        <w:r>
          <w:rPr>
            <w:rFonts w:ascii="Arial" w:cs="Arial" w:eastAsia="Arial" w:hAnsi="Arial"/>
            <w:sz w:val="19"/>
            <w:szCs w:val="19"/>
            <w:u w:val="single" w:color="auto"/>
            <w:color w:val="0000EE"/>
          </w:rPr>
          <w:t>Press Release of PennantPark Floating Rate Capital Ltd. dated August 03, 2015</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708088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80885" cy="8255"/>
                    </a:xfrm>
                    <a:prstGeom prst="rect">
                      <a:avLst/>
                    </a:prstGeom>
                    <a:noFill/>
                  </pic:spPr>
                </pic:pic>
              </a:graphicData>
            </a:graphic>
          </wp:anchor>
        </w:drawing>
      </w:r>
    </w:p>
    <w:p>
      <w:pPr>
        <w:spacing w:after="0" w:line="284" w:lineRule="exact"/>
        <w:rPr>
          <w:sz w:val="20"/>
          <w:szCs w:val="20"/>
          <w:color w:val="auto"/>
        </w:rPr>
      </w:pPr>
    </w:p>
    <w:p>
      <w:pPr>
        <w:jc w:val="center"/>
        <w:ind w:right="-79"/>
        <w:spacing w:after="0"/>
        <w:rPr>
          <w:sz w:val="20"/>
          <w:szCs w:val="20"/>
          <w:color w:val="auto"/>
        </w:rPr>
      </w:pPr>
      <w:r>
        <w:rPr>
          <w:rFonts w:ascii="Arial" w:cs="Arial" w:eastAsia="Arial" w:hAnsi="Arial"/>
          <w:sz w:val="22"/>
          <w:szCs w:val="22"/>
          <w:b w:val="1"/>
          <w:bCs w:val="1"/>
          <w:color w:val="auto"/>
        </w:rPr>
        <w:t>SIGNATURE</w:t>
      </w:r>
    </w:p>
    <w:p>
      <w:pPr>
        <w:spacing w:after="0" w:line="212" w:lineRule="exact"/>
        <w:rPr>
          <w:sz w:val="20"/>
          <w:szCs w:val="20"/>
          <w:color w:val="auto"/>
        </w:rPr>
      </w:pPr>
    </w:p>
    <w:p>
      <w:pPr>
        <w:ind w:right="120" w:firstLine="324"/>
        <w:spacing w:after="0" w:line="250"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hereunto duly authorized.</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3840" w:type="dxa"/>
            <w:vAlign w:val="bottom"/>
          </w:tcPr>
          <w:p>
            <w:pPr>
              <w:spacing w:after="0"/>
              <w:rPr>
                <w:sz w:val="20"/>
                <w:szCs w:val="20"/>
                <w:color w:val="auto"/>
              </w:rPr>
            </w:pPr>
            <w:r>
              <w:rPr>
                <w:rFonts w:ascii="Arial" w:cs="Arial" w:eastAsia="Arial" w:hAnsi="Arial"/>
                <w:sz w:val="22"/>
                <w:szCs w:val="22"/>
                <w:color w:val="auto"/>
              </w:rPr>
              <w:t>Dated: August 03, 2015</w:t>
            </w:r>
          </w:p>
        </w:tc>
        <w:tc>
          <w:tcPr>
            <w:tcW w:w="6780" w:type="dxa"/>
            <w:vAlign w:val="bottom"/>
            <w:gridSpan w:val="3"/>
          </w:tcPr>
          <w:p>
            <w:pPr>
              <w:ind w:left="1780"/>
              <w:spacing w:after="0"/>
              <w:rPr>
                <w:sz w:val="20"/>
                <w:szCs w:val="20"/>
                <w:color w:val="auto"/>
              </w:rPr>
            </w:pPr>
            <w:r>
              <w:rPr>
                <w:rFonts w:ascii="Arial" w:cs="Arial" w:eastAsia="Arial" w:hAnsi="Arial"/>
                <w:sz w:val="22"/>
                <w:szCs w:val="22"/>
                <w:b w:val="1"/>
                <w:bCs w:val="1"/>
                <w:color w:val="auto"/>
                <w:w w:val="97"/>
              </w:rPr>
              <w:t>PENNANTPARK FLOATING RATE CAPITAL LTD.</w:t>
            </w:r>
          </w:p>
        </w:tc>
      </w:tr>
      <w:tr>
        <w:trPr>
          <w:trHeight w:val="408"/>
        </w:trPr>
        <w:tc>
          <w:tcPr>
            <w:tcW w:w="3840" w:type="dxa"/>
            <w:vAlign w:val="bottom"/>
          </w:tcPr>
          <w:p>
            <w:pPr>
              <w:spacing w:after="0"/>
              <w:rPr>
                <w:sz w:val="24"/>
                <w:szCs w:val="24"/>
                <w:color w:val="auto"/>
              </w:rPr>
            </w:pPr>
          </w:p>
        </w:tc>
        <w:tc>
          <w:tcPr>
            <w:tcW w:w="6780" w:type="dxa"/>
            <w:vAlign w:val="bottom"/>
            <w:gridSpan w:val="3"/>
          </w:tcPr>
          <w:p>
            <w:pPr>
              <w:ind w:left="1780"/>
              <w:spacing w:after="0"/>
              <w:rPr>
                <w:sz w:val="20"/>
                <w:szCs w:val="20"/>
                <w:color w:val="auto"/>
              </w:rPr>
            </w:pPr>
            <w:r>
              <w:rPr>
                <w:rFonts w:ascii="Arial" w:cs="Arial" w:eastAsia="Arial" w:hAnsi="Arial"/>
                <w:sz w:val="22"/>
                <w:szCs w:val="22"/>
                <w:color w:val="auto"/>
              </w:rPr>
              <w:t>By: /s/ Aviv Efrat</w:t>
            </w:r>
          </w:p>
        </w:tc>
      </w:tr>
      <w:tr>
        <w:trPr>
          <w:trHeight w:val="20"/>
        </w:trPr>
        <w:tc>
          <w:tcPr>
            <w:tcW w:w="38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340" w:type="dxa"/>
            <w:vAlign w:val="bottom"/>
            <w:shd w:val="clear" w:color="auto" w:fill="000000"/>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r>
      <w:tr>
        <w:trPr>
          <w:trHeight w:val="242"/>
        </w:trPr>
        <w:tc>
          <w:tcPr>
            <w:tcW w:w="3840" w:type="dxa"/>
            <w:vAlign w:val="bottom"/>
          </w:tcPr>
          <w:p>
            <w:pPr>
              <w:spacing w:after="0"/>
              <w:rPr>
                <w:sz w:val="21"/>
                <w:szCs w:val="21"/>
                <w:color w:val="auto"/>
              </w:rPr>
            </w:pPr>
          </w:p>
        </w:tc>
        <w:tc>
          <w:tcPr>
            <w:tcW w:w="6780" w:type="dxa"/>
            <w:vAlign w:val="bottom"/>
            <w:gridSpan w:val="3"/>
          </w:tcPr>
          <w:p>
            <w:pPr>
              <w:ind w:left="2020"/>
              <w:spacing w:after="0" w:line="242" w:lineRule="exact"/>
              <w:rPr>
                <w:sz w:val="20"/>
                <w:szCs w:val="20"/>
                <w:color w:val="auto"/>
              </w:rPr>
            </w:pPr>
            <w:r>
              <w:rPr>
                <w:rFonts w:ascii="Arial" w:cs="Arial" w:eastAsia="Arial" w:hAnsi="Arial"/>
                <w:sz w:val="22"/>
                <w:szCs w:val="22"/>
                <w:color w:val="auto"/>
              </w:rPr>
              <w:t>Aviv Efrat</w:t>
            </w:r>
          </w:p>
        </w:tc>
      </w:tr>
      <w:tr>
        <w:trPr>
          <w:trHeight w:val="274"/>
        </w:trPr>
        <w:tc>
          <w:tcPr>
            <w:tcW w:w="3840" w:type="dxa"/>
            <w:vAlign w:val="bottom"/>
          </w:tcPr>
          <w:p>
            <w:pPr>
              <w:spacing w:after="0"/>
              <w:rPr>
                <w:sz w:val="23"/>
                <w:szCs w:val="23"/>
                <w:color w:val="auto"/>
              </w:rPr>
            </w:pPr>
          </w:p>
        </w:tc>
        <w:tc>
          <w:tcPr>
            <w:tcW w:w="6780" w:type="dxa"/>
            <w:vAlign w:val="bottom"/>
            <w:gridSpan w:val="3"/>
          </w:tcPr>
          <w:p>
            <w:pPr>
              <w:ind w:left="2040"/>
              <w:spacing w:after="0"/>
              <w:rPr>
                <w:sz w:val="20"/>
                <w:szCs w:val="20"/>
                <w:color w:val="auto"/>
              </w:rPr>
            </w:pPr>
            <w:r>
              <w:rPr>
                <w:rFonts w:ascii="Arial" w:cs="Arial" w:eastAsia="Arial" w:hAnsi="Arial"/>
                <w:sz w:val="22"/>
                <w:szCs w:val="22"/>
                <w:i w:val="1"/>
                <w:iCs w:val="1"/>
                <w:color w:val="auto"/>
              </w:rPr>
              <w:t>Chief Financial Officer &amp; Treasurer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87630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67" w:lineRule="exact"/>
        <w:rPr>
          <w:sz w:val="20"/>
          <w:szCs w:val="20"/>
          <w:color w:val="auto"/>
        </w:rPr>
      </w:pPr>
    </w:p>
    <w:tbl>
      <w:tblPr>
        <w:tblLayout w:type="fixed"/>
        <w:tblInd w:w="2260" w:type="dxa"/>
        <w:tblCellMar>
          <w:top w:w="0" w:type="dxa"/>
          <w:left w:w="0" w:type="dxa"/>
          <w:bottom w:w="0" w:type="dxa"/>
          <w:right w:w="0" w:type="dxa"/>
        </w:tblCellMar>
      </w:tblPr>
      <w:tr>
        <w:trPr>
          <w:trHeight w:val="280"/>
        </w:trPr>
        <w:tc>
          <w:tcPr>
            <w:tcW w:w="10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940" w:type="dxa"/>
            <w:vAlign w:val="bottom"/>
            <w:gridSpan w:val="3"/>
          </w:tcPr>
          <w:p>
            <w:pPr>
              <w:ind w:left="820"/>
              <w:spacing w:after="0"/>
              <w:rPr>
                <w:sz w:val="20"/>
                <w:szCs w:val="20"/>
                <w:color w:val="auto"/>
              </w:rPr>
            </w:pPr>
            <w:r>
              <w:rPr>
                <w:rFonts w:ascii="Arial" w:cs="Arial" w:eastAsia="Arial" w:hAnsi="Arial"/>
                <w:sz w:val="22"/>
                <w:szCs w:val="22"/>
                <w:b w:val="1"/>
                <w:bCs w:val="1"/>
                <w:color w:val="auto"/>
              </w:rPr>
              <w:t>Exhibit Index</w:t>
            </w:r>
          </w:p>
        </w:tc>
        <w:tc>
          <w:tcPr>
            <w:tcW w:w="0" w:type="dxa"/>
            <w:vAlign w:val="bottom"/>
          </w:tcPr>
          <w:p>
            <w:pPr>
              <w:spacing w:after="0"/>
              <w:rPr>
                <w:sz w:val="1"/>
                <w:szCs w:val="1"/>
                <w:color w:val="auto"/>
              </w:rPr>
            </w:pPr>
          </w:p>
        </w:tc>
      </w:tr>
      <w:tr>
        <w:trPr>
          <w:trHeight w:val="246"/>
        </w:trPr>
        <w:tc>
          <w:tcPr>
            <w:tcW w:w="1060" w:type="dxa"/>
            <w:vAlign w:val="bottom"/>
            <w:tcBorders>
              <w:bottom w:val="single" w:sz="8" w:color="auto"/>
            </w:tcBorders>
          </w:tcPr>
          <w:p>
            <w:pPr>
              <w:jc w:val="center"/>
              <w:spacing w:after="0" w:line="246" w:lineRule="exact"/>
              <w:rPr>
                <w:sz w:val="20"/>
                <w:szCs w:val="20"/>
                <w:color w:val="auto"/>
              </w:rPr>
            </w:pPr>
            <w:r>
              <w:rPr>
                <w:rFonts w:ascii="Arial" w:cs="Arial" w:eastAsia="Arial" w:hAnsi="Arial"/>
                <w:sz w:val="22"/>
                <w:szCs w:val="22"/>
                <w:b w:val="1"/>
                <w:bCs w:val="1"/>
                <w:color w:val="auto"/>
                <w:w w:val="92"/>
              </w:rPr>
              <w:t>Exhibit No.</w:t>
            </w:r>
          </w:p>
        </w:tc>
        <w:tc>
          <w:tcPr>
            <w:tcW w:w="820" w:type="dxa"/>
            <w:vAlign w:val="bottom"/>
          </w:tcPr>
          <w:p>
            <w:pPr>
              <w:spacing w:after="0"/>
              <w:rPr>
                <w:sz w:val="21"/>
                <w:szCs w:val="21"/>
                <w:color w:val="auto"/>
              </w:rPr>
            </w:pPr>
          </w:p>
        </w:tc>
        <w:tc>
          <w:tcPr>
            <w:tcW w:w="3720" w:type="dxa"/>
            <w:vAlign w:val="bottom"/>
          </w:tcPr>
          <w:p>
            <w:pPr>
              <w:spacing w:after="0"/>
              <w:rPr>
                <w:sz w:val="21"/>
                <w:szCs w:val="21"/>
                <w:color w:val="auto"/>
              </w:rPr>
            </w:pPr>
          </w:p>
        </w:tc>
        <w:tc>
          <w:tcPr>
            <w:tcW w:w="1060" w:type="dxa"/>
            <w:vAlign w:val="bottom"/>
            <w:tcBorders>
              <w:bottom w:val="single" w:sz="8" w:color="auto"/>
            </w:tcBorders>
          </w:tcPr>
          <w:p>
            <w:pPr>
              <w:jc w:val="center"/>
              <w:spacing w:after="0" w:line="246" w:lineRule="exact"/>
              <w:rPr>
                <w:sz w:val="20"/>
                <w:szCs w:val="20"/>
                <w:color w:val="auto"/>
              </w:rPr>
            </w:pPr>
            <w:r>
              <w:rPr>
                <w:rFonts w:ascii="Arial" w:cs="Arial" w:eastAsia="Arial" w:hAnsi="Arial"/>
                <w:sz w:val="22"/>
                <w:szCs w:val="22"/>
                <w:b w:val="1"/>
                <w:bCs w:val="1"/>
                <w:color w:val="auto"/>
                <w:w w:val="87"/>
              </w:rPr>
              <w:t>Description</w:t>
            </w:r>
          </w:p>
        </w:tc>
        <w:tc>
          <w:tcPr>
            <w:tcW w:w="2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6"/>
        </w:trPr>
        <w:tc>
          <w:tcPr>
            <w:tcW w:w="1060" w:type="dxa"/>
            <w:vAlign w:val="bottom"/>
            <w:vMerge w:val="restart"/>
          </w:tcPr>
          <w:p>
            <w:pPr>
              <w:jc w:val="right"/>
              <w:ind w:right="232"/>
              <w:spacing w:after="0"/>
              <w:rPr>
                <w:sz w:val="20"/>
                <w:szCs w:val="20"/>
                <w:color w:val="auto"/>
              </w:rPr>
            </w:pPr>
            <w:r>
              <w:rPr>
                <w:rFonts w:ascii="Arial" w:cs="Arial" w:eastAsia="Arial" w:hAnsi="Arial"/>
                <w:sz w:val="22"/>
                <w:szCs w:val="22"/>
                <w:color w:val="auto"/>
              </w:rPr>
              <w:t>99.1</w:t>
            </w:r>
          </w:p>
        </w:tc>
        <w:tc>
          <w:tcPr>
            <w:tcW w:w="820" w:type="dxa"/>
            <w:vAlign w:val="bottom"/>
          </w:tcPr>
          <w:p>
            <w:pPr>
              <w:spacing w:after="0"/>
              <w:rPr>
                <w:sz w:val="24"/>
                <w:szCs w:val="24"/>
                <w:color w:val="auto"/>
              </w:rPr>
            </w:pPr>
          </w:p>
        </w:tc>
        <w:tc>
          <w:tcPr>
            <w:tcW w:w="6940" w:type="dxa"/>
            <w:vAlign w:val="bottom"/>
            <w:gridSpan w:val="3"/>
          </w:tcPr>
          <w:p>
            <w:pPr>
              <w:jc w:val="center"/>
              <w:ind w:left="1432"/>
              <w:spacing w:after="0"/>
              <w:rPr>
                <w:sz w:val="20"/>
                <w:szCs w:val="20"/>
                <w:color w:val="auto"/>
              </w:rPr>
            </w:pPr>
            <w:r>
              <w:rPr>
                <w:rFonts w:ascii="Arial" w:cs="Arial" w:eastAsia="Arial" w:hAnsi="Arial"/>
                <w:sz w:val="22"/>
                <w:szCs w:val="22"/>
                <w:color w:val="auto"/>
                <w:w w:val="87"/>
              </w:rPr>
              <w:t>Press Release of PennantPark Floating Rate Capital Ltd. dated</w:t>
            </w:r>
          </w:p>
        </w:tc>
        <w:tc>
          <w:tcPr>
            <w:tcW w:w="0" w:type="dxa"/>
            <w:vAlign w:val="bottom"/>
          </w:tcPr>
          <w:p>
            <w:pPr>
              <w:spacing w:after="0"/>
              <w:rPr>
                <w:sz w:val="1"/>
                <w:szCs w:val="1"/>
                <w:color w:val="auto"/>
              </w:rPr>
            </w:pPr>
          </w:p>
        </w:tc>
      </w:tr>
      <w:tr>
        <w:trPr>
          <w:trHeight w:val="153"/>
        </w:trPr>
        <w:tc>
          <w:tcPr>
            <w:tcW w:w="1060" w:type="dxa"/>
            <w:vAlign w:val="bottom"/>
            <w:vMerge w:val="continue"/>
          </w:tcPr>
          <w:p>
            <w:pPr>
              <w:spacing w:after="0"/>
              <w:rPr>
                <w:sz w:val="13"/>
                <w:szCs w:val="13"/>
                <w:color w:val="auto"/>
              </w:rPr>
            </w:pPr>
          </w:p>
        </w:tc>
        <w:tc>
          <w:tcPr>
            <w:tcW w:w="820" w:type="dxa"/>
            <w:vAlign w:val="bottom"/>
          </w:tcPr>
          <w:p>
            <w:pPr>
              <w:spacing w:after="0"/>
              <w:rPr>
                <w:sz w:val="13"/>
                <w:szCs w:val="13"/>
                <w:color w:val="auto"/>
              </w:rPr>
            </w:pPr>
          </w:p>
        </w:tc>
        <w:tc>
          <w:tcPr>
            <w:tcW w:w="6940" w:type="dxa"/>
            <w:vAlign w:val="bottom"/>
            <w:gridSpan w:val="3"/>
            <w:vMerge w:val="restart"/>
          </w:tcPr>
          <w:p>
            <w:pPr>
              <w:jc w:val="center"/>
              <w:ind w:left="1432"/>
              <w:spacing w:after="0"/>
              <w:rPr>
                <w:sz w:val="20"/>
                <w:szCs w:val="20"/>
                <w:color w:val="auto"/>
              </w:rPr>
            </w:pPr>
            <w:r>
              <w:rPr>
                <w:rFonts w:ascii="Arial" w:cs="Arial" w:eastAsia="Arial" w:hAnsi="Arial"/>
                <w:sz w:val="22"/>
                <w:szCs w:val="22"/>
                <w:color w:val="auto"/>
                <w:w w:val="89"/>
              </w:rPr>
              <w:t>August 03, 2015</w:t>
            </w:r>
          </w:p>
        </w:tc>
        <w:tc>
          <w:tcPr>
            <w:tcW w:w="0" w:type="dxa"/>
            <w:vAlign w:val="bottom"/>
          </w:tcPr>
          <w:p>
            <w:pPr>
              <w:spacing w:after="0"/>
              <w:rPr>
                <w:sz w:val="1"/>
                <w:szCs w:val="1"/>
                <w:color w:val="auto"/>
              </w:rPr>
            </w:pPr>
          </w:p>
        </w:tc>
      </w:tr>
      <w:tr>
        <w:trPr>
          <w:trHeight w:val="122"/>
        </w:trPr>
        <w:tc>
          <w:tcPr>
            <w:tcW w:w="10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9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60" w:top="111" w:right="459" w:bottom="1440" w:gutter="0" w:footer="0" w:header="0"/>
        </w:sectPr>
      </w:pPr>
    </w:p>
    <w:bookmarkStart w:id="2" w:name="page3"/>
    <w:bookmarkEnd w:id="2"/>
    <w:p>
      <w:pPr>
        <w:spacing w:after="0"/>
        <w:rPr>
          <w:sz w:val="20"/>
          <w:szCs w:val="20"/>
          <w:color w:val="auto"/>
        </w:rPr>
      </w:pPr>
      <w:r>
        <w:rPr>
          <w:rFonts w:ascii="Arial" w:cs="Arial" w:eastAsia="Arial" w:hAnsi="Arial"/>
          <w:sz w:val="22"/>
          <w:szCs w:val="22"/>
          <w:b w:val="1"/>
          <w:bCs w:val="1"/>
          <w:color w:val="auto"/>
        </w:rPr>
        <w:t>PennantPark Floating Rate Capital Ltd. Announces Monthly Distribution of $0.095 per Share</w:t>
      </w:r>
    </w:p>
    <w:p>
      <w:pPr>
        <w:spacing w:after="0" w:line="213" w:lineRule="exact"/>
        <w:rPr>
          <w:sz w:val="20"/>
          <w:szCs w:val="20"/>
          <w:color w:val="auto"/>
        </w:rPr>
      </w:pPr>
    </w:p>
    <w:p>
      <w:pPr>
        <w:ind w:right="260"/>
        <w:spacing w:after="0" w:line="282" w:lineRule="auto"/>
        <w:rPr>
          <w:sz w:val="20"/>
          <w:szCs w:val="20"/>
          <w:color w:val="auto"/>
        </w:rPr>
      </w:pPr>
      <w:r>
        <w:rPr>
          <w:rFonts w:ascii="Arial" w:cs="Arial" w:eastAsia="Arial" w:hAnsi="Arial"/>
          <w:sz w:val="19"/>
          <w:szCs w:val="19"/>
          <w:color w:val="auto"/>
        </w:rPr>
        <w:t>NEW YORK, NY -- (Marketwired - August 03, 2015) - PennantPark Floating Rate Capital Ltd. (the "Company") (NASDAQ: PFLT) declares monthly distribution for August 2015 of $0.095 per share, payable on September 1, 2015 to stockholders of record as of August 24, 2015. Distributions are paid from taxable earnings and may include a return of capital and/or capital gains. The specific tax characteristics of the distributions will be reported to stockholders on Form 1099 after the end of the calendar year and in the Company's periodic report filed with the Securities and Exchange Commission.</w:t>
      </w:r>
    </w:p>
    <w:p>
      <w:pPr>
        <w:spacing w:after="0" w:line="147" w:lineRule="exact"/>
        <w:rPr>
          <w:sz w:val="20"/>
          <w:szCs w:val="20"/>
          <w:color w:val="auto"/>
        </w:rPr>
      </w:pPr>
    </w:p>
    <w:p>
      <w:pPr>
        <w:spacing w:after="0"/>
        <w:rPr>
          <w:sz w:val="20"/>
          <w:szCs w:val="20"/>
          <w:color w:val="auto"/>
        </w:rPr>
      </w:pPr>
      <w:r>
        <w:rPr>
          <w:rFonts w:ascii="Arial" w:cs="Arial" w:eastAsia="Arial" w:hAnsi="Arial"/>
          <w:sz w:val="22"/>
          <w:szCs w:val="22"/>
          <w:color w:val="auto"/>
        </w:rPr>
        <w:t>ABOUT PENNANTPARK FLOATING RATE CAPITAL LTD.</w:t>
      </w:r>
    </w:p>
    <w:p>
      <w:pPr>
        <w:spacing w:after="0" w:line="206" w:lineRule="exact"/>
        <w:rPr>
          <w:sz w:val="20"/>
          <w:szCs w:val="20"/>
          <w:color w:val="auto"/>
        </w:rPr>
      </w:pPr>
    </w:p>
    <w:p>
      <w:pPr>
        <w:ind w:right="540"/>
        <w:spacing w:after="0" w:line="238" w:lineRule="auto"/>
        <w:rPr>
          <w:sz w:val="20"/>
          <w:szCs w:val="20"/>
          <w:color w:val="auto"/>
        </w:rPr>
      </w:pPr>
      <w:r>
        <w:rPr>
          <w:rFonts w:ascii="Arial" w:cs="Arial" w:eastAsia="Arial" w:hAnsi="Arial"/>
          <w:sz w:val="22"/>
          <w:szCs w:val="22"/>
          <w:color w:val="auto"/>
        </w:rPr>
        <w:t>PennantPark Floating Rate Capital Ltd. is a business development company which primarily invests in U.S. middle-market private companies in the form of floating rate senior secured loans. From time to time, the Company may also invest in mezzanine debt and equity investments. PennantPark Floating Rate Capital Ltd. is managed by PennantPark Investment Advisers, LLC.</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FORWARD-LOOKING STATEMENTS</w:t>
      </w:r>
    </w:p>
    <w:p>
      <w:pPr>
        <w:spacing w:after="0" w:line="206" w:lineRule="exact"/>
        <w:rPr>
          <w:sz w:val="20"/>
          <w:szCs w:val="20"/>
          <w:color w:val="auto"/>
        </w:rPr>
      </w:pPr>
    </w:p>
    <w:p>
      <w:pPr>
        <w:spacing w:after="0" w:line="246" w:lineRule="auto"/>
        <w:rPr>
          <w:sz w:val="20"/>
          <w:szCs w:val="20"/>
          <w:color w:val="auto"/>
        </w:rPr>
      </w:pPr>
      <w:r>
        <w:rPr>
          <w:rFonts w:ascii="Arial" w:cs="Arial" w:eastAsia="Arial" w:hAnsi="Arial"/>
          <w:sz w:val="21"/>
          <w:szCs w:val="21"/>
          <w:color w:val="auto"/>
        </w:rPr>
        <w:t>This press release may contain "forward-looking statements" within the meaning of the Private Securities Litigation Reform Act of 1995.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The Company undertakes no duty to update any forward-looking statement made herein. You should not place undue influence on such forward-looking statements as such statements speak only as of the date on which they are made.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CONTACT:</w:t>
      </w:r>
    </w:p>
    <w:p>
      <w:pPr>
        <w:spacing w:after="0" w:line="238" w:lineRule="auto"/>
        <w:rPr>
          <w:sz w:val="20"/>
          <w:szCs w:val="20"/>
          <w:color w:val="auto"/>
        </w:rPr>
      </w:pPr>
      <w:r>
        <w:rPr>
          <w:rFonts w:ascii="Courier New" w:cs="Courier New" w:eastAsia="Courier New" w:hAnsi="Courier New"/>
          <w:sz w:val="18"/>
          <w:szCs w:val="18"/>
          <w:color w:val="auto"/>
        </w:rPr>
        <w:t>Aviv Efrat</w:t>
      </w:r>
    </w:p>
    <w:p>
      <w:pPr>
        <w:spacing w:after="0" w:line="238" w:lineRule="auto"/>
        <w:rPr>
          <w:sz w:val="20"/>
          <w:szCs w:val="20"/>
          <w:color w:val="auto"/>
        </w:rPr>
      </w:pPr>
      <w:r>
        <w:rPr>
          <w:rFonts w:ascii="Courier New" w:cs="Courier New" w:eastAsia="Courier New" w:hAnsi="Courier New"/>
          <w:sz w:val="18"/>
          <w:szCs w:val="18"/>
          <w:color w:val="auto"/>
        </w:rPr>
        <w:t>PennantPark Floating Rate Capital Ltd.</w:t>
      </w:r>
    </w:p>
    <w:p>
      <w:pPr>
        <w:spacing w:after="0" w:line="5" w:lineRule="exact"/>
        <w:rPr>
          <w:sz w:val="20"/>
          <w:szCs w:val="20"/>
          <w:color w:val="auto"/>
        </w:rPr>
      </w:pPr>
    </w:p>
    <w:p>
      <w:pPr>
        <w:ind w:right="9180" w:firstLine="8"/>
        <w:spacing w:after="0" w:line="290" w:lineRule="auto"/>
        <w:tabs>
          <w:tab w:leader="none" w:pos="632"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905-1000 www.pennantpark.com</w:t>
      </w:r>
    </w:p>
    <w:sectPr>
      <w:pgSz w:w="11900" w:h="16838" w:orient="portrait"/>
      <w:cols w:equalWidth="0" w:num="1">
        <w:col w:w="11180"/>
      </w:cols>
      <w:pgMar w:left="320" w:top="111"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lowerLetter"/>
      <w:start w:val="1"/>
    </w:lvl>
  </w:abstractNum>
  <w:abstractNum w:abstractNumId="1">
    <w:nsid w:val="66334873"/>
    <w:multiLevelType w:val="hybridMultilevel"/>
    <w:lvl w:ilvl="0">
      <w:lvlJc w:val="left"/>
      <w:lvlText w:val="(%1)"/>
      <w:numFmt w:val="decimal"/>
      <w:start w:val="212"/>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2020-05-05T12:04:31Z</dcterms:created>
  <dcterms:modified xsi:type="dcterms:W3CDTF">2020-05-05T12:04:31Z</dcterms:modified>
</cp:coreProperties>
</file>