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8,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August 8, 2017, PennantPark Floating Rate Capital Ltd. issued a press release announcing financial results for the second fiscal quarter ended June 30, 2017. A copy of the press release is furnished as Exhibit 99.1 to this report pursuant to Item 2.02 on Form 8-K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601"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50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600" w:right="8820" w:hanging="592"/>
        <w:spacing w:after="0" w:line="50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52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Floating Rate Capital Ltd. dated August 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3"/>
          </w:tcPr>
          <w:p>
            <w:pPr>
              <w:ind w:left="196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8, 2017</w:t>
            </w:r>
          </w:p>
        </w:tc>
        <w:tc>
          <w:tcPr>
            <w:tcW w:w="7740" w:type="dxa"/>
            <w:vAlign w:val="bottom"/>
            <w:gridSpan w:val="3"/>
          </w:tcPr>
          <w:p>
            <w:pPr>
              <w:ind w:left="1960"/>
              <w:spacing w:after="0"/>
              <w:rPr>
                <w:sz w:val="20"/>
                <w:szCs w:val="20"/>
                <w:color w:val="auto"/>
              </w:rPr>
            </w:pPr>
            <w:r>
              <w:rPr>
                <w:rFonts w:ascii="Arial" w:cs="Arial" w:eastAsia="Arial" w:hAnsi="Arial"/>
                <w:sz w:val="18"/>
                <w:szCs w:val="18"/>
                <w:color w:val="auto"/>
              </w:rPr>
              <w:t>By: /s/ Aviv Efrat</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Floating Rate Capital Ltd. dated August 8, 2017</w:t>
      </w:r>
    </w:p>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June 30, 2017</w:t>
      </w:r>
    </w:p>
    <w:p>
      <w:pPr>
        <w:spacing w:after="0" w:line="212"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NEW YORK, Aug. 08, 2017 (GLOBE NEWSWIRE) -- PennantPark Floating Rate Capital Ltd. (NASDAQ:PFLT) announced today financial results for the third fiscal quarter ended June 30, 2017.</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HIGHLIGHTS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June 30, 2017</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5100" w:type="dxa"/>
            <w:vAlign w:val="bottom"/>
          </w:tcPr>
          <w:p>
            <w:pPr>
              <w:spacing w:after="0"/>
              <w:rPr>
                <w:sz w:val="20"/>
                <w:szCs w:val="20"/>
                <w:color w:val="auto"/>
              </w:rPr>
            </w:pPr>
            <w:r>
              <w:rPr>
                <w:rFonts w:ascii="Arial" w:cs="Arial" w:eastAsia="Arial" w:hAnsi="Arial"/>
                <w:sz w:val="22"/>
                <w:szCs w:val="22"/>
                <w:color w:val="auto"/>
              </w:rPr>
              <w:t>Assets and Liabilities:</w:t>
            </w: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20"/>
        </w:trPr>
        <w:tc>
          <w:tcPr>
            <w:tcW w:w="5100" w:type="dxa"/>
            <w:vAlign w:val="bottom"/>
          </w:tcPr>
          <w:p>
            <w:pPr>
              <w:ind w:left="20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769.6</w:t>
            </w:r>
          </w:p>
        </w:tc>
      </w:tr>
      <w:tr>
        <w:trPr>
          <w:trHeight w:val="270"/>
        </w:trPr>
        <w:tc>
          <w:tcPr>
            <w:tcW w:w="5100" w:type="dxa"/>
            <w:vAlign w:val="bottom"/>
          </w:tcPr>
          <w:p>
            <w:pPr>
              <w:ind w:left="200"/>
              <w:spacing w:after="0"/>
              <w:rPr>
                <w:sz w:val="20"/>
                <w:szCs w:val="20"/>
                <w:color w:val="auto"/>
              </w:rPr>
            </w:pPr>
            <w:r>
              <w:rPr>
                <w:rFonts w:ascii="Arial" w:cs="Arial" w:eastAsia="Arial" w:hAnsi="Arial"/>
                <w:sz w:val="22"/>
                <w:szCs w:val="22"/>
                <w:color w:val="auto"/>
              </w:rPr>
              <w:t>Net assets</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456.3</w:t>
            </w:r>
          </w:p>
        </w:tc>
      </w:tr>
      <w:tr>
        <w:trPr>
          <w:trHeight w:val="270"/>
        </w:trPr>
        <w:tc>
          <w:tcPr>
            <w:tcW w:w="5100" w:type="dxa"/>
            <w:vAlign w:val="bottom"/>
          </w:tcPr>
          <w:p>
            <w:pPr>
              <w:ind w:left="200"/>
              <w:spacing w:after="0"/>
              <w:rPr>
                <w:sz w:val="20"/>
                <w:szCs w:val="20"/>
                <w:color w:val="auto"/>
              </w:rPr>
            </w:pPr>
            <w:r>
              <w:rPr>
                <w:rFonts w:ascii="Arial" w:cs="Arial" w:eastAsia="Arial" w:hAnsi="Arial"/>
                <w:sz w:val="22"/>
                <w:szCs w:val="22"/>
                <w:color w:val="auto"/>
              </w:rPr>
              <w:t>Net asset value per share</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14.05</w:t>
            </w:r>
          </w:p>
        </w:tc>
      </w:tr>
      <w:tr>
        <w:trPr>
          <w:trHeight w:val="274"/>
        </w:trPr>
        <w:tc>
          <w:tcPr>
            <w:tcW w:w="5100" w:type="dxa"/>
            <w:vAlign w:val="bottom"/>
          </w:tcPr>
          <w:p>
            <w:pPr>
              <w:ind w:left="200"/>
              <w:spacing w:after="0"/>
              <w:rPr>
                <w:sz w:val="20"/>
                <w:szCs w:val="20"/>
                <w:color w:val="auto"/>
              </w:rPr>
            </w:pPr>
            <w:r>
              <w:rPr>
                <w:rFonts w:ascii="Arial" w:cs="Arial" w:eastAsia="Arial" w:hAnsi="Arial"/>
                <w:sz w:val="22"/>
                <w:szCs w:val="22"/>
                <w:color w:val="auto"/>
              </w:rPr>
              <w:t>Credit Facility</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293.7</w:t>
            </w:r>
          </w:p>
        </w:tc>
      </w:tr>
      <w:tr>
        <w:trPr>
          <w:trHeight w:val="540"/>
        </w:trPr>
        <w:tc>
          <w:tcPr>
            <w:tcW w:w="510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7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536"/>
        </w:trPr>
        <w:tc>
          <w:tcPr>
            <w:tcW w:w="5100" w:type="dxa"/>
            <w:vAlign w:val="bottom"/>
          </w:tcPr>
          <w:p>
            <w:pPr>
              <w:spacing w:after="0"/>
              <w:rPr>
                <w:sz w:val="20"/>
                <w:szCs w:val="20"/>
                <w:color w:val="auto"/>
              </w:rPr>
            </w:pPr>
            <w:r>
              <w:rPr>
                <w:rFonts w:ascii="Arial" w:cs="Arial" w:eastAsia="Arial" w:hAnsi="Arial"/>
                <w:sz w:val="22"/>
                <w:szCs w:val="22"/>
                <w:color w:val="auto"/>
              </w:rPr>
              <w:t>Operating Results:</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5100" w:type="dxa"/>
            <w:vAlign w:val="bottom"/>
          </w:tcPr>
          <w:p>
            <w:pPr>
              <w:ind w:left="200"/>
              <w:spacing w:after="0"/>
              <w:rPr>
                <w:sz w:val="20"/>
                <w:szCs w:val="20"/>
                <w:color w:val="auto"/>
              </w:rPr>
            </w:pPr>
            <w:r>
              <w:rPr>
                <w:rFonts w:ascii="Arial" w:cs="Arial" w:eastAsia="Arial" w:hAnsi="Arial"/>
                <w:sz w:val="22"/>
                <w:szCs w:val="22"/>
                <w:color w:val="auto"/>
              </w:rPr>
              <w:t>Net investment income</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8.2</w:t>
            </w:r>
          </w:p>
        </w:tc>
      </w:tr>
      <w:tr>
        <w:trPr>
          <w:trHeight w:val="270"/>
        </w:trPr>
        <w:tc>
          <w:tcPr>
            <w:tcW w:w="5100" w:type="dxa"/>
            <w:vAlign w:val="bottom"/>
          </w:tcPr>
          <w:p>
            <w:pPr>
              <w:ind w:left="200"/>
              <w:spacing w:after="0"/>
              <w:rPr>
                <w:sz w:val="20"/>
                <w:szCs w:val="20"/>
                <w:color w:val="auto"/>
              </w:rPr>
            </w:pPr>
            <w:r>
              <w:rPr>
                <w:rFonts w:ascii="Arial" w:cs="Arial" w:eastAsia="Arial" w:hAnsi="Arial"/>
                <w:sz w:val="22"/>
                <w:szCs w:val="22"/>
                <w:color w:val="auto"/>
              </w:rPr>
              <w:t>GAAP net investment income per share</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0.25</w:t>
            </w:r>
          </w:p>
        </w:tc>
      </w:tr>
      <w:tr>
        <w:trPr>
          <w:trHeight w:val="274"/>
        </w:trPr>
        <w:tc>
          <w:tcPr>
            <w:tcW w:w="5880" w:type="dxa"/>
            <w:vAlign w:val="bottom"/>
            <w:gridSpan w:val="2"/>
          </w:tcPr>
          <w:p>
            <w:pPr>
              <w:ind w:left="200"/>
              <w:spacing w:after="0"/>
              <w:rPr>
                <w:sz w:val="20"/>
                <w:szCs w:val="20"/>
                <w:color w:val="auto"/>
              </w:rPr>
            </w:pPr>
            <w:r>
              <w:rPr>
                <w:rFonts w:ascii="Arial" w:cs="Arial" w:eastAsia="Arial" w:hAnsi="Arial"/>
                <w:sz w:val="22"/>
                <w:szCs w:val="22"/>
                <w:color w:val="auto"/>
                <w:w w:val="87"/>
              </w:rPr>
              <w:t>Capital gain incentive fee and accrued but not payable per share $</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0.02</w:t>
            </w:r>
          </w:p>
        </w:tc>
      </w:tr>
      <w:tr>
        <w:trPr>
          <w:trHeight w:val="320"/>
        </w:trPr>
        <w:tc>
          <w:tcPr>
            <w:tcW w:w="5100" w:type="dxa"/>
            <w:vAlign w:val="bottom"/>
          </w:tcPr>
          <w:p>
            <w:pPr>
              <w:ind w:left="200"/>
              <w:spacing w:after="0" w:line="319" w:lineRule="exact"/>
              <w:rPr>
                <w:sz w:val="20"/>
                <w:szCs w:val="20"/>
                <w:color w:val="auto"/>
              </w:rPr>
            </w:pPr>
            <w:r>
              <w:rPr>
                <w:rFonts w:ascii="Arial" w:cs="Arial" w:eastAsia="Arial" w:hAnsi="Arial"/>
                <w:sz w:val="22"/>
                <w:szCs w:val="22"/>
                <w:color w:val="auto"/>
              </w:rPr>
              <w:t xml:space="preserve">Core net investment income per share </w:t>
            </w:r>
            <w:r>
              <w:rPr>
                <w:rFonts w:ascii="Arial" w:cs="Arial" w:eastAsia="Arial" w:hAnsi="Arial"/>
                <w:sz w:val="35"/>
                <w:szCs w:val="35"/>
                <w:color w:val="auto"/>
                <w:vertAlign w:val="superscript"/>
              </w:rPr>
              <w:t>(2)</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0.27</w:t>
            </w:r>
          </w:p>
        </w:tc>
      </w:tr>
      <w:tr>
        <w:trPr>
          <w:trHeight w:val="274"/>
        </w:trPr>
        <w:tc>
          <w:tcPr>
            <w:tcW w:w="5100" w:type="dxa"/>
            <w:vAlign w:val="bottom"/>
          </w:tcPr>
          <w:p>
            <w:pPr>
              <w:ind w:left="200"/>
              <w:spacing w:after="0"/>
              <w:rPr>
                <w:sz w:val="20"/>
                <w:szCs w:val="20"/>
                <w:color w:val="auto"/>
              </w:rPr>
            </w:pPr>
            <w:r>
              <w:rPr>
                <w:rFonts w:ascii="Arial" w:cs="Arial" w:eastAsia="Arial" w:hAnsi="Arial"/>
                <w:sz w:val="22"/>
                <w:szCs w:val="22"/>
                <w:color w:val="auto"/>
              </w:rPr>
              <w:t>Distributions declared per share</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0.285</w:t>
            </w:r>
          </w:p>
        </w:tc>
      </w:tr>
      <w:tr>
        <w:trPr>
          <w:trHeight w:val="540"/>
        </w:trPr>
        <w:tc>
          <w:tcPr>
            <w:tcW w:w="5100" w:type="dxa"/>
            <w:vAlign w:val="bottom"/>
          </w:tcPr>
          <w:p>
            <w:pPr>
              <w:spacing w:after="0"/>
              <w:rPr>
                <w:sz w:val="20"/>
                <w:szCs w:val="20"/>
                <w:color w:val="auto"/>
              </w:rPr>
            </w:pPr>
            <w:r>
              <w:rPr>
                <w:rFonts w:ascii="Arial" w:cs="Arial" w:eastAsia="Arial" w:hAnsi="Arial"/>
                <w:sz w:val="22"/>
                <w:szCs w:val="22"/>
                <w:color w:val="auto"/>
              </w:rPr>
              <w:t>Portfolio Activity:</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0"/>
        </w:trPr>
        <w:tc>
          <w:tcPr>
            <w:tcW w:w="5100" w:type="dxa"/>
            <w:vAlign w:val="bottom"/>
          </w:tcPr>
          <w:p>
            <w:pPr>
              <w:ind w:left="200"/>
              <w:spacing w:after="0" w:line="319" w:lineRule="exact"/>
              <w:rPr>
                <w:sz w:val="20"/>
                <w:szCs w:val="20"/>
                <w:color w:val="auto"/>
              </w:rPr>
            </w:pPr>
            <w:r>
              <w:rPr>
                <w:rFonts w:ascii="Arial" w:cs="Arial" w:eastAsia="Arial" w:hAnsi="Arial"/>
                <w:sz w:val="22"/>
                <w:szCs w:val="22"/>
                <w:color w:val="auto"/>
              </w:rPr>
              <w:t xml:space="preserve">Purchases of investments </w:t>
            </w:r>
            <w:r>
              <w:rPr>
                <w:rFonts w:ascii="Arial" w:cs="Arial" w:eastAsia="Arial" w:hAnsi="Arial"/>
                <w:sz w:val="35"/>
                <w:szCs w:val="35"/>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207.6</w:t>
            </w:r>
          </w:p>
        </w:tc>
      </w:tr>
      <w:tr>
        <w:trPr>
          <w:trHeight w:val="274"/>
        </w:trPr>
        <w:tc>
          <w:tcPr>
            <w:tcW w:w="5100" w:type="dxa"/>
            <w:vAlign w:val="bottom"/>
          </w:tcPr>
          <w:p>
            <w:pPr>
              <w:ind w:left="200"/>
              <w:spacing w:after="0"/>
              <w:rPr>
                <w:sz w:val="20"/>
                <w:szCs w:val="20"/>
                <w:color w:val="auto"/>
              </w:rPr>
            </w:pPr>
            <w:r>
              <w:rPr>
                <w:rFonts w:ascii="Arial" w:cs="Arial" w:eastAsia="Arial" w:hAnsi="Arial"/>
                <w:sz w:val="22"/>
                <w:szCs w:val="22"/>
                <w:color w:val="auto"/>
              </w:rPr>
              <w:t>Sales and repayments of investments</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92"/>
              <w:spacing w:after="0"/>
              <w:rPr>
                <w:sz w:val="20"/>
                <w:szCs w:val="20"/>
                <w:color w:val="auto"/>
              </w:rPr>
            </w:pPr>
            <w:r>
              <w:rPr>
                <w:rFonts w:ascii="Arial" w:cs="Arial" w:eastAsia="Arial" w:hAnsi="Arial"/>
                <w:sz w:val="22"/>
                <w:szCs w:val="22"/>
                <w:color w:val="auto"/>
                <w:w w:val="87"/>
              </w:rPr>
              <w:t>172.9</w:t>
            </w:r>
          </w:p>
        </w:tc>
      </w:tr>
      <w:tr>
        <w:trPr>
          <w:trHeight w:val="536"/>
        </w:trPr>
        <w:tc>
          <w:tcPr>
            <w:tcW w:w="5100" w:type="dxa"/>
            <w:vAlign w:val="bottom"/>
          </w:tcPr>
          <w:p>
            <w:pPr>
              <w:ind w:left="200"/>
              <w:spacing w:after="0"/>
              <w:rPr>
                <w:sz w:val="20"/>
                <w:szCs w:val="20"/>
                <w:color w:val="auto"/>
              </w:rPr>
            </w:pPr>
            <w:r>
              <w:rPr>
                <w:rFonts w:ascii="Arial" w:cs="Arial" w:eastAsia="Arial" w:hAnsi="Arial"/>
                <w:sz w:val="22"/>
                <w:szCs w:val="22"/>
                <w:color w:val="auto"/>
              </w:rPr>
              <w:t>Number of new portfolio companies invested</w:t>
            </w:r>
          </w:p>
        </w:tc>
        <w:tc>
          <w:tcPr>
            <w:tcW w:w="7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4</w:t>
            </w:r>
          </w:p>
        </w:tc>
      </w:tr>
      <w:tr>
        <w:trPr>
          <w:trHeight w:val="270"/>
        </w:trPr>
        <w:tc>
          <w:tcPr>
            <w:tcW w:w="5100" w:type="dxa"/>
            <w:vAlign w:val="bottom"/>
          </w:tcPr>
          <w:p>
            <w:pPr>
              <w:ind w:left="200"/>
              <w:spacing w:after="0"/>
              <w:rPr>
                <w:sz w:val="20"/>
                <w:szCs w:val="20"/>
                <w:color w:val="auto"/>
              </w:rPr>
            </w:pPr>
            <w:r>
              <w:rPr>
                <w:rFonts w:ascii="Arial" w:cs="Arial" w:eastAsia="Arial" w:hAnsi="Arial"/>
                <w:sz w:val="22"/>
                <w:szCs w:val="22"/>
                <w:color w:val="auto"/>
              </w:rPr>
              <w:t>Number of existing portfolio companies invested</w:t>
            </w:r>
          </w:p>
        </w:tc>
        <w:tc>
          <w:tcPr>
            <w:tcW w:w="78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14</w:t>
            </w:r>
          </w:p>
        </w:tc>
      </w:tr>
      <w:tr>
        <w:trPr>
          <w:trHeight w:val="274"/>
        </w:trPr>
        <w:tc>
          <w:tcPr>
            <w:tcW w:w="5100" w:type="dxa"/>
            <w:vAlign w:val="bottom"/>
          </w:tcPr>
          <w:p>
            <w:pPr>
              <w:ind w:left="200"/>
              <w:spacing w:after="0"/>
              <w:rPr>
                <w:sz w:val="20"/>
                <w:szCs w:val="20"/>
                <w:color w:val="auto"/>
              </w:rPr>
            </w:pPr>
            <w:r>
              <w:rPr>
                <w:rFonts w:ascii="Arial" w:cs="Arial" w:eastAsia="Arial" w:hAnsi="Arial"/>
                <w:sz w:val="22"/>
                <w:szCs w:val="22"/>
                <w:color w:val="auto"/>
              </w:rPr>
              <w:t>Number of portfolio companies at quarter-end</w:t>
            </w:r>
          </w:p>
        </w:tc>
        <w:tc>
          <w:tcPr>
            <w:tcW w:w="78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22"/>
                <w:szCs w:val="22"/>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0" w:hanging="259"/>
        <w:spacing w:after="0"/>
        <w:tabs>
          <w:tab w:leader="none" w:pos="280" w:val="left"/>
        </w:tabs>
        <w:numPr>
          <w:ilvl w:val="0"/>
          <w:numId w:val="2"/>
        </w:numPr>
        <w:rPr>
          <w:rFonts w:ascii="Arial" w:cs="Arial" w:eastAsia="Arial" w:hAnsi="Arial"/>
          <w:sz w:val="31"/>
          <w:szCs w:val="31"/>
          <w:color w:val="auto"/>
          <w:vertAlign w:val="superscript"/>
        </w:rPr>
      </w:pPr>
      <w:r>
        <w:rPr>
          <w:rFonts w:ascii="Arial" w:cs="Arial" w:eastAsia="Arial" w:hAnsi="Arial"/>
          <w:sz w:val="19"/>
          <w:szCs w:val="19"/>
          <w:color w:val="auto"/>
        </w:rPr>
        <w:t>Includes PennantPark Senior Secured Loan Fund I LLC, or PSSL, an unconsolidated joint venture.</w:t>
      </w:r>
    </w:p>
    <w:p>
      <w:pPr>
        <w:spacing w:after="0" w:line="67" w:lineRule="exact"/>
        <w:rPr>
          <w:rFonts w:ascii="Arial" w:cs="Arial" w:eastAsia="Arial" w:hAnsi="Arial"/>
          <w:sz w:val="31"/>
          <w:szCs w:val="31"/>
          <w:color w:val="auto"/>
          <w:vertAlign w:val="superscript"/>
        </w:rPr>
      </w:pPr>
    </w:p>
    <w:p>
      <w:pPr>
        <w:ind w:left="20" w:right="100" w:firstLine="1"/>
        <w:spacing w:after="0" w:line="228" w:lineRule="auto"/>
        <w:tabs>
          <w:tab w:leader="none" w:pos="284" w:val="left"/>
        </w:tabs>
        <w:numPr>
          <w:ilvl w:val="0"/>
          <w:numId w:val="2"/>
        </w:numPr>
        <w:rPr>
          <w:rFonts w:ascii="Arial" w:cs="Arial" w:eastAsia="Arial" w:hAnsi="Arial"/>
          <w:sz w:val="32"/>
          <w:szCs w:val="32"/>
          <w:color w:val="auto"/>
          <w:vertAlign w:val="superscript"/>
        </w:rPr>
      </w:pPr>
      <w:r>
        <w:rPr>
          <w:rFonts w:ascii="Arial" w:cs="Arial" w:eastAsia="Arial" w:hAnsi="Arial"/>
          <w:sz w:val="20"/>
          <w:szCs w:val="20"/>
          <w:color w:val="auto"/>
        </w:rPr>
        <w:t>Core net investment income is a non-GAAP financial measure. The Company believes that core net investment income provides useful information to investors and management because it reflects the Company’s financial performance excluding the charges related to incentive fee on realized gains and incentive fee on net unrealized gains accrued under GAAP but not payable unless such net unrealized gains are realized. The presentation of this additional information is not meant to be considered in isolation or as a substitute for financial results prepared in accordance with GAAP.</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9, 2017</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PennantPark Floating Rate Capital Ltd. (“we,” “our,” “us” or “Company”) will host a conference call at 10:00 a.m. (Eastern Time) on Wednesday, August 9, 2017 to discuss its financial results. All interested parties are welcome to participate. You can access the conference call by dialing (800) 327-5138 approximately 5-10 minutes prior to the call. International callers should dial (719) 325-2280. All callers should reference PennantPark Floating Rate Capital Ltd. An archived replay of the call will be available through August 23, 2017 by calling (888) 203-1112. International callers please dial (719) 457-0820. For all phone replays, please reference conference ID #3671925.</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of June 30, 2017, our portfolio totaled $698.9 million and consisted of $613.3 million of senior secured debt, $32.4 million of second lien secured debt, $32.5 million of subordinated debt and $20.7 million of preferred and common equity. Our debt portfolio consisted of 99% variable-rate investments (including 9% where the London Interbank Offered Rate, or LIBOR, was below the floor) and 1% fixed-rate investments. As of June 30, 2017, we had one company on non-accrual, representing 0.4% and 0.2% of our overall portfolio on a cost and fair value basis, respectively. Overall, the portfolio had net unrealized appreciation of $1.4 million. Our overall portfolio consisted of 86 companies with an average investment size of $8.1 million,</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51" w:lineRule="auto"/>
        <w:rPr>
          <w:sz w:val="20"/>
          <w:szCs w:val="20"/>
          <w:color w:val="auto"/>
        </w:rPr>
      </w:pPr>
      <w:r>
        <w:rPr>
          <w:rFonts w:ascii="Arial" w:cs="Arial" w:eastAsia="Arial" w:hAnsi="Arial"/>
          <w:sz w:val="22"/>
          <w:szCs w:val="22"/>
          <w:color w:val="auto"/>
        </w:rPr>
        <w:t>had a weighted average yield on debt investments of 8.2%, and was invested 88% in senior secured debt, 4% in second lien secured debt, 5% in subordinated debt and 3% in preferred and common equity.</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where the applicable LIBOR was below the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2017, we invested $136.7 million in four new and 14 existing portfolio companies with a weighted average yield on debt investments of 8.3%. Sales and repayments of investments for the three months ended June 30, 2017 totaled $172.9 million. For the nine months ended June 30, 2017, we invested $407.8 million in 25 new and 37 existing portfolio companies with a weighted average yield on debt investments of 7.8%. Sales and repayments of investments for the nine months ended June 30, 2017 totaled $314.8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2016, we invested $101.2 million in 14 new and six existing portfolio companies with a weighted average yield on debt investments of 7.4%. Sales and repayments of investments for the three months ended June 30, 2016 totaled $40.3 million. For the nine months ended June 30, 2016, we invested $257.7 million in 29 new and 16 existing portfolio companies with a weighted average yield on debt investments of 8.1%. Sales and repayments of investments for the nine months ended June 30, 2016 totaled $97.1 million.</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May 2017, we and Trinity Universal Insurance Company, or Trinity, a subsidiary of Kemper Corporation (NYSE:KMPR), or Kemper, formed PSSL. PSSL invests primarily in middle-market and other corporate debt securities consistent with our strategy. PSSL was formed as a Delaware limited liability company.</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of June 30, 2017, PSSL’s portfolio totaled $70.7 million. PSSL’s debt portfolio consisted of 100% variable-rate investments (including 7% where LIBOR was below the floor). Overall, the portfolio had net unrealized appreciation of less than $0.1 million. PSSL’s overall portfolio consisted of 14 companies with an average investment size of $5.1 million, had a weighted average yield on debt investments of 7.5%, and was invested 100% in senior secured debt.</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period May 4, 2017 (inception) through June 30, 2017, PSSL invested $70.7 million in 14 new portfolio companies with a weighted average yield on debt investments of 6.7%. There were no sales for the same period.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2017 and 2016.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Investment income for the three and nine months ended June 30, 2017 was $15.2 million and $41.0 million, respectively, and was attributable to $13.9 million and $37.1 million from senior secured loans and $1.3 million and $3.9 million from second lien secured debt and subordinated debt. This compares to investment income for the three and nine months ended June 30, 2016, which was $10.8 million and $30.9 million, respectively, and was attributable to $9.0 million and $26.0 million from senior secured loans and the remainder from second lien secured debt and subordinated debt. The increase in investment income compared to the same periods in the prior year was primarily due to the growth of our portfolio.</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Expenses for the three and nine months ended June 30, 2017 totaled $7.0 million and $18.0 million, respectively. Base management fee for the same periods totaled $1.8 million and $5.1 million, incentive fee totaled $1.4 million (including $0.2 million on realized gains and $0.4 million on unrealized gains accrued but not payable) and $3.4 million (including $0.2 million on realized gains and $0.9 million on unrealized gains accrued but not payable), our multi-currency, senior secured revolving credit facility, or the Credit Facility, expenses totaled $2.5 million and $6.3 million, general and administrative expenses totaled $1.2 million and $3.0 million and provision for taxes totaled $0.1 million and $0.2 million, respectively. This compares to expenses for the three and nine months ended June 30, 2016, which totaled $4.0 million and $11.7 million, respectively. Base management fee for the same periods totaled $1.3 million and $3.6 million, incentive fee totaled $0.5 million and $1.3 million, Credit Facility expenses totaled $1.3 million and $4.2 million (including $0.9 million of amendment expenses) and general and administrative expenses totaled $0.9 million and $2.6 million, respectively. The increase in expenses compared with the same periods in the prior year was primarily due to increases in base management and incentive fees as a result from the growth of our portfolio.</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Net investment income totaled $8.2 million and $23.0 million, or $0.25 and $0.78 per share, for the three and nine months ended June 30, 2017, respectively. Core net investment income, a non-GAAP financial measure, totaled $8.9 million and $24.2 million, or $0.27 and $0.82 per share, for the three and six months ended June 30, 2017, respectively. Net investment income totaled $6.8</w:t>
      </w:r>
    </w:p>
    <w:p>
      <w:pPr>
        <w:sectPr>
          <w:pgSz w:w="11900" w:h="16838" w:orient="portrait"/>
          <w:cols w:equalWidth="0" w:num="1">
            <w:col w:w="11240"/>
          </w:cols>
          <w:pgMar w:left="320" w:top="118" w:right="339" w:bottom="0" w:gutter="0" w:footer="0" w:header="0"/>
        </w:sectPr>
      </w:pPr>
    </w:p>
    <w:bookmarkStart w:id="6" w:name="page7"/>
    <w:bookmarkEnd w:id="6"/>
    <w:p>
      <w:pPr>
        <w:spacing w:after="0" w:line="35"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million and $19.2 million, or $0.26 and $0.72 per share, for the three and nine months ended June 30, 2016, respectively. The increase in net investment income compared to the same period in the prior year was primarily due to the growth of our portfolio.</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Sales and repayments of investments for the three and nine months ended June 30, 2017 totaled $172.9 million and $314.8 million and net realized gains totaled $2.5 million and $5.0 million, respectively. Sales and repayments of investments totaled $40.3 million and $97.1 million and realized gains (losses) totaled $0.2 million and $(2.0) million for the three and nine months ended June 30, 2016, respectively. The change in realized gains/losses was primarily due to changes in the market conditions of our investments and the values at which they were realized.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the three and nine months ended June 30, 2017, we reported a net change in unrealized appreciation on investments of $0.6 million and $0.4 million, respectively. For the three and nine months ended June 30, 2016, we reported a net change in unrealized appreciation (depreciation) on investments of $6.1 million and $(0.1) million, respectively. As of June 30, 2017 and September 30, 2016, our net unrealized appreciation on investments totaled $1.4 million and $1.0 million, respectively. The net change in unrealized appreciation on our investments was driven primarily by changes in capital market conditions, the financial performance of certain portfolio companies and the reversal of unrealized depreciation (appreciation) on investments that were sold.</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three and nine months ended June 30, 2017, our Credit Facility had a net change in unrealized appreciation of $1.9 million and $3.0 million, respectively. For the three and nine months ended June 30, 2016, our Credit Facility had a net change in unrealized depreciation of $0.3 million and $0.5 million, respectively. As of June 30, 2017 and September 30, 2016, net unrealized (appreciation) depreciation on our Credit Facility totaled $(2.5) million and $0.5 million, respectively. The change in net unrealized depreciation compared to the same periods in the prior year was primarily due to changes in the capital markets.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Net change in net assets resulting from operations totaled $9.3 million and $25.5 million, or $0.29 and $0.86 per share, respectively, for the three and nine months ended June 30, 2017. This compares to a net change in net assets resulting from operations which totaled $13.4 million and $17.6 million, or $0.50 and $0.66 per share, respectively, for the three and nine months ended June 30, 2016. The decrease/increase in the change in net assets from operations compared to the same periods in the prior year was primarily due to changes in portfolio investment values during the reporting periods.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June 30, 2017 and September 30, 2016, we had $291.2 million and $232.9 million of outstanding borrowings under the Credit Facility, respectively. The Credit Facility had an interest rate of 3.00% and 2.57%, as of June 30, 2017 and September 30, 2016, respectively, excluding the undrawn commitment fees of 0.375%. The annualized weighted average cost of debt for the nine months ended June 30, 2017 and 2016, inclusive of the fee on the undrawn commitment and amendment costs on the Credit Facility, was 3.02% and 5.01%, respectively.</w:t>
      </w:r>
    </w:p>
    <w:p>
      <w:pPr>
        <w:spacing w:after="0" w:line="18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As of June 30, 2017 and September 30, 2016, we had $83.8 million and $117.1 million of unused borrowing capacity under our Credit Facility, respectively, subject to the regulatory restrictions.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June 30, 2017 and September 30, 2016, we had cash equivalents of $49.0 million and $28.9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used cash of $93.9 million for the nine months ended June 30, 2017, and our financing activities provided cash of $113.8 million for the same period. Our operating activities used cash primarily for our investment activities and our financing activities provided cash primarily from our recent equity offering and net borrowings under the Credit Facility.</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used cash of $143.2 million for the nine months ended June 30, 2016, and our financing activities provided cash of $138.5 million for the same period. Our operating activities used cash primarily for our investment activities and our financing activities provided cash primarily from net borrowings under the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Subsequent to quarter-end, we were awarded approximately 14 cents per share in a litigation settlement related to a former portfolio company of MCG Capital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ectPr>
          <w:pgSz w:w="11900" w:h="16874" w:orient="portrait"/>
          <w:cols w:equalWidth="0" w:num="1">
            <w:col w:w="11240"/>
          </w:cols>
          <w:pgMar w:left="320" w:top="118" w:right="339" w:bottom="0" w:gutter="0" w:footer="0" w:header="0"/>
        </w:sectPr>
      </w:pPr>
    </w:p>
    <w:bookmarkStart w:id="7" w:name="page8"/>
    <w:bookmarkEnd w:id="7"/>
    <w:p>
      <w:pPr>
        <w:spacing w:after="0" w:line="5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During the three and nine months ended June 30, 2017, we declared distributions of $0.285 and $0.855 per share, respectively, for total distributions of $9.3 million and $25.6 million, respectively. For the same periods in the prior year, we declared distributions of $0.285 and $0.855 per share, respectively, for total distributions of $7.6 million and $22.9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86"/>
              </w:rPr>
              <w:t>June 30,</w:t>
            </w:r>
          </w:p>
        </w:tc>
        <w:tc>
          <w:tcPr>
            <w:tcW w:w="14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22"/>
                <w:szCs w:val="22"/>
                <w:b w:val="1"/>
                <w:bCs w:val="1"/>
                <w:color w:val="auto"/>
                <w:w w:val="87"/>
              </w:rPr>
              <w:t>September 30,</w:t>
            </w:r>
          </w:p>
        </w:tc>
      </w:tr>
      <w:tr>
        <w:trPr>
          <w:trHeight w:val="270"/>
        </w:trPr>
        <w:tc>
          <w:tcPr>
            <w:tcW w:w="8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center"/>
              <w:ind w:right="32"/>
              <w:spacing w:after="0"/>
              <w:rPr>
                <w:sz w:val="20"/>
                <w:szCs w:val="20"/>
                <w:color w:val="auto"/>
              </w:rPr>
            </w:pPr>
            <w:r>
              <w:rPr>
                <w:rFonts w:ascii="Arial" w:cs="Arial" w:eastAsia="Arial" w:hAnsi="Arial"/>
                <w:sz w:val="22"/>
                <w:szCs w:val="22"/>
                <w:b w:val="1"/>
                <w:bCs w:val="1"/>
                <w:color w:val="auto"/>
                <w:w w:val="89"/>
              </w:rPr>
              <w:t>2017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492"/>
              <w:spacing w:after="0"/>
              <w:rPr>
                <w:sz w:val="20"/>
                <w:szCs w:val="20"/>
                <w:color w:val="auto"/>
              </w:rPr>
            </w:pPr>
            <w:r>
              <w:rPr>
                <w:rFonts w:ascii="Arial" w:cs="Arial" w:eastAsia="Arial" w:hAnsi="Arial"/>
                <w:sz w:val="22"/>
                <w:szCs w:val="22"/>
                <w:b w:val="1"/>
                <w:bCs w:val="1"/>
                <w:color w:val="auto"/>
              </w:rPr>
              <w:t>2016</w:t>
            </w:r>
          </w:p>
        </w:tc>
      </w:tr>
      <w:tr>
        <w:trPr>
          <w:trHeight w:val="280"/>
        </w:trPr>
        <w:tc>
          <w:tcPr>
            <w:tcW w:w="8140" w:type="dxa"/>
            <w:vAlign w:val="bottom"/>
          </w:tcPr>
          <w:p>
            <w:pPr>
              <w:spacing w:after="0"/>
              <w:rPr>
                <w:sz w:val="24"/>
                <w:szCs w:val="2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22"/>
                <w:szCs w:val="22"/>
                <w:b w:val="1"/>
                <w:bCs w:val="1"/>
                <w:color w:val="auto"/>
                <w:w w:val="90"/>
              </w:rPr>
              <w:t>(unaudited)</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9"/>
        </w:trPr>
        <w:tc>
          <w:tcPr>
            <w:tcW w:w="814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43"/>
        </w:trPr>
        <w:tc>
          <w:tcPr>
            <w:tcW w:w="8140" w:type="dxa"/>
            <w:vAlign w:val="bottom"/>
          </w:tcPr>
          <w:p>
            <w:pPr>
              <w:ind w:left="260"/>
              <w:spacing w:after="0" w:line="243" w:lineRule="exact"/>
              <w:rPr>
                <w:sz w:val="20"/>
                <w:szCs w:val="20"/>
                <w:color w:val="auto"/>
              </w:rPr>
            </w:pPr>
            <w:r>
              <w:rPr>
                <w:rFonts w:ascii="Arial" w:cs="Arial" w:eastAsia="Arial" w:hAnsi="Arial"/>
                <w:sz w:val="22"/>
                <w:szCs w:val="22"/>
                <w:color w:val="auto"/>
                <w:w w:val="97"/>
              </w:rPr>
              <w:t>Non-controlled, non-affiliated investments (cost—$661,580,331 and $597,910,267,</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814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spacing w:after="0"/>
              <w:rPr>
                <w:sz w:val="20"/>
                <w:szCs w:val="20"/>
                <w:color w:val="auto"/>
              </w:rPr>
            </w:pPr>
            <w:r>
              <w:rPr>
                <w:rFonts w:ascii="Arial" w:cs="Arial" w:eastAsia="Arial" w:hAnsi="Arial"/>
                <w:sz w:val="22"/>
                <w:szCs w:val="22"/>
                <w:color w:val="auto"/>
                <w:w w:val="88"/>
              </w:rPr>
              <w:t>662,907,256</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598,887,525</w:t>
            </w:r>
          </w:p>
        </w:tc>
      </w:tr>
      <w:tr>
        <w:trPr>
          <w:trHeight w:val="274"/>
        </w:trPr>
        <w:tc>
          <w:tcPr>
            <w:tcW w:w="8140" w:type="dxa"/>
            <w:vAlign w:val="bottom"/>
          </w:tcPr>
          <w:p>
            <w:pPr>
              <w:ind w:left="260"/>
              <w:spacing w:after="0"/>
              <w:rPr>
                <w:sz w:val="20"/>
                <w:szCs w:val="20"/>
                <w:color w:val="auto"/>
              </w:rPr>
            </w:pPr>
            <w:r>
              <w:rPr>
                <w:rFonts w:ascii="Arial" w:cs="Arial" w:eastAsia="Arial" w:hAnsi="Arial"/>
                <w:sz w:val="22"/>
                <w:szCs w:val="22"/>
                <w:color w:val="auto"/>
              </w:rPr>
              <w:t>Controlled, affiliated investments (cost—$36,000,000 and $0, respectively)</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36,022,425</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r>
      <w:tr>
        <w:trPr>
          <w:trHeight w:val="259"/>
        </w:trPr>
        <w:tc>
          <w:tcPr>
            <w:tcW w:w="8140" w:type="dxa"/>
            <w:vAlign w:val="bottom"/>
          </w:tcPr>
          <w:p>
            <w:pPr>
              <w:ind w:left="260"/>
              <w:spacing w:after="0"/>
              <w:rPr>
                <w:sz w:val="20"/>
                <w:szCs w:val="20"/>
                <w:color w:val="auto"/>
              </w:rPr>
            </w:pPr>
            <w:r>
              <w:rPr>
                <w:rFonts w:ascii="Arial" w:cs="Arial" w:eastAsia="Arial" w:hAnsi="Arial"/>
                <w:sz w:val="22"/>
                <w:szCs w:val="22"/>
                <w:color w:val="auto"/>
              </w:rPr>
              <w:t>Total of investments (cost—$697,580,331 and $597,910,267, respectively)</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88"/>
              </w:rPr>
              <w:t>698,929,681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598,887,525</w:t>
            </w: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Cash and cash equivalents (cost—$48,866,893 and $28,903,359, respectively)</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48,951,746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28,910,973</w:t>
            </w: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3,169,817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2,480,406</w:t>
            </w: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24,940,277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w:t>
            </w:r>
          </w:p>
        </w:tc>
      </w:tr>
      <w:tr>
        <w:trPr>
          <w:trHeight w:val="274"/>
        </w:trPr>
        <w:tc>
          <w:tcPr>
            <w:tcW w:w="814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1,262,233</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1,141,191</w:t>
            </w:r>
          </w:p>
        </w:tc>
      </w:tr>
      <w:tr>
        <w:trPr>
          <w:trHeight w:val="267"/>
        </w:trPr>
        <w:tc>
          <w:tcPr>
            <w:tcW w:w="814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777,253,754</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631,420,095</w:t>
            </w:r>
          </w:p>
        </w:tc>
      </w:tr>
      <w:tr>
        <w:trPr>
          <w:trHeight w:val="256"/>
        </w:trPr>
        <w:tc>
          <w:tcPr>
            <w:tcW w:w="814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3,085,607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2,539,357</w:t>
            </w: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18,421,879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14,935,970</w:t>
            </w: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Credit Facility payable (cost—$291,209,500 and $232,907,500, respectively)</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88"/>
              </w:rPr>
              <w:t>293,663,760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232,389,498</w:t>
            </w: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Interest payable on Credit Facility</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851,952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531,926</w:t>
            </w: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1,790,695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1,458,625</w:t>
            </w: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3,036,941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3,454,914</w:t>
            </w:r>
          </w:p>
        </w:tc>
      </w:tr>
      <w:tr>
        <w:trPr>
          <w:trHeight w:val="274"/>
        </w:trPr>
        <w:tc>
          <w:tcPr>
            <w:tcW w:w="814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91,202</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202,977</w:t>
            </w:r>
          </w:p>
        </w:tc>
      </w:tr>
      <w:tr>
        <w:trPr>
          <w:trHeight w:val="267"/>
        </w:trPr>
        <w:tc>
          <w:tcPr>
            <w:tcW w:w="814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320,942,036</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255,513,267</w:t>
            </w:r>
          </w:p>
        </w:tc>
      </w:tr>
      <w:tr>
        <w:trPr>
          <w:trHeight w:val="250"/>
        </w:trPr>
        <w:tc>
          <w:tcPr>
            <w:tcW w:w="814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6"/>
        </w:trPr>
        <w:tc>
          <w:tcPr>
            <w:tcW w:w="814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3"/>
        </w:trPr>
        <w:tc>
          <w:tcPr>
            <w:tcW w:w="8140" w:type="dxa"/>
            <w:vAlign w:val="bottom"/>
          </w:tcPr>
          <w:p>
            <w:pPr>
              <w:spacing w:after="0" w:line="243" w:lineRule="exact"/>
              <w:rPr>
                <w:sz w:val="20"/>
                <w:szCs w:val="20"/>
                <w:color w:val="auto"/>
              </w:rPr>
            </w:pPr>
            <w:r>
              <w:rPr>
                <w:rFonts w:ascii="Arial" w:cs="Arial" w:eastAsia="Arial" w:hAnsi="Arial"/>
                <w:sz w:val="22"/>
                <w:szCs w:val="22"/>
                <w:color w:val="auto"/>
                <w:w w:val="94"/>
              </w:rPr>
              <w:t>Common stock, 32,480,074 and 26,730,074 shares issued and outstanding, respectively</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814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32,480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26,730</w:t>
            </w: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88"/>
              </w:rPr>
              <w:t>451,705,066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371,194,366</w:t>
            </w: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Undistributed net investment income</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2,009,837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4,559,646</w:t>
            </w: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Accumulated net realized gain (loss) on investments</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3,584,392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(1,376,788)</w:t>
            </w:r>
          </w:p>
        </w:tc>
      </w:tr>
      <w:tr>
        <w:trPr>
          <w:trHeight w:val="270"/>
        </w:trPr>
        <w:tc>
          <w:tcPr>
            <w:tcW w:w="8140" w:type="dxa"/>
            <w:vAlign w:val="bottom"/>
          </w:tcPr>
          <w:p>
            <w:pPr>
              <w:spacing w:after="0"/>
              <w:rPr>
                <w:sz w:val="20"/>
                <w:szCs w:val="20"/>
                <w:color w:val="auto"/>
              </w:rPr>
            </w:pPr>
            <w:r>
              <w:rPr>
                <w:rFonts w:ascii="Arial" w:cs="Arial" w:eastAsia="Arial" w:hAnsi="Arial"/>
                <w:sz w:val="22"/>
                <w:szCs w:val="22"/>
                <w:color w:val="auto"/>
              </w:rPr>
              <w:t>Net unrealized appreciation on investments</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1,434,203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984,872</w:t>
            </w:r>
          </w:p>
        </w:tc>
      </w:tr>
      <w:tr>
        <w:trPr>
          <w:trHeight w:val="274"/>
        </w:trPr>
        <w:tc>
          <w:tcPr>
            <w:tcW w:w="8140" w:type="dxa"/>
            <w:vAlign w:val="bottom"/>
          </w:tcPr>
          <w:p>
            <w:pPr>
              <w:spacing w:after="0"/>
              <w:rPr>
                <w:sz w:val="20"/>
                <w:szCs w:val="20"/>
                <w:color w:val="auto"/>
              </w:rPr>
            </w:pPr>
            <w:r>
              <w:rPr>
                <w:rFonts w:ascii="Arial" w:cs="Arial" w:eastAsia="Arial" w:hAnsi="Arial"/>
                <w:sz w:val="22"/>
                <w:szCs w:val="22"/>
                <w:color w:val="auto"/>
              </w:rPr>
              <w:t>Net unrealized (appreciation) depreciation on Credit Facility</w:t>
            </w:r>
          </w:p>
        </w:tc>
        <w:tc>
          <w:tcPr>
            <w:tcW w:w="140" w:type="dxa"/>
            <w:vAlign w:val="bottom"/>
          </w:tcPr>
          <w:p>
            <w:pPr>
              <w:spacing w:after="0"/>
              <w:rPr>
                <w:sz w:val="23"/>
                <w:szCs w:val="2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(2,454,260 )</w:t>
            </w:r>
          </w:p>
        </w:tc>
        <w:tc>
          <w:tcPr>
            <w:tcW w:w="1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22"/>
                <w:szCs w:val="22"/>
                <w:color w:val="auto"/>
              </w:rPr>
              <w:t>518,002</w:t>
            </w:r>
          </w:p>
        </w:tc>
      </w:tr>
      <w:tr>
        <w:trPr>
          <w:trHeight w:val="267"/>
        </w:trPr>
        <w:tc>
          <w:tcPr>
            <w:tcW w:w="814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456,311,718</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color w:val="auto"/>
              </w:rPr>
              <w:t>375,906,828</w:t>
            </w:r>
          </w:p>
        </w:tc>
      </w:tr>
      <w:tr>
        <w:trPr>
          <w:trHeight w:val="264"/>
        </w:trPr>
        <w:tc>
          <w:tcPr>
            <w:tcW w:w="814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777,253,754</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631,420,095</w:t>
            </w: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64"/>
        </w:trPr>
        <w:tc>
          <w:tcPr>
            <w:tcW w:w="814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14.05</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14.06</w:t>
            </w: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PENNANTPARK FLOATING RATE CAPITAL LTD. AND SUBSIDIARIES CONSOLIDATED STATEMENTS OF OPERATIONS (Unaudited)</w:t>
      </w:r>
    </w:p>
    <w:p>
      <w:pPr>
        <w:spacing w:after="0" w:line="219" w:lineRule="exact"/>
        <w:rPr>
          <w:sz w:val="20"/>
          <w:szCs w:val="20"/>
          <w:color w:val="auto"/>
        </w:rPr>
      </w:pPr>
    </w:p>
    <w:tbl>
      <w:tblPr>
        <w:tblLayout w:type="fixed"/>
        <w:tblInd w:w="6060" w:type="dxa"/>
        <w:tblCellMar>
          <w:top w:w="0" w:type="dxa"/>
          <w:left w:w="0" w:type="dxa"/>
          <w:bottom w:w="0" w:type="dxa"/>
          <w:right w:w="0" w:type="dxa"/>
        </w:tblCellMar>
      </w:tblPr>
      <w:tr>
        <w:trPr>
          <w:trHeight w:val="253"/>
        </w:trPr>
        <w:tc>
          <w:tcPr>
            <w:tcW w:w="2620" w:type="dxa"/>
            <w:vAlign w:val="bottom"/>
            <w:gridSpan w:val="5"/>
          </w:tcPr>
          <w:p>
            <w:pPr>
              <w:jc w:val="center"/>
              <w:ind w:right="180"/>
              <w:spacing w:after="0"/>
              <w:rPr>
                <w:sz w:val="20"/>
                <w:szCs w:val="20"/>
                <w:color w:val="auto"/>
              </w:rPr>
            </w:pPr>
            <w:r>
              <w:rPr>
                <w:rFonts w:ascii="Arial" w:cs="Arial" w:eastAsia="Arial" w:hAnsi="Arial"/>
                <w:sz w:val="22"/>
                <w:szCs w:val="22"/>
                <w:b w:val="1"/>
                <w:bCs w:val="1"/>
                <w:color w:val="auto"/>
                <w:w w:val="90"/>
              </w:rPr>
              <w:t>Three Months Ended</w:t>
            </w:r>
          </w:p>
        </w:tc>
        <w:tc>
          <w:tcPr>
            <w:tcW w:w="2460" w:type="dxa"/>
            <w:vAlign w:val="bottom"/>
            <w:gridSpan w:val="4"/>
          </w:tcPr>
          <w:p>
            <w:pPr>
              <w:jc w:val="center"/>
              <w:spacing w:after="0"/>
              <w:rPr>
                <w:sz w:val="20"/>
                <w:szCs w:val="20"/>
                <w:color w:val="auto"/>
              </w:rPr>
            </w:pPr>
            <w:r>
              <w:rPr>
                <w:rFonts w:ascii="Arial" w:cs="Arial" w:eastAsia="Arial" w:hAnsi="Arial"/>
                <w:sz w:val="22"/>
                <w:szCs w:val="22"/>
                <w:b w:val="1"/>
                <w:bCs w:val="1"/>
                <w:color w:val="auto"/>
                <w:w w:val="89"/>
              </w:rPr>
              <w:t>Nine Months Ended</w:t>
            </w:r>
          </w:p>
        </w:tc>
      </w:tr>
      <w:tr>
        <w:trPr>
          <w:trHeight w:val="282"/>
        </w:trPr>
        <w:tc>
          <w:tcPr>
            <w:tcW w:w="800" w:type="dxa"/>
            <w:vAlign w:val="bottom"/>
          </w:tcPr>
          <w:p>
            <w:pPr>
              <w:spacing w:after="0"/>
              <w:rPr>
                <w:sz w:val="24"/>
                <w:szCs w:val="24"/>
                <w:color w:val="auto"/>
              </w:rPr>
            </w:pPr>
          </w:p>
        </w:tc>
        <w:tc>
          <w:tcPr>
            <w:tcW w:w="1820" w:type="dxa"/>
            <w:vAlign w:val="bottom"/>
            <w:gridSpan w:val="4"/>
          </w:tcPr>
          <w:p>
            <w:pPr>
              <w:jc w:val="center"/>
              <w:ind w:right="980"/>
              <w:spacing w:after="0"/>
              <w:rPr>
                <w:sz w:val="20"/>
                <w:szCs w:val="20"/>
                <w:color w:val="auto"/>
              </w:rPr>
            </w:pPr>
            <w:r>
              <w:rPr>
                <w:rFonts w:ascii="Arial" w:cs="Arial" w:eastAsia="Arial" w:hAnsi="Arial"/>
                <w:sz w:val="22"/>
                <w:szCs w:val="22"/>
                <w:b w:val="1"/>
                <w:bCs w:val="1"/>
                <w:color w:val="auto"/>
                <w:w w:val="86"/>
              </w:rPr>
              <w:t>June 30,</w:t>
            </w:r>
          </w:p>
        </w:tc>
        <w:tc>
          <w:tcPr>
            <w:tcW w:w="800" w:type="dxa"/>
            <w:vAlign w:val="bottom"/>
          </w:tcPr>
          <w:p>
            <w:pPr>
              <w:spacing w:after="0"/>
              <w:rPr>
                <w:sz w:val="24"/>
                <w:szCs w:val="24"/>
                <w:color w:val="auto"/>
              </w:rPr>
            </w:pPr>
          </w:p>
        </w:tc>
        <w:tc>
          <w:tcPr>
            <w:tcW w:w="1660" w:type="dxa"/>
            <w:vAlign w:val="bottom"/>
            <w:gridSpan w:val="3"/>
          </w:tcPr>
          <w:p>
            <w:pPr>
              <w:jc w:val="center"/>
              <w:ind w:right="712"/>
              <w:spacing w:after="0"/>
              <w:rPr>
                <w:sz w:val="20"/>
                <w:szCs w:val="20"/>
                <w:color w:val="auto"/>
              </w:rPr>
            </w:pPr>
            <w:r>
              <w:rPr>
                <w:rFonts w:ascii="Arial" w:cs="Arial" w:eastAsia="Arial" w:hAnsi="Arial"/>
                <w:sz w:val="22"/>
                <w:szCs w:val="22"/>
                <w:b w:val="1"/>
                <w:bCs w:val="1"/>
                <w:color w:val="auto"/>
                <w:w w:val="86"/>
              </w:rPr>
              <w:t>June 30,</w:t>
            </w:r>
          </w:p>
        </w:tc>
      </w:tr>
      <w:tr>
        <w:trPr>
          <w:trHeight w:val="265"/>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2017</w:t>
            </w:r>
          </w:p>
        </w:tc>
        <w:tc>
          <w:tcPr>
            <w:tcW w:w="32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2016</w:t>
            </w:r>
          </w:p>
        </w:tc>
        <w:tc>
          <w:tcPr>
            <w:tcW w:w="160" w:type="dxa"/>
            <w:vAlign w:val="bottom"/>
          </w:tcPr>
          <w:p>
            <w:pPr>
              <w:spacing w:after="0"/>
              <w:rPr>
                <w:sz w:val="23"/>
                <w:szCs w:val="2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2017</w:t>
            </w:r>
          </w:p>
        </w:tc>
        <w:tc>
          <w:tcPr>
            <w:tcW w:w="32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2016</w:t>
            </w:r>
          </w:p>
        </w:tc>
      </w:tr>
    </w:tbl>
    <w:p>
      <w:pPr>
        <w:sectPr>
          <w:pgSz w:w="11900" w:h="16891" w:orient="portrait"/>
          <w:cols w:equalWidth="0" w:num="1">
            <w:col w:w="11240"/>
          </w:cols>
          <w:pgMar w:left="320" w:top="118" w:right="33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604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w w:val="87"/>
              </w:rPr>
              <w:t>14,695,276</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10,555,165</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w w:val="88"/>
              </w:rPr>
              <w:t>39,564,205</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28,794,610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451,597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226,431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1,434,834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2,005,698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43,962</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21,429</w:t>
            </w: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43,962</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105,502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04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15,190,835</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10,803,025</w:t>
            </w: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41,043,001</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30,905,810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04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w w:val="98"/>
              </w:rPr>
              <w:t>1,790,695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1,297,595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5,117,839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3,556,451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w w:val="98"/>
              </w:rPr>
              <w:t>1,444,896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497,716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3,367,931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1,336,660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60"/>
              <w:spacing w:after="0"/>
              <w:rPr>
                <w:sz w:val="20"/>
                <w:szCs w:val="20"/>
                <w:color w:val="auto"/>
              </w:rPr>
            </w:pPr>
            <w:r>
              <w:rPr>
                <w:rFonts w:ascii="Arial" w:cs="Arial" w:eastAsia="Arial" w:hAnsi="Arial"/>
                <w:sz w:val="22"/>
                <w:szCs w:val="22"/>
                <w:color w:val="auto"/>
              </w:rPr>
              <w:t>Interest and expenses on the Credit Facility</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w w:val="98"/>
              </w:rPr>
              <w:t>2,398,520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1,276,288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6,197,592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3,338,863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561,250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200,000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1,683,750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4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607,499</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701,555</w:t>
            </w: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1,322,499</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1,985,568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6040" w:type="dxa"/>
            <w:vAlign w:val="bottom"/>
          </w:tcPr>
          <w:p>
            <w:pPr>
              <w:ind w:left="260"/>
              <w:spacing w:after="0"/>
              <w:rPr>
                <w:sz w:val="20"/>
                <w:szCs w:val="20"/>
                <w:color w:val="auto"/>
              </w:rPr>
            </w:pPr>
            <w:r>
              <w:rPr>
                <w:rFonts w:ascii="Arial" w:cs="Arial" w:eastAsia="Arial" w:hAnsi="Arial"/>
                <w:sz w:val="22"/>
                <w:szCs w:val="22"/>
                <w:b w:val="1"/>
                <w:bCs w:val="1"/>
                <w:color w:val="auto"/>
                <w:w w:val="93"/>
              </w:rPr>
              <w:t>Expenses before provision for taxes and amendment costs</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w w:val="98"/>
              </w:rPr>
              <w:t>6,802,860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3,973,154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8"/>
              </w:rPr>
              <w:t>17,689,611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10,817,542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90,000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205,000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6040" w:type="dxa"/>
            <w:vAlign w:val="bottom"/>
          </w:tcPr>
          <w:p>
            <w:pPr>
              <w:ind w:left="260"/>
              <w:spacing w:after="0"/>
              <w:rPr>
                <w:sz w:val="20"/>
                <w:szCs w:val="20"/>
                <w:color w:val="auto"/>
              </w:rPr>
            </w:pPr>
            <w:r>
              <w:rPr>
                <w:rFonts w:ascii="Arial" w:cs="Arial" w:eastAsia="Arial" w:hAnsi="Arial"/>
                <w:sz w:val="22"/>
                <w:szCs w:val="22"/>
                <w:color w:val="auto"/>
              </w:rPr>
              <w:t>Credit Facility amendment costs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112,736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112,736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907,722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04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14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7,005,596</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3,973,154</w:t>
            </w:r>
          </w:p>
        </w:tc>
        <w:tc>
          <w:tcPr>
            <w:tcW w:w="16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18,007,347</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7"/>
              </w:rPr>
              <w:t>11,725,264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04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8,185,239</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6,829,871</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23,035,654</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19,180,546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line="209" w:lineRule="exact"/>
              <w:rPr>
                <w:sz w:val="20"/>
                <w:szCs w:val="20"/>
                <w:color w:val="auto"/>
              </w:rPr>
            </w:pPr>
            <w:r>
              <w:rPr>
                <w:rFonts w:ascii="Arial" w:cs="Arial" w:eastAsia="Arial" w:hAnsi="Arial"/>
                <w:sz w:val="22"/>
                <w:szCs w:val="22"/>
                <w:b w:val="1"/>
                <w:bCs w:val="1"/>
                <w:color w:val="auto"/>
                <w:w w:val="92"/>
              </w:rPr>
              <w:t>Realized and unrealized gain (loss) on investments and Credit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40" w:type="dxa"/>
            <w:vAlign w:val="bottom"/>
          </w:tcPr>
          <w:p>
            <w:pPr>
              <w:spacing w:after="0"/>
              <w:rPr>
                <w:sz w:val="20"/>
                <w:szCs w:val="20"/>
                <w:color w:val="auto"/>
              </w:rPr>
            </w:pPr>
            <w:r>
              <w:rPr>
                <w:rFonts w:ascii="Arial" w:cs="Arial" w:eastAsia="Arial" w:hAnsi="Arial"/>
                <w:sz w:val="22"/>
                <w:szCs w:val="22"/>
                <w:b w:val="1"/>
                <w:bCs w:val="1"/>
                <w:color w:val="auto"/>
              </w:rPr>
              <w:t>Facility:</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22"/>
                <w:szCs w:val="22"/>
                <w:color w:val="auto"/>
              </w:rPr>
              <w:t>Net realized gain (loss) on investments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w w:val="98"/>
              </w:rPr>
              <w:t>2,451,169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189,623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4,961,180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w w:val="94"/>
              </w:rPr>
              <w:t>(1,974,097)</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625,872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6,082,410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426,906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(136,573)</w:t>
            </w:r>
          </w:p>
        </w:tc>
        <w:tc>
          <w:tcPr>
            <w:tcW w:w="0" w:type="dxa"/>
            <w:vAlign w:val="bottom"/>
          </w:tcPr>
          <w:p>
            <w:pPr>
              <w:spacing w:after="0"/>
              <w:rPr>
                <w:sz w:val="1"/>
                <w:szCs w:val="1"/>
                <w:color w:val="auto"/>
              </w:rPr>
            </w:pPr>
          </w:p>
        </w:tc>
      </w:tr>
      <w:tr>
        <w:trPr>
          <w:trHeight w:val="270"/>
        </w:trPr>
        <w:tc>
          <w:tcPr>
            <w:tcW w:w="6040" w:type="dxa"/>
            <w:vAlign w:val="bottom"/>
          </w:tcPr>
          <w:p>
            <w:pPr>
              <w:ind w:left="260"/>
              <w:spacing w:after="0"/>
              <w:rPr>
                <w:sz w:val="20"/>
                <w:szCs w:val="20"/>
                <w:color w:val="auto"/>
              </w:rPr>
            </w:pPr>
            <w:r>
              <w:rPr>
                <w:rFonts w:ascii="Arial" w:cs="Arial" w:eastAsia="Arial" w:hAnsi="Arial"/>
                <w:sz w:val="22"/>
                <w:szCs w:val="22"/>
                <w:color w:val="auto"/>
              </w:rPr>
              <w:t>Controlled, affiliated investments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22,425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22,425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6040" w:type="dxa"/>
            <w:vAlign w:val="bottom"/>
          </w:tcPr>
          <w:p>
            <w:pPr>
              <w:ind w:left="260"/>
              <w:spacing w:after="0"/>
              <w:rPr>
                <w:sz w:val="20"/>
                <w:szCs w:val="20"/>
                <w:color w:val="auto"/>
              </w:rPr>
            </w:pPr>
            <w:r>
              <w:rPr>
                <w:rFonts w:ascii="Arial" w:cs="Arial" w:eastAsia="Arial" w:hAnsi="Arial"/>
                <w:sz w:val="22"/>
                <w:szCs w:val="22"/>
                <w:color w:val="auto"/>
              </w:rPr>
              <w:t>Credit Facility (appreciation) depreciation</w:t>
            </w:r>
          </w:p>
        </w:tc>
        <w:tc>
          <w:tcPr>
            <w:tcW w:w="14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w w:val="89"/>
              </w:rPr>
              <w:t>(1,942,856 )</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317,438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2"/>
                <w:szCs w:val="22"/>
                <w:color w:val="auto"/>
                <w:w w:val="95"/>
              </w:rPr>
              <w:t>(2,972,262)</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532,521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9"/>
              </w:rPr>
              <w:t>Net change in unrealized (depreciation) appreciation on</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6040" w:type="dxa"/>
            <w:vAlign w:val="bottom"/>
          </w:tcPr>
          <w:p>
            <w:pPr>
              <w:ind w:left="260"/>
              <w:spacing w:after="0"/>
              <w:rPr>
                <w:sz w:val="20"/>
                <w:szCs w:val="20"/>
                <w:color w:val="auto"/>
              </w:rPr>
            </w:pPr>
            <w:r>
              <w:rPr>
                <w:rFonts w:ascii="Arial" w:cs="Arial" w:eastAsia="Arial" w:hAnsi="Arial"/>
                <w:sz w:val="22"/>
                <w:szCs w:val="22"/>
                <w:b w:val="1"/>
                <w:bCs w:val="1"/>
                <w:color w:val="auto"/>
              </w:rPr>
              <w:t>investments and Credit Facility</w:t>
            </w:r>
          </w:p>
        </w:tc>
        <w:tc>
          <w:tcPr>
            <w:tcW w:w="14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w w:val="94"/>
              </w:rPr>
              <w:t>(1,294,559)</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6,399,848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2"/>
                <w:szCs w:val="22"/>
                <w:color w:val="auto"/>
                <w:w w:val="95"/>
              </w:rPr>
              <w:t>(2,522,931)</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395,948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040" w:type="dxa"/>
            <w:vAlign w:val="bottom"/>
          </w:tcPr>
          <w:p>
            <w:pPr>
              <w:spacing w:after="0" w:line="212" w:lineRule="exact"/>
              <w:rPr>
                <w:sz w:val="20"/>
                <w:szCs w:val="20"/>
                <w:color w:val="auto"/>
              </w:rPr>
            </w:pPr>
            <w:r>
              <w:rPr>
                <w:rFonts w:ascii="Arial" w:cs="Arial" w:eastAsia="Arial" w:hAnsi="Arial"/>
                <w:sz w:val="22"/>
                <w:szCs w:val="22"/>
                <w:b w:val="1"/>
                <w:bCs w:val="1"/>
                <w:color w:val="auto"/>
                <w:w w:val="94"/>
              </w:rPr>
              <w:t>Net realized and unrealized gain (loss) from investments and</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040" w:type="dxa"/>
            <w:vAlign w:val="bottom"/>
          </w:tcPr>
          <w:p>
            <w:pPr>
              <w:spacing w:after="0"/>
              <w:rPr>
                <w:sz w:val="20"/>
                <w:szCs w:val="20"/>
                <w:color w:val="auto"/>
              </w:rPr>
            </w:pPr>
            <w:r>
              <w:rPr>
                <w:rFonts w:ascii="Arial" w:cs="Arial" w:eastAsia="Arial" w:hAnsi="Arial"/>
                <w:sz w:val="22"/>
                <w:szCs w:val="22"/>
                <w:b w:val="1"/>
                <w:bCs w:val="1"/>
                <w:color w:val="auto"/>
              </w:rPr>
              <w:t>Credit Facility</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w w:val="98"/>
              </w:rPr>
              <w:t>1,156,610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6,589,471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2,438,249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w w:val="89"/>
              </w:rPr>
              <w:t>(1,578,149 )</w:t>
            </w:r>
          </w:p>
        </w:tc>
        <w:tc>
          <w:tcPr>
            <w:tcW w:w="0" w:type="dxa"/>
            <w:vAlign w:val="bottom"/>
          </w:tcPr>
          <w:p>
            <w:pPr>
              <w:spacing w:after="0"/>
              <w:rPr>
                <w:sz w:val="1"/>
                <w:szCs w:val="1"/>
                <w:color w:val="auto"/>
              </w:rPr>
            </w:pPr>
          </w:p>
        </w:tc>
      </w:tr>
      <w:tr>
        <w:trPr>
          <w:trHeight w:val="265"/>
        </w:trPr>
        <w:tc>
          <w:tcPr>
            <w:tcW w:w="604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9,341,849</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7"/>
              </w:rPr>
              <w:t>13,419,342</w:t>
            </w:r>
          </w:p>
        </w:tc>
        <w:tc>
          <w:tcPr>
            <w:tcW w:w="16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25,473,903</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7"/>
              </w:rPr>
              <w:t>17,602,397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line="242" w:lineRule="exact"/>
              <w:rPr>
                <w:sz w:val="20"/>
                <w:szCs w:val="20"/>
                <w:color w:val="auto"/>
              </w:rPr>
            </w:pPr>
            <w:r>
              <w:rPr>
                <w:rFonts w:ascii="Arial" w:cs="Arial" w:eastAsia="Arial" w:hAnsi="Arial"/>
                <w:sz w:val="22"/>
                <w:szCs w:val="22"/>
                <w:color w:val="auto"/>
                <w:w w:val="95"/>
              </w:rPr>
              <w:t>Net increase in net assets resulting from operations per common</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04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vMerge w:val="restart"/>
          </w:tcPr>
          <w:p>
            <w:pPr>
              <w:jc w:val="right"/>
              <w:spacing w:after="0"/>
              <w:rPr>
                <w:sz w:val="20"/>
                <w:szCs w:val="20"/>
                <w:color w:val="auto"/>
              </w:rPr>
            </w:pPr>
            <w:r>
              <w:rPr>
                <w:rFonts w:ascii="Arial" w:cs="Arial" w:eastAsia="Arial" w:hAnsi="Arial"/>
                <w:sz w:val="22"/>
                <w:szCs w:val="22"/>
                <w:color w:val="auto"/>
              </w:rPr>
              <w:t>0.29</w:t>
            </w:r>
          </w:p>
        </w:tc>
        <w:tc>
          <w:tcPr>
            <w:tcW w:w="2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0.50</w:t>
            </w:r>
          </w:p>
        </w:tc>
        <w:tc>
          <w:tcPr>
            <w:tcW w:w="1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0.86</w:t>
            </w:r>
          </w:p>
        </w:tc>
        <w:tc>
          <w:tcPr>
            <w:tcW w:w="2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0.66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40" w:type="dxa"/>
            <w:vAlign w:val="bottom"/>
          </w:tcPr>
          <w:p>
            <w:pPr>
              <w:spacing w:after="0" w:line="251" w:lineRule="exact"/>
              <w:rPr>
                <w:sz w:val="20"/>
                <w:szCs w:val="20"/>
                <w:color w:val="auto"/>
              </w:rPr>
            </w:pPr>
            <w:r>
              <w:rPr>
                <w:rFonts w:ascii="Arial" w:cs="Arial" w:eastAsia="Arial" w:hAnsi="Arial"/>
                <w:sz w:val="22"/>
                <w:szCs w:val="22"/>
                <w:color w:val="auto"/>
              </w:rPr>
              <w:t>share</w:t>
            </w:r>
          </w:p>
        </w:tc>
        <w:tc>
          <w:tcPr>
            <w:tcW w:w="1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04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0.25</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0.26</w:t>
            </w:r>
          </w:p>
        </w:tc>
        <w:tc>
          <w:tcPr>
            <w:tcW w:w="1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0.78</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PennantPark Floating Rate Capital Ltd. is a business development company which primarily invests in U.S. middle-market companies in the form of floating rate loans, which may consist of senior secured debt, mezzanine debt, and, to a lesser extent, equity investments. PennantPark Floating Rate Capital Ltd. is managed by PennantPark Investment Advisers, LLC.</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rPr>
          <w:sz w:val="20"/>
          <w:szCs w:val="20"/>
          <w:color w:val="auto"/>
        </w:rPr>
      </w:pPr>
      <w:r>
        <w:rPr>
          <w:rFonts w:ascii="Arial" w:cs="Arial" w:eastAsia="Arial" w:hAnsi="Arial"/>
          <w:sz w:val="22"/>
          <w:szCs w:val="22"/>
          <w:color w:val="auto"/>
        </w:rPr>
        <w:t>PennantPark Floating Rate Capital Ltd.</w:t>
      </w:r>
    </w:p>
    <w:p>
      <w:pPr>
        <w:sectPr>
          <w:pgSz w:w="11900" w:h="16838" w:orient="portrait"/>
          <w:cols w:equalWidth="0" w:num="1">
            <w:col w:w="11240"/>
          </w:cols>
          <w:pgMar w:left="320" w:top="111" w:right="339" w:bottom="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Reception: (212) 905-1000</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2020-05-05T12:04:32Z</dcterms:created>
  <dcterms:modified xsi:type="dcterms:W3CDTF">2020-05-05T12:04:32Z</dcterms:modified>
</cp:coreProperties>
</file>