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9, 2014</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14" w:lineRule="exact"/>
        <w:rPr>
          <w:sz w:val="24"/>
          <w:szCs w:val="24"/>
          <w:color w:val="auto"/>
        </w:rPr>
      </w:pPr>
    </w:p>
    <w:p>
      <w:pPr>
        <w:spacing w:after="0"/>
        <w:rPr>
          <w:sz w:val="20"/>
          <w:szCs w:val="20"/>
          <w:color w:val="auto"/>
        </w:rPr>
      </w:pPr>
      <w:r>
        <w:rPr>
          <w:rFonts w:ascii="Arial" w:cs="Arial" w:eastAsia="Arial" w:hAnsi="Arial"/>
          <w:sz w:val="20"/>
          <w:szCs w:val="20"/>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 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20549-0505</w:t>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FLOATING RATE CAPITAL LTD.</w:t>
      </w:r>
    </w:p>
    <w:p>
      <w:pPr>
        <w:spacing w:after="0" w:line="22" w:lineRule="exact"/>
        <w:rPr>
          <w:sz w:val="24"/>
          <w:szCs w:val="24"/>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File No. 814-00891</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ind w:right="740"/>
        <w:spacing w:after="0" w:line="260" w:lineRule="auto"/>
        <w:rPr>
          <w:sz w:val="20"/>
          <w:szCs w:val="20"/>
          <w:color w:val="auto"/>
        </w:rPr>
      </w:pPr>
      <w:r>
        <w:rPr>
          <w:rFonts w:ascii="Arial" w:cs="Arial" w:eastAsia="Arial" w:hAnsi="Arial"/>
          <w:sz w:val="20"/>
          <w:szCs w:val="20"/>
          <w:color w:val="auto"/>
        </w:rPr>
        <w:t>On behalf of PennantPark Floating Rate Capital Ltd.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800" w:hanging="454"/>
        <w:spacing w:after="0"/>
        <w:tabs>
          <w:tab w:leader="none" w:pos="800" w:val="left"/>
        </w:tabs>
        <w:numPr>
          <w:ilvl w:val="0"/>
          <w:numId w:val="1"/>
        </w:numPr>
        <w:rPr>
          <w:rFonts w:ascii="Arial" w:cs="Arial" w:eastAsia="Arial" w:hAnsi="Arial"/>
          <w:sz w:val="19"/>
          <w:szCs w:val="19"/>
          <w:color w:val="auto"/>
        </w:rPr>
      </w:pPr>
      <w:r>
        <w:rPr>
          <w:rFonts w:ascii="Arial" w:cs="Arial" w:eastAsia="Arial" w:hAnsi="Arial"/>
          <w:sz w:val="19"/>
          <w:szCs w:val="19"/>
          <w:color w:val="auto"/>
        </w:rPr>
        <w:t>A copy of the Fidelity Bond and any riders thereto for the Corporation and other joint insureds (attached as Exhibit A); and</w:t>
      </w:r>
    </w:p>
    <w:p>
      <w:pPr>
        <w:spacing w:after="0" w:line="375" w:lineRule="exact"/>
        <w:rPr>
          <w:rFonts w:ascii="Arial" w:cs="Arial" w:eastAsia="Arial" w:hAnsi="Arial"/>
          <w:sz w:val="19"/>
          <w:szCs w:val="19"/>
          <w:color w:val="auto"/>
        </w:rPr>
      </w:pPr>
    </w:p>
    <w:p>
      <w:pPr>
        <w:ind w:left="800" w:hanging="454"/>
        <w:spacing w:after="0" w:line="246"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6, 2014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340" w:lineRule="exact"/>
        <w:rPr>
          <w:rFonts w:ascii="Arial" w:cs="Arial" w:eastAsia="Arial" w:hAnsi="Arial"/>
          <w:sz w:val="20"/>
          <w:szCs w:val="20"/>
          <w:color w:val="auto"/>
        </w:rPr>
      </w:pPr>
    </w:p>
    <w:p>
      <w:pPr>
        <w:ind w:left="800" w:right="320" w:hanging="454"/>
        <w:spacing w:after="0" w:line="260"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177" w:lineRule="exact"/>
        <w:rPr>
          <w:sz w:val="24"/>
          <w:szCs w:val="24"/>
          <w:color w:val="auto"/>
        </w:rPr>
      </w:pPr>
    </w:p>
    <w:p>
      <w:pPr>
        <w:jc w:val="both"/>
        <w:ind w:right="28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$750,000 as required under paragraph (d)(1) of Rule 17g-1. A premium of $12,000 was paid for the period May 31, 2014 through May 31, 2015.</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324"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Aviv Efrat</w:t>
      </w:r>
    </w:p>
    <w:p>
      <w:pPr>
        <w:spacing w:after="0" w:line="208"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Floating Rate Capital Ltd.</w:t>
      </w:r>
    </w:p>
    <w:p>
      <w:pPr>
        <w:sectPr>
          <w:pgSz w:w="11900" w:h="16838" w:orient="portrait"/>
          <w:cols w:equalWidth="0" w:num="1">
            <w:col w:w="11420"/>
          </w:cols>
          <w:pgMar w:left="240" w:top="231"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undersigned, Thomas J. Friedmann, Secretary of PennantPark Floating Rate Capital Ltd., a Maryland corporation (the “Corporation”), does hereby certify that:</w:t>
      </w:r>
    </w:p>
    <w:p>
      <w:pPr>
        <w:spacing w:after="0" w:line="204" w:lineRule="exact"/>
        <w:rPr>
          <w:sz w:val="20"/>
          <w:szCs w:val="20"/>
          <w:color w:val="auto"/>
        </w:rPr>
      </w:pPr>
    </w:p>
    <w:p>
      <w:pPr>
        <w:ind w:left="800" w:right="160" w:hanging="454"/>
        <w:spacing w:after="0" w:line="25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334" w:lineRule="exact"/>
        <w:rPr>
          <w:rFonts w:ascii="Arial" w:cs="Arial" w:eastAsia="Arial" w:hAnsi="Arial"/>
          <w:sz w:val="20"/>
          <w:szCs w:val="20"/>
          <w:color w:val="auto"/>
        </w:rPr>
      </w:pPr>
    </w:p>
    <w:p>
      <w:pPr>
        <w:ind w:left="800" w:right="40" w:hanging="454"/>
        <w:spacing w:after="0" w:line="26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325" w:lineRule="exact"/>
        <w:rPr>
          <w:rFonts w:ascii="Arial" w:cs="Arial" w:eastAsia="Arial" w:hAnsi="Arial"/>
          <w:sz w:val="20"/>
          <w:szCs w:val="20"/>
          <w:color w:val="auto"/>
        </w:rPr>
      </w:pPr>
    </w:p>
    <w:p>
      <w:pPr>
        <w:ind w:left="800" w:right="420" w:hanging="454"/>
        <w:spacing w:after="0" w:line="26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325" w:lineRule="exact"/>
        <w:rPr>
          <w:rFonts w:ascii="Arial" w:cs="Arial" w:eastAsia="Arial" w:hAnsi="Arial"/>
          <w:sz w:val="20"/>
          <w:szCs w:val="20"/>
          <w:color w:val="auto"/>
        </w:rPr>
      </w:pPr>
    </w:p>
    <w:p>
      <w:pPr>
        <w:ind w:left="800" w:hanging="454"/>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2014 to May 31,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9</w:t>
      </w:r>
      <w:r>
        <w:rPr>
          <w:rFonts w:ascii="Arial" w:cs="Arial" w:eastAsia="Arial" w:hAnsi="Arial"/>
          <w:sz w:val="16"/>
          <w:szCs w:val="16"/>
          <w:color w:val="auto"/>
        </w:rPr>
        <w:t>th</w:t>
      </w:r>
      <w:r>
        <w:rPr>
          <w:rFonts w:ascii="Arial" w:cs="Arial" w:eastAsia="Arial" w:hAnsi="Arial"/>
          <w:sz w:val="20"/>
          <w:szCs w:val="20"/>
          <w:color w:val="auto"/>
        </w:rPr>
        <w:t xml:space="preserve"> day of June, 2014.</w:t>
      </w:r>
    </w:p>
    <w:p>
      <w:pPr>
        <w:spacing w:after="0" w:line="36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Thomas J. Friedmann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65" w:right="239" w:bottom="1440" w:gutter="0" w:footer="0" w:header="0"/>
        </w:sectPr>
      </w:pPr>
    </w:p>
    <w:bookmarkStart w:id="2" w:name="page3"/>
    <w:bookmarkEnd w:id="2"/>
    <w:tbl>
      <w:tblPr>
        <w:tblLayout w:type="fixed"/>
        <w:tblInd w:w="7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567"/>
        </w:trPr>
        <w:tc>
          <w:tcPr>
            <w:tcW w:w="51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32"/>
                <w:szCs w:val="32"/>
                <w:b w:val="1"/>
                <w:bCs w:val="1"/>
                <w:color w:val="auto"/>
              </w:rPr>
              <w:t>Management Protection</w:t>
            </w:r>
          </w:p>
        </w:tc>
      </w:tr>
      <w:tr>
        <w:trPr>
          <w:trHeight w:val="421"/>
        </w:trPr>
        <w:tc>
          <w:tcPr>
            <w:tcW w:w="5140" w:type="dxa"/>
            <w:vAlign w:val="bottom"/>
          </w:tcPr>
          <w:p>
            <w:pPr>
              <w:spacing w:after="0"/>
              <w:rPr>
                <w:sz w:val="20"/>
                <w:szCs w:val="20"/>
                <w:color w:val="auto"/>
              </w:rPr>
            </w:pPr>
            <w:r>
              <w:rPr>
                <w:rFonts w:ascii="Arial" w:cs="Arial" w:eastAsia="Arial" w:hAnsi="Arial"/>
                <w:sz w:val="18"/>
                <w:szCs w:val="18"/>
                <w:b w:val="1"/>
                <w:bCs w:val="1"/>
                <w:color w:val="auto"/>
              </w:rPr>
              <w:t>Westchester Fire Insurance Company</w:t>
            </w:r>
          </w:p>
        </w:tc>
        <w:tc>
          <w:tcPr>
            <w:tcW w:w="5560" w:type="dxa"/>
            <w:vAlign w:val="bottom"/>
          </w:tcPr>
          <w:p>
            <w:pPr>
              <w:jc w:val="right"/>
              <w:spacing w:after="0"/>
              <w:rPr>
                <w:sz w:val="20"/>
                <w:szCs w:val="20"/>
                <w:color w:val="auto"/>
              </w:rPr>
            </w:pPr>
            <w:r>
              <w:rPr>
                <w:rFonts w:ascii="Arial" w:cs="Arial" w:eastAsia="Arial" w:hAnsi="Arial"/>
                <w:sz w:val="32"/>
                <w:szCs w:val="32"/>
                <w:b w:val="1"/>
                <w:bCs w:val="1"/>
                <w:color w:val="auto"/>
              </w:rPr>
              <w:t>Insurance Policy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42037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This Policy is issued by the stock insurance company listed above (herein “Insurer”).</w:t>
      </w:r>
    </w:p>
    <w:p>
      <w:pPr>
        <w:spacing w:after="0" w:line="216"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THIS POLICY IS A CLAIMS MADE POLICY. EXCEPT AS OTHERWISE PROVIDED HEREIN, THIS POLICY COVERS ONLY CLAIMS FIRST MADE AGAINST THE INSUREDS DURING THE POLICY PERIOD. PLEASE READ THIS POLICY CAREFULLY.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DEFENSE AND CLAIMS EXPENSES ARE WITHIN THE LIMITS OF LIABILITY OF THIS POLICY.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ind w:left="360"/>
              <w:spacing w:after="0"/>
              <w:rPr>
                <w:sz w:val="20"/>
                <w:szCs w:val="20"/>
                <w:color w:val="auto"/>
              </w:rPr>
            </w:pPr>
            <w:r>
              <w:rPr>
                <w:rFonts w:ascii="Arial" w:cs="Arial" w:eastAsia="Arial" w:hAnsi="Arial"/>
                <w:sz w:val="25"/>
                <w:szCs w:val="25"/>
                <w:b w:val="1"/>
                <w:bCs w:val="1"/>
                <w:color w:val="auto"/>
              </w:rPr>
              <w:t>DECLARATIONS</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Policy No.</w:t>
            </w: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DON G23683167 001</w:t>
            </w:r>
          </w:p>
        </w:tc>
        <w:tc>
          <w:tcPr>
            <w:tcW w:w="6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Item 1.</w:t>
            </w:r>
          </w:p>
        </w:tc>
        <w:tc>
          <w:tcPr>
            <w:tcW w:w="2380" w:type="dxa"/>
            <w:vAlign w:val="bottom"/>
            <w:gridSpan w:val="5"/>
          </w:tcPr>
          <w:p>
            <w:pPr>
              <w:spacing w:after="0" w:line="195" w:lineRule="exact"/>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16"/>
                <w:szCs w:val="16"/>
                <w:color w:val="auto"/>
              </w:rPr>
            </w:pPr>
          </w:p>
        </w:tc>
        <w:tc>
          <w:tcPr>
            <w:tcW w:w="3460" w:type="dxa"/>
            <w:vAlign w:val="bottom"/>
          </w:tcPr>
          <w:p>
            <w:pPr>
              <w:ind w:left="240"/>
              <w:spacing w:after="0" w:line="195" w:lineRule="exact"/>
              <w:rPr>
                <w:sz w:val="20"/>
                <w:szCs w:val="20"/>
                <w:color w:val="auto"/>
              </w:rPr>
            </w:pPr>
            <w:r>
              <w:rPr>
                <w:rFonts w:ascii="Arial" w:cs="Arial" w:eastAsia="Arial" w:hAnsi="Arial"/>
                <w:sz w:val="18"/>
                <w:szCs w:val="18"/>
                <w:color w:val="auto"/>
                <w:w w:val="99"/>
              </w:rPr>
              <w:t>PennantPark Floating Rate Capital LTD.</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spacing w:after="0"/>
              <w:rPr>
                <w:sz w:val="18"/>
                <w:szCs w:val="18"/>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Principal Address:</w:t>
            </w:r>
          </w:p>
        </w:tc>
        <w:tc>
          <w:tcPr>
            <w:tcW w:w="680" w:type="dxa"/>
            <w:vAlign w:val="bottom"/>
          </w:tcPr>
          <w:p>
            <w:pPr>
              <w:spacing w:after="0"/>
              <w:rPr>
                <w:sz w:val="18"/>
                <w:szCs w:val="18"/>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New York NY 10022</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80" w:type="dxa"/>
            <w:vAlign w:val="bottom"/>
            <w:tcBorders>
              <w:left w:val="single" w:sz="8" w:color="auto"/>
            </w:tcBorders>
          </w:tcPr>
          <w:p>
            <w:pPr>
              <w:ind w:left="160"/>
              <w:spacing w:after="0" w:line="201" w:lineRule="exact"/>
              <w:rPr>
                <w:sz w:val="20"/>
                <w:szCs w:val="20"/>
                <w:color w:val="auto"/>
              </w:rPr>
            </w:pPr>
            <w:r>
              <w:rPr>
                <w:rFonts w:ascii="Arial" w:cs="Arial" w:eastAsia="Arial" w:hAnsi="Arial"/>
                <w:sz w:val="18"/>
                <w:szCs w:val="18"/>
                <w:b w:val="1"/>
                <w:bCs w:val="1"/>
                <w:color w:val="auto"/>
              </w:rPr>
              <w:t>Item 2.</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A.</w:t>
            </w:r>
          </w:p>
        </w:tc>
        <w:tc>
          <w:tcPr>
            <w:tcW w:w="216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Policy Period:</w:t>
            </w:r>
          </w:p>
        </w:tc>
        <w:tc>
          <w:tcPr>
            <w:tcW w:w="680" w:type="dxa"/>
            <w:vAlign w:val="bottom"/>
          </w:tcPr>
          <w:p>
            <w:pPr>
              <w:spacing w:after="0"/>
              <w:rPr>
                <w:sz w:val="17"/>
                <w:szCs w:val="17"/>
                <w:color w:val="auto"/>
              </w:rPr>
            </w:pPr>
          </w:p>
        </w:tc>
        <w:tc>
          <w:tcPr>
            <w:tcW w:w="514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From 12:01 A.M. 05/31/2014 To 12:01 A.M. 05/31/2015</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w w:val="95"/>
              </w:rPr>
              <w:t>(Local time at the address shown in Item 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80" w:type="dxa"/>
            <w:vAlign w:val="bottom"/>
            <w:tcBorders>
              <w:left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B.</w:t>
            </w:r>
          </w:p>
        </w:tc>
        <w:tc>
          <w:tcPr>
            <w:tcW w:w="2160" w:type="dxa"/>
            <w:vAlign w:val="bottom"/>
            <w:gridSpan w:val="4"/>
          </w:tcPr>
          <w:p>
            <w:pPr>
              <w:ind w:left="80"/>
              <w:spacing w:after="0"/>
              <w:rPr>
                <w:sz w:val="20"/>
                <w:szCs w:val="20"/>
                <w:color w:val="auto"/>
              </w:rPr>
            </w:pPr>
            <w:r>
              <w:rPr>
                <w:rFonts w:ascii="Arial" w:cs="Arial" w:eastAsia="Arial" w:hAnsi="Arial"/>
                <w:sz w:val="18"/>
                <w:szCs w:val="18"/>
                <w:color w:val="auto"/>
              </w:rPr>
              <w:t>Limit Period:</w:t>
            </w:r>
          </w:p>
        </w:tc>
        <w:tc>
          <w:tcPr>
            <w:tcW w:w="680" w:type="dxa"/>
            <w:vAlign w:val="bottom"/>
          </w:tcPr>
          <w:p>
            <w:pPr>
              <w:spacing w:after="0"/>
              <w:rPr>
                <w:sz w:val="24"/>
                <w:szCs w:val="24"/>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1.   Same as Policy period</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3"/>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960" w:type="dxa"/>
            <w:vAlign w:val="bottom"/>
            <w:tcBorders>
              <w:right w:val="single" w:sz="8" w:color="auto"/>
            </w:tcBorders>
            <w:gridSpan w:val="4"/>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63"/>
        </w:trPr>
        <w:tc>
          <w:tcPr>
            <w:tcW w:w="12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   One Year within Policy Period</w:t>
            </w:r>
          </w:p>
        </w:tc>
        <w:tc>
          <w:tcPr>
            <w:tcW w:w="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960" w:type="dxa"/>
            <w:vAlign w:val="bottom"/>
            <w:tcBorders>
              <w:bottom w:val="single" w:sz="8" w:color="auto"/>
              <w:right w:val="single" w:sz="8" w:color="auto"/>
            </w:tcBorders>
            <w:gridSpan w:val="4"/>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3.</w:t>
            </w:r>
          </w:p>
        </w:tc>
        <w:tc>
          <w:tcPr>
            <w:tcW w:w="2380" w:type="dxa"/>
            <w:vAlign w:val="bottom"/>
            <w:gridSpan w:val="5"/>
          </w:tcPr>
          <w:p>
            <w:pPr>
              <w:spacing w:after="0"/>
              <w:rPr>
                <w:sz w:val="20"/>
                <w:szCs w:val="20"/>
                <w:color w:val="auto"/>
              </w:rPr>
            </w:pPr>
            <w:r>
              <w:rPr>
                <w:rFonts w:ascii="Arial" w:cs="Arial" w:eastAsia="Arial" w:hAnsi="Arial"/>
                <w:sz w:val="18"/>
                <w:szCs w:val="18"/>
                <w:color w:val="auto"/>
              </w:rPr>
              <w:t>Limit of Liability:</w:t>
            </w:r>
          </w:p>
        </w:tc>
        <w:tc>
          <w:tcPr>
            <w:tcW w:w="6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80" w:type="dxa"/>
            <w:vAlign w:val="bottom"/>
            <w:gridSpan w:val="5"/>
            <w:vMerge w:val="restart"/>
          </w:tcPr>
          <w:p>
            <w:pPr>
              <w:jc w:val="center"/>
              <w:ind w:right="340"/>
              <w:spacing w:after="0"/>
              <w:rPr>
                <w:sz w:val="20"/>
                <w:szCs w:val="20"/>
                <w:color w:val="auto"/>
              </w:rPr>
            </w:pPr>
            <w:r>
              <w:rPr>
                <w:rFonts w:ascii="Arial" w:cs="Arial" w:eastAsia="Arial" w:hAnsi="Arial"/>
                <w:sz w:val="18"/>
                <w:szCs w:val="18"/>
                <w:b w:val="1"/>
                <w:bCs w:val="1"/>
                <w:color w:val="auto"/>
                <w:w w:val="95"/>
              </w:rPr>
              <w:t>Granted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57"/>
        </w:trPr>
        <w:tc>
          <w:tcPr>
            <w:tcW w:w="128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6520" w:type="dxa"/>
            <w:vAlign w:val="bottom"/>
            <w:gridSpan w:val="7"/>
          </w:tcPr>
          <w:p>
            <w:pPr>
              <w:spacing w:after="0"/>
              <w:rPr>
                <w:sz w:val="20"/>
                <w:szCs w:val="20"/>
                <w:color w:val="auto"/>
              </w:rPr>
            </w:pPr>
            <w:r>
              <w:rPr>
                <w:rFonts w:ascii="Arial" w:cs="Arial" w:eastAsia="Arial" w:hAnsi="Arial"/>
                <w:sz w:val="18"/>
                <w:szCs w:val="18"/>
                <w:color w:val="auto"/>
              </w:rPr>
              <w:t>A.  Single Aggregate Limit of Liability for all</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top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No</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color w:val="auto"/>
                <w:w w:val="98"/>
              </w:rPr>
              <w:t>Coverage Parts, combined</w:t>
            </w:r>
          </w:p>
        </w:tc>
        <w:tc>
          <w:tcPr>
            <w:tcW w:w="6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280" w:type="dxa"/>
            <w:vAlign w:val="bottom"/>
            <w:tcBorders>
              <w:left w:val="single" w:sz="8" w:color="auto"/>
            </w:tcBorders>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w w:val="99"/>
              </w:rPr>
              <w:t>B.  Separate Limits of Liability</w:t>
            </w: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98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left w:val="single" w:sz="8" w:color="auto"/>
            </w:tcBorders>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b w:val="1"/>
                <w:bCs w:val="1"/>
                <w:color w:val="auto"/>
              </w:rPr>
              <w:t>Coverage Part(s)</w:t>
            </w: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Limit of Liability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Borders>
              <w:left w:val="single" w:sz="8" w:color="auto"/>
              <w:bottom w:val="single" w:sz="8" w:color="auto"/>
            </w:tcBorders>
          </w:tcPr>
          <w:p>
            <w:pPr>
              <w:spacing w:after="0"/>
              <w:rPr>
                <w:sz w:val="24"/>
                <w:szCs w:val="24"/>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Investment Company Bond</w:t>
            </w:r>
          </w:p>
        </w:tc>
        <w:tc>
          <w:tcPr>
            <w:tcW w:w="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$5,000,000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4.</w:t>
            </w:r>
          </w:p>
        </w:tc>
        <w:tc>
          <w:tcPr>
            <w:tcW w:w="2380" w:type="dxa"/>
            <w:vAlign w:val="bottom"/>
            <w:gridSpan w:val="5"/>
          </w:tcPr>
          <w:p>
            <w:pPr>
              <w:spacing w:after="0"/>
              <w:rPr>
                <w:sz w:val="20"/>
                <w:szCs w:val="20"/>
                <w:color w:val="auto"/>
              </w:rPr>
            </w:pPr>
            <w:r>
              <w:rPr>
                <w:rFonts w:ascii="Arial" w:cs="Arial" w:eastAsia="Arial" w:hAnsi="Arial"/>
                <w:sz w:val="18"/>
                <w:szCs w:val="18"/>
                <w:color w:val="auto"/>
              </w:rPr>
              <w:t>Coverage Parts Purchased</w:t>
            </w: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tcBorders>
          </w:tcPr>
          <w:p>
            <w:pPr>
              <w:spacing w:after="0"/>
              <w:rPr>
                <w:sz w:val="24"/>
                <w:szCs w:val="24"/>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Investment Company Bond</w:t>
            </w:r>
          </w:p>
        </w:tc>
        <w:tc>
          <w:tcPr>
            <w:tcW w:w="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$5,000,000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5.</w:t>
            </w:r>
          </w:p>
        </w:tc>
        <w:tc>
          <w:tcPr>
            <w:tcW w:w="2380" w:type="dxa"/>
            <w:vAlign w:val="bottom"/>
            <w:gridSpan w:val="5"/>
          </w:tcPr>
          <w:p>
            <w:pPr>
              <w:spacing w:after="0"/>
              <w:rPr>
                <w:sz w:val="20"/>
                <w:szCs w:val="20"/>
                <w:color w:val="auto"/>
              </w:rPr>
            </w:pPr>
            <w:r>
              <w:rPr>
                <w:rFonts w:ascii="Arial" w:cs="Arial" w:eastAsia="Arial" w:hAnsi="Arial"/>
                <w:sz w:val="18"/>
                <w:szCs w:val="18"/>
                <w:color w:val="auto"/>
              </w:rPr>
              <w:t>Policy Premium:</w:t>
            </w:r>
          </w:p>
        </w:tc>
        <w:tc>
          <w:tcPr>
            <w:tcW w:w="6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$12,000</w:t>
            </w:r>
          </w:p>
        </w:tc>
        <w:tc>
          <w:tcPr>
            <w:tcW w:w="6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1280" w:type="dxa"/>
            <w:vAlign w:val="bottom"/>
            <w:tcBorders>
              <w:left w:val="single" w:sz="8" w:color="auto"/>
            </w:tcBorders>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Annual Premium:</w:t>
            </w: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12,000</w:t>
            </w:r>
          </w:p>
        </w:tc>
        <w:tc>
          <w:tcPr>
            <w:tcW w:w="6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80" w:type="dxa"/>
            <w:vAlign w:val="bottom"/>
            <w:tcBorders>
              <w:left w:val="single" w:sz="8" w:color="auto"/>
            </w:tcBorders>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Discovery Period:</w:t>
            </w: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Borders>
              <w:left w:val="single" w:sz="8" w:color="auto"/>
            </w:tcBorders>
          </w:tcPr>
          <w:p>
            <w:pPr>
              <w:spacing w:after="0"/>
              <w:rPr>
                <w:sz w:val="16"/>
                <w:szCs w:val="16"/>
                <w:color w:val="auto"/>
              </w:rPr>
            </w:pPr>
          </w:p>
        </w:tc>
        <w:tc>
          <w:tcPr>
            <w:tcW w:w="6520" w:type="dxa"/>
            <w:vAlign w:val="bottom"/>
            <w:gridSpan w:val="7"/>
          </w:tcPr>
          <w:p>
            <w:pPr>
              <w:spacing w:after="0" w:line="190" w:lineRule="exact"/>
              <w:rPr>
                <w:sz w:val="20"/>
                <w:szCs w:val="20"/>
                <w:color w:val="auto"/>
              </w:rPr>
            </w:pPr>
            <w:r>
              <w:rPr>
                <w:rFonts w:ascii="Arial" w:cs="Arial" w:eastAsia="Arial" w:hAnsi="Arial"/>
                <w:sz w:val="18"/>
                <w:szCs w:val="18"/>
                <w:color w:val="auto"/>
              </w:rPr>
              <w:t>A. Additional Premium: 0 % of Annual Premium</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tcPr>
          <w:p>
            <w:pPr>
              <w:spacing w:after="0"/>
              <w:rPr>
                <w:sz w:val="17"/>
                <w:szCs w:val="17"/>
                <w:color w:val="auto"/>
              </w:rPr>
            </w:pPr>
          </w:p>
        </w:tc>
        <w:tc>
          <w:tcPr>
            <w:tcW w:w="1820" w:type="dxa"/>
            <w:vAlign w:val="bottom"/>
            <w:gridSpan w:val="3"/>
          </w:tcPr>
          <w:p>
            <w:pPr>
              <w:spacing w:after="0" w:line="196" w:lineRule="exact"/>
              <w:rPr>
                <w:sz w:val="20"/>
                <w:szCs w:val="20"/>
                <w:color w:val="auto"/>
              </w:rPr>
            </w:pPr>
            <w:r>
              <w:rPr>
                <w:rFonts w:ascii="Arial" w:cs="Arial" w:eastAsia="Arial" w:hAnsi="Arial"/>
                <w:sz w:val="18"/>
                <w:szCs w:val="18"/>
                <w:color w:val="auto"/>
              </w:rPr>
              <w:t>B. Additional Period:</w:t>
            </w:r>
          </w:p>
        </w:tc>
        <w:tc>
          <w:tcPr>
            <w:tcW w:w="1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40" w:type="dxa"/>
            <w:vAlign w:val="bottom"/>
            <w:gridSpan w:val="2"/>
          </w:tcPr>
          <w:p>
            <w:pPr>
              <w:spacing w:after="0" w:line="196" w:lineRule="exact"/>
              <w:rPr>
                <w:sz w:val="20"/>
                <w:szCs w:val="20"/>
                <w:color w:val="auto"/>
              </w:rPr>
            </w:pPr>
            <w:r>
              <w:rPr>
                <w:rFonts w:ascii="Arial" w:cs="Arial" w:eastAsia="Arial" w:hAnsi="Arial"/>
                <w:sz w:val="18"/>
                <w:szCs w:val="18"/>
                <w:color w:val="auto"/>
              </w:rPr>
              <w:t>0 months</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8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Arial" w:cs="Arial" w:eastAsia="Arial" w:hAnsi="Arial"/>
                <w:sz w:val="14"/>
                <w:szCs w:val="14"/>
                <w:color w:val="auto"/>
              </w:rPr>
              <w:t>MPDC002 (4-99)</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w w:val="89"/>
              </w:rPr>
              <w:t>Page 1 of 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 w:name="page4"/>
    <w:bookmarkEnd w:id="3"/>
    <w:p>
      <w:pPr>
        <w:ind w:left="160"/>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color w:val="auto"/>
        </w:rPr>
        <w:t>Notice to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3181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3181350"/>
                    </a:xfrm>
                    <a:prstGeom prst="rect">
                      <a:avLst/>
                    </a:prstGeom>
                    <a:noFill/>
                  </pic:spPr>
                </pic:pic>
              </a:graphicData>
            </a:graphic>
          </wp:anchor>
        </w:drawing>
      </w:r>
    </w:p>
    <w:p>
      <w:pPr>
        <w:spacing w:after="0" w:line="7" w:lineRule="exact"/>
        <w:rPr>
          <w:sz w:val="20"/>
          <w:szCs w:val="20"/>
          <w:color w:val="auto"/>
        </w:rPr>
      </w:pPr>
    </w:p>
    <w:p>
      <w:pPr>
        <w:ind w:left="1940" w:hanging="446"/>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Notice of Claim, Wrongful Act or Loss:</w:t>
      </w:r>
    </w:p>
    <w:p>
      <w:pPr>
        <w:spacing w:after="0" w:line="9" w:lineRule="exact"/>
        <w:rPr>
          <w:rFonts w:ascii="Arial" w:cs="Arial" w:eastAsia="Arial" w:hAnsi="Arial"/>
          <w:sz w:val="18"/>
          <w:szCs w:val="18"/>
          <w:color w:val="auto"/>
        </w:rPr>
      </w:pPr>
    </w:p>
    <w:p>
      <w:pPr>
        <w:ind w:left="1900" w:right="8480" w:hanging="10"/>
        <w:spacing w:after="0" w:line="300" w:lineRule="auto"/>
        <w:rPr>
          <w:rFonts w:ascii="Arial" w:cs="Arial" w:eastAsia="Arial" w:hAnsi="Arial"/>
          <w:sz w:val="18"/>
          <w:szCs w:val="18"/>
          <w:color w:val="auto"/>
        </w:rPr>
      </w:pPr>
      <w:r>
        <w:rPr>
          <w:rFonts w:ascii="Arial" w:cs="Arial" w:eastAsia="Arial" w:hAnsi="Arial"/>
          <w:sz w:val="15"/>
          <w:szCs w:val="15"/>
          <w:color w:val="auto"/>
        </w:rPr>
        <w:t>ACE USA P.O. Box 5105</w:t>
      </w:r>
    </w:p>
    <w:p>
      <w:pPr>
        <w:ind w:left="1900" w:right="7660"/>
        <w:spacing w:after="0" w:line="281" w:lineRule="auto"/>
        <w:rPr>
          <w:rFonts w:ascii="Arial" w:cs="Arial" w:eastAsia="Arial" w:hAnsi="Arial"/>
          <w:sz w:val="18"/>
          <w:szCs w:val="18"/>
          <w:color w:val="auto"/>
        </w:rPr>
      </w:pPr>
      <w:r>
        <w:rPr>
          <w:rFonts w:ascii="Arial" w:cs="Arial" w:eastAsia="Arial" w:hAnsi="Arial"/>
          <w:sz w:val="16"/>
          <w:szCs w:val="16"/>
          <w:color w:val="auto"/>
        </w:rPr>
        <w:t>Scranton, PA 18505-0518 Fax: 877-746-4641</w:t>
      </w:r>
    </w:p>
    <w:p>
      <w:pPr>
        <w:spacing w:after="0" w:line="1"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 xml:space="preserve">Email address for submitting </w:t>
      </w:r>
      <w:r>
        <w:rPr>
          <w:rFonts w:ascii="Arial" w:cs="Arial" w:eastAsia="Arial" w:hAnsi="Arial"/>
          <w:sz w:val="18"/>
          <w:szCs w:val="18"/>
          <w:b w:val="1"/>
          <w:bCs w:val="1"/>
          <w:color w:val="auto"/>
        </w:rPr>
        <w:t>Claims,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ACEClaimsFirstNotice@acegroup.com</w:t>
      </w:r>
    </w:p>
    <w:p>
      <w:pPr>
        <w:spacing w:after="0" w:line="9"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 xml:space="preserve">Email address for all other correspondence, </w:t>
      </w:r>
      <w:r>
        <w:rPr>
          <w:rFonts w:ascii="Arial" w:cs="Arial" w:eastAsia="Arial" w:hAnsi="Arial"/>
          <w:sz w:val="18"/>
          <w:szCs w:val="18"/>
          <w:u w:val="single" w:color="auto"/>
          <w:color w:val="auto"/>
        </w:rPr>
        <w:t>ApolloProRskACEIncoming@acegroup.com</w:t>
      </w:r>
    </w:p>
    <w:p>
      <w:pPr>
        <w:spacing w:after="0" w:line="372" w:lineRule="exact"/>
        <w:rPr>
          <w:rFonts w:ascii="Arial" w:cs="Arial" w:eastAsia="Arial" w:hAnsi="Arial"/>
          <w:sz w:val="18"/>
          <w:szCs w:val="18"/>
          <w:color w:val="auto"/>
        </w:rPr>
      </w:pPr>
    </w:p>
    <w:p>
      <w:pPr>
        <w:ind w:left="1920" w:hanging="426"/>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notices:</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Chief Underwriting Officer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ACE USA - Professional Risk</w:t>
      </w:r>
    </w:p>
    <w:p>
      <w:pPr>
        <w:spacing w:after="0" w:line="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1133 Avenue of the Americas, 32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New York 10036</w:t>
      </w:r>
    </w:p>
    <w:p>
      <w:pPr>
        <w:spacing w:after="0" w:line="261"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color w:val="auto"/>
        </w:rPr>
        <w:t>Endorsements to the General Conditions and Limitations Effective at Inception:</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CC-1K11h (03/14) – Signatures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MPP/ICBB (04/10) – SEC Cancellation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PF-25797 (09/08) – Waiver of Application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ALL-21101 (11/06) – Trade or Economic Sanctions Endorsement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ALL-20887 (10/06) – ACE Producer Compensation Practices &amp; Policies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PF-17914 (02/05) – U.S. Treasury Department’s Office of Foreign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648970</wp:posOffset>
            </wp:positionV>
            <wp:extent cx="1749425"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June 3, 2014</w:t>
            </w:r>
          </w:p>
        </w:tc>
        <w:tc>
          <w:tcPr>
            <w:tcW w:w="6360" w:type="dxa"/>
            <w:vAlign w:val="bottom"/>
            <w:gridSpan w:val="2"/>
          </w:tcPr>
          <w:p>
            <w:pPr>
              <w:ind w:left="2560"/>
              <w:spacing w:after="0"/>
              <w:rPr>
                <w:sz w:val="20"/>
                <w:szCs w:val="20"/>
                <w:color w:val="auto"/>
              </w:rPr>
            </w:pPr>
            <w:r>
              <w:rPr>
                <w:rFonts w:ascii="Arial" w:cs="Arial" w:eastAsia="Arial" w:hAnsi="Arial"/>
                <w:sz w:val="18"/>
                <w:szCs w:val="18"/>
                <w:color w:val="auto"/>
              </w:rPr>
              <w:t>JOHN J. LUPICA, President</w:t>
            </w:r>
          </w:p>
        </w:tc>
      </w:tr>
      <w:tr>
        <w:trPr>
          <w:trHeight w:val="224"/>
        </w:trPr>
        <w:tc>
          <w:tcPr>
            <w:tcW w:w="5060" w:type="dxa"/>
            <w:vAlign w:val="bottom"/>
          </w:tcPr>
          <w:p>
            <w:pPr>
              <w:spacing w:after="0"/>
              <w:rPr>
                <w:sz w:val="19"/>
                <w:szCs w:val="19"/>
                <w:color w:val="auto"/>
              </w:rPr>
            </w:pPr>
          </w:p>
        </w:tc>
        <w:tc>
          <w:tcPr>
            <w:tcW w:w="464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auto"/>
              </w:rPr>
              <w:t>Authorized Representative</w:t>
            </w:r>
          </w:p>
        </w:tc>
        <w:tc>
          <w:tcPr>
            <w:tcW w:w="1720" w:type="dxa"/>
            <w:vAlign w:val="bottom"/>
          </w:tcPr>
          <w:p>
            <w:pPr>
              <w:spacing w:after="0"/>
              <w:rPr>
                <w:sz w:val="19"/>
                <w:szCs w:val="19"/>
                <w:color w:val="auto"/>
              </w:rPr>
            </w:pPr>
          </w:p>
        </w:tc>
      </w:tr>
      <w:tr>
        <w:trPr>
          <w:trHeight w:val="298"/>
        </w:trPr>
        <w:tc>
          <w:tcPr>
            <w:tcW w:w="5060" w:type="dxa"/>
            <w:vAlign w:val="bottom"/>
          </w:tcPr>
          <w:p>
            <w:pPr>
              <w:spacing w:after="0"/>
              <w:rPr>
                <w:sz w:val="20"/>
                <w:szCs w:val="20"/>
                <w:color w:val="auto"/>
              </w:rPr>
            </w:pPr>
            <w:r>
              <w:rPr>
                <w:rFonts w:ascii="Arial" w:cs="Arial" w:eastAsia="Arial" w:hAnsi="Arial"/>
                <w:sz w:val="14"/>
                <w:szCs w:val="14"/>
                <w:color w:val="auto"/>
              </w:rPr>
              <w:t>MPDC002 (4-99)</w:t>
            </w:r>
          </w:p>
        </w:tc>
        <w:tc>
          <w:tcPr>
            <w:tcW w:w="46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4"/>
                <w:szCs w:val="14"/>
                <w:color w:val="auto"/>
                <w:w w:val="89"/>
              </w:rPr>
              <w:t>Page 2 of 2</w:t>
            </w:r>
          </w:p>
        </w:tc>
      </w:tr>
    </w:tbl>
    <w:p>
      <w:pPr>
        <w:sectPr>
          <w:pgSz w:w="11900" w:h="16838" w:orient="portrait"/>
          <w:cols w:equalWidth="0" w:num="1">
            <w:col w:w="11420"/>
          </w:cols>
          <w:pgMar w:left="240" w:top="283"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42037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Westchester Fire Insurance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32"/>
          <w:szCs w:val="32"/>
          <w:b w:val="1"/>
          <w:bCs w:val="1"/>
          <w:color w:val="auto"/>
        </w:rPr>
        <w:t>Management Protection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auto"/>
        </w:rPr>
        <w:t>Insurance Policy</w:t>
      </w:r>
    </w:p>
    <w:p>
      <w:pPr>
        <w:spacing w:after="0" w:line="200" w:lineRule="exact"/>
        <w:rPr>
          <w:sz w:val="20"/>
          <w:szCs w:val="20"/>
          <w:color w:val="auto"/>
        </w:rPr>
      </w:pPr>
    </w:p>
    <w:p>
      <w:pPr>
        <w:sectPr>
          <w:pgSz w:w="11900" w:h="16838" w:orient="portrait"/>
          <w:cols w:equalWidth="0" w:num="2">
            <w:col w:w="7000" w:space="720"/>
            <w:col w:w="3700"/>
          </w:cols>
          <w:pgMar w:left="240" w:top="249" w:right="239" w:bottom="1440" w:gutter="0" w:footer="0" w:header="0"/>
        </w:sectPr>
      </w:pP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payment of the premium and in reliance on all statements made and information furnished by the Company to the Insurer in the Application, which is hereby made a part hereof, and subject to the foregoing Declarations and to all other terms of this Policy, the Company, the Insureds, and the Insurer agree as follows: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CONDITIONS AND LIMITATIONS</w:t>
      </w:r>
    </w:p>
    <w:p>
      <w:pPr>
        <w:spacing w:after="0" w:line="2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p>
    <w:p>
      <w:pPr>
        <w:spacing w:after="0" w:line="229" w:lineRule="exact"/>
        <w:rPr>
          <w:rFonts w:ascii="Arial" w:cs="Arial" w:eastAsia="Arial" w:hAnsi="Arial"/>
          <w:sz w:val="18"/>
          <w:szCs w:val="18"/>
          <w:b w:val="1"/>
          <w:bCs w:val="1"/>
          <w:color w:val="auto"/>
        </w:rPr>
      </w:pPr>
    </w:p>
    <w:p>
      <w:pPr>
        <w:jc w:val="both"/>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Except for the General Conditions and Limitations or unless stated to the contrary in any Coverage Part, the terms and conditions of each Coverage Part of this Policy apply only to that Coverage Part and shall not apply to any other Coverage Part of this Policy. Any term referenced in the General Conditions and Limitations which is defined in a Coverage Part shall, for purposes of coverage under that Coverage Part, have the meaning set forth in that Coverage Part. If any provision in the General Conditions and Limitations is inconsistent or in conflict with the terms and conditions of any Coverage Part, the terms and conditions of such Coverage Part shall control for purposes of that Coverage Part.</w:t>
      </w:r>
    </w:p>
    <w:p>
      <w:pPr>
        <w:spacing w:after="0" w:line="195"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When used in this Policy:</w:t>
      </w:r>
    </w:p>
    <w:p>
      <w:pPr>
        <w:spacing w:after="0" w:line="248" w:lineRule="exact"/>
        <w:rPr>
          <w:rFonts w:ascii="Arial" w:cs="Arial" w:eastAsia="Arial" w:hAnsi="Arial"/>
          <w:sz w:val="18"/>
          <w:szCs w:val="18"/>
          <w:b w:val="1"/>
          <w:bCs w:val="1"/>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Annual Premium </w:t>
      </w:r>
      <w:r>
        <w:rPr>
          <w:rFonts w:ascii="Arial" w:cs="Arial" w:eastAsia="Arial" w:hAnsi="Arial"/>
          <w:sz w:val="18"/>
          <w:szCs w:val="18"/>
          <w:color w:val="auto"/>
        </w:rPr>
        <w:t>means the original annualized premium and the fully annualized amount of any additional premiums charged by the Insurer</w:t>
      </w:r>
      <w:r>
        <w:rPr>
          <w:rFonts w:ascii="Arial" w:cs="Arial" w:eastAsia="Arial" w:hAnsi="Arial"/>
          <w:sz w:val="18"/>
          <w:szCs w:val="18"/>
          <w:b w:val="1"/>
          <w:bCs w:val="1"/>
          <w:color w:val="auto"/>
        </w:rPr>
        <w:t xml:space="preserve"> </w:t>
      </w:r>
      <w:r>
        <w:rPr>
          <w:rFonts w:ascii="Arial" w:cs="Arial" w:eastAsia="Arial" w:hAnsi="Arial"/>
          <w:sz w:val="18"/>
          <w:szCs w:val="18"/>
          <w:color w:val="auto"/>
        </w:rPr>
        <w:t>for or during the Policy Period.</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means all signed applications, including attachments and materials submitted therewith, for this Policy or for any policy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Insurer of which this Policy is a direct or indirect renewal or replacement. All such applications, attachments and materials are deemed attached to and incorporated into this Policy.</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collectively, the Parent Company and the Subsidiaries, including any such organization as a debtor in possession under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bankruptcy law or an equivalent status under the law of any other country.</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Defense Costs </w:t>
      </w:r>
      <w:r>
        <w:rPr>
          <w:rFonts w:ascii="Arial" w:cs="Arial" w:eastAsia="Arial" w:hAnsi="Arial"/>
          <w:sz w:val="18"/>
          <w:szCs w:val="18"/>
          <w:color w:val="auto"/>
        </w:rPr>
        <w:t>means reasonable costs, charges, fees (including but not limited to attorneys’ fees and experts’ fees) and expenses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or overtime wages, salaries or fees of the directors, officers or employees of the Company) incurred by the Insureds in defending or investigating Claims and the premium for appeal, attachment or similar bonds.</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Discovery Period </w:t>
      </w:r>
      <w:r>
        <w:rPr>
          <w:rFonts w:ascii="Arial" w:cs="Arial" w:eastAsia="Arial" w:hAnsi="Arial"/>
          <w:sz w:val="18"/>
          <w:szCs w:val="18"/>
          <w:color w:val="auto"/>
        </w:rPr>
        <w:t>means the period for the extension of coverage, if exercised, described in Subsection 4 or 10(b) of these General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Limitations.</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any similar state or local common or statutory law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promulgated thereunder.</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Executive Officers</w:t>
      </w:r>
      <w:r>
        <w:rPr>
          <w:rFonts w:ascii="Arial" w:cs="Arial" w:eastAsia="Arial" w:hAnsi="Arial"/>
          <w:sz w:val="18"/>
          <w:szCs w:val="18"/>
          <w:color w:val="auto"/>
        </w:rPr>
        <w:t>, either in the singular or plural, means with respect to any Company its chairperson, president, chief executive officer,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in-house general counsel and, solely with respect to the Employment Practices Coverage Part if granted, the director of human resources or equivalent position.</w:t>
      </w:r>
    </w:p>
    <w:p>
      <w:pPr>
        <w:spacing w:after="0" w:line="108"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1 of 9</w:t>
      </w:r>
    </w:p>
    <w:p>
      <w:pPr>
        <w:sectPr>
          <w:pgSz w:w="11900" w:h="16838" w:orient="portrait"/>
          <w:cols w:equalWidth="0" w:num="1">
            <w:col w:w="11420"/>
          </w:cols>
          <w:pgMar w:left="240" w:top="249" w:right="239" w:bottom="1440" w:gutter="0" w:footer="0" w:header="0"/>
          <w:type w:val="continuous"/>
        </w:sectPr>
      </w:pPr>
    </w:p>
    <w:bookmarkStart w:id="5" w:name="page6"/>
    <w:bookmarkEnd w:id="5"/>
    <w:p>
      <w:pPr>
        <w:jc w:val="both"/>
        <w:ind w:left="900" w:hanging="446"/>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Impairment </w:t>
      </w:r>
      <w:r>
        <w:rPr>
          <w:rFonts w:ascii="Arial" w:cs="Arial" w:eastAsia="Arial" w:hAnsi="Arial"/>
          <w:sz w:val="16"/>
          <w:szCs w:val="16"/>
          <w:color w:val="auto"/>
        </w:rPr>
        <w:t>means the status of the Company resulting from (1) the appointment by any state or federal official, agency or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receiver, conservator, liquidator, trustee, rehabilitator or similar official to take control of, supervise, manage or liquidate the Company, or</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Company becoming a debtor in possession.</w:t>
      </w:r>
    </w:p>
    <w:p>
      <w:pPr>
        <w:spacing w:after="0" w:line="23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Insureds </w:t>
      </w:r>
      <w:r>
        <w:rPr>
          <w:rFonts w:ascii="Arial" w:cs="Arial" w:eastAsia="Arial" w:hAnsi="Arial"/>
          <w:sz w:val="18"/>
          <w:szCs w:val="18"/>
          <w:color w:val="auto"/>
        </w:rPr>
        <w:t>means, with respect to any Coverage Part, all organizations, plans and natural persons defined as Insureds thereunder.</w:t>
      </w:r>
    </w:p>
    <w:p>
      <w:pPr>
        <w:spacing w:after="0" w:line="252"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Interrelated Wrongful Acts </w:t>
      </w:r>
      <w:r>
        <w:rPr>
          <w:rFonts w:ascii="Arial" w:cs="Arial" w:eastAsia="Arial" w:hAnsi="Arial"/>
          <w:sz w:val="18"/>
          <w:szCs w:val="18"/>
          <w:color w:val="auto"/>
        </w:rPr>
        <w:t>means all Wrongful Acts that have as a common nexus any fact, circumstance, situation, event, transaction, cause or</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related facts, circumstances, situations, events, transactions or causes.</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Liability Coverage Part(s) </w:t>
      </w:r>
      <w:r>
        <w:rPr>
          <w:rFonts w:ascii="Arial" w:cs="Arial" w:eastAsia="Arial" w:hAnsi="Arial"/>
          <w:sz w:val="17"/>
          <w:szCs w:val="17"/>
          <w:color w:val="auto"/>
        </w:rPr>
        <w:t>means any Coverage Part of this Policy other than any Commercial Crime or Bond Coverage Part, if purchased.</w:t>
      </w:r>
    </w:p>
    <w:p>
      <w:pPr>
        <w:spacing w:after="0" w:line="263" w:lineRule="exact"/>
        <w:rPr>
          <w:rFonts w:ascii="Arial" w:cs="Arial" w:eastAsia="Arial" w:hAnsi="Arial"/>
          <w:sz w:val="17"/>
          <w:szCs w:val="17"/>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Limit Period </w:t>
      </w:r>
      <w:r>
        <w:rPr>
          <w:rFonts w:ascii="Arial" w:cs="Arial" w:eastAsia="Arial" w:hAnsi="Arial"/>
          <w:sz w:val="18"/>
          <w:szCs w:val="18"/>
          <w:color w:val="auto"/>
        </w:rPr>
        <w:t>means the period described in Item 2(B) of the Declarations, subject to prior termination in accordance with Subsection 12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Conditions and Limitations.</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Parent Company </w:t>
      </w:r>
      <w:r>
        <w:rPr>
          <w:rFonts w:ascii="Arial" w:cs="Arial" w:eastAsia="Arial" w:hAnsi="Arial"/>
          <w:sz w:val="18"/>
          <w:szCs w:val="18"/>
          <w:color w:val="auto"/>
        </w:rPr>
        <w:t>means the organization first named in Item 1 of the Declarations.</w:t>
      </w:r>
    </w:p>
    <w:p>
      <w:pPr>
        <w:spacing w:after="0" w:line="252"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means, collectively, the Declarations, the Application, this policy form (including all attached Coverage Parts) and any endorsements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Policy Period </w:t>
      </w:r>
      <w:r>
        <w:rPr>
          <w:rFonts w:ascii="Arial" w:cs="Arial" w:eastAsia="Arial" w:hAnsi="Arial"/>
          <w:sz w:val="18"/>
          <w:szCs w:val="18"/>
          <w:color w:val="auto"/>
        </w:rPr>
        <w:t>means the period of time specified in Item 2(A) of the Declarations, subject to prior termination in accordance with Subsection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General Conditions and Limitations.</w:t>
      </w:r>
    </w:p>
    <w:p>
      <w:pPr>
        <w:spacing w:after="0" w:line="188"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Pollutants </w:t>
      </w:r>
      <w:r>
        <w:rPr>
          <w:rFonts w:ascii="Arial" w:cs="Arial" w:eastAsia="Arial" w:hAnsi="Arial"/>
          <w:sz w:val="16"/>
          <w:szCs w:val="16"/>
          <w:color w:val="auto"/>
        </w:rPr>
        <w:t>means any substance located anywhere in the world exhibiting any hazardous characteristics as defined by, or identified on a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hazardous substances issued by the United States Environmental Protection Agency or any federal, state, county, municipality or locality counterpart thereof. Such substances shall include, without limitation, solids, liquids, gaseous or thermal irritants, contaminants or smoke, vapor, soot, fumes, acids, alkalis, chemicals or waste materials. Pollutants shall also mean any other air emission, odor, waste water, oil or oil products, infectious or medical waste, asbestos or asbestos products, noise, and electric or magnetic or electromagnetic field.</w:t>
      </w:r>
    </w:p>
    <w:p>
      <w:pPr>
        <w:spacing w:after="0" w:line="18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either in the singular or plural, means:</w:t>
      </w:r>
    </w:p>
    <w:p>
      <w:pPr>
        <w:spacing w:after="0" w:line="256" w:lineRule="exact"/>
        <w:rPr>
          <w:sz w:val="20"/>
          <w:szCs w:val="20"/>
          <w:color w:val="auto"/>
        </w:rPr>
      </w:pPr>
    </w:p>
    <w:p>
      <w:pPr>
        <w:ind w:left="148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company in which more than 50% of the outstanding voting securities representing the present right to vote for election of directors is owned, directly or indirectly, in any combination, by one or more Companies, and</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foundation, charitable trust or political action committee controlled by one or more Companies.</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ESTATES, LEGAL REPRESENTATIVES AND SPOUSES</w:t>
      </w:r>
    </w:p>
    <w:p>
      <w:pPr>
        <w:spacing w:after="0" w:line="229"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estates, heirs, legal representatives, assigns and spouses of Insured Persons shall be considered an Insured under any Liability Coverage Part; but coverage is afforded to such estates, heirs, legal representatives, assigns and spouses only for a Claim arising solely out of their status as such and, in the case of a spouse, where such Claim seeks damages from marital community property, jointly held property or property transferred from the Insured Person to the spouse. No coverage is provided for any Wrongful Act of an estate, heir, legal representative, assign or spouse. All terms and conditions of this Policy, including without limitation the Retention, applicable to Loss incurred by the Insured Person shall also apply to loss incurred by such estates, heirs, legal representatives, assigns and spouses.</w:t>
      </w:r>
    </w:p>
    <w:p>
      <w:pPr>
        <w:spacing w:after="0" w:line="121"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2 of 9</w:t>
      </w:r>
    </w:p>
    <w:p>
      <w:pPr>
        <w:sectPr>
          <w:pgSz w:w="11900" w:h="16838" w:orient="portrait"/>
          <w:cols w:equalWidth="0" w:num="1">
            <w:col w:w="11420"/>
          </w:cols>
          <w:pgMar w:left="240" w:top="270" w:right="239" w:bottom="1440" w:gutter="0" w:footer="0" w:header="0"/>
        </w:sectPr>
      </w:pPr>
    </w:p>
    <w:bookmarkStart w:id="6" w:name="page7"/>
    <w:bookmarkEnd w:id="6"/>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DISCOVERY PERIOD</w:t>
      </w:r>
    </w:p>
    <w:p>
      <w:pPr>
        <w:spacing w:after="0" w:line="229"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Insurer or the Insureds do not renew any Liability Coverage Part or if the Parent Company terminates any Liability Coverage Part, the Insureds shall have the right, upon payment of the additional premium described below, to an extension of the coverage granted by such Liability Coverage Part for the Discovery Period set forth in Item 5(B) of the Declarations following the effective date of such nonrenewal or termination, but only with respect to a covered Wrongful Act taking place prior to the effective date of such nonrenewal or termination. This right of extension shall lapse unless written notice of such election, together with payment of the additional premium due, is given by the Insureds to the Insurer within thirty (30) days following the effective date of termination or nonrenewal.</w:t>
      </w:r>
    </w:p>
    <w:p>
      <w:pPr>
        <w:spacing w:after="0" w:line="193"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premium due for such Discovery Period with respect to any Liability Coverage Part shall equal that percent set forth in Item 5(A) of the Declarations of the Annual Premium for such Liability Coverage Part. The entire premium for such Discovery Period shall be deemed fully earned and non-refundable upon payment.</w:t>
      </w:r>
    </w:p>
    <w:p>
      <w:pPr>
        <w:spacing w:after="0" w:line="18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Insureds shall not be entitled to elect the Discovery Period under this Subsection 4 with respect to any Liability Coverage Part if a Discovery Period for such Liability Coverage Part is elected pursuant to Subsection 10(b) of these General Conditions and Limitations.</w:t>
      </w:r>
    </w:p>
    <w:p>
      <w:pPr>
        <w:spacing w:after="0" w:line="193"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 OF LIABILITY AND RETENTION</w:t>
      </w:r>
    </w:p>
    <w:p>
      <w:pPr>
        <w:spacing w:after="0" w:line="229"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the purposes of this Policy, all Claims arising out of the same Wrongful Act and all Interrelated Wrongful Acts of the Insureds shall be deemed one Claim, and such Claim shall be deemed to be first made on the date the earliest of such Claims is first made against them, regardless of whether such date is before or during the Policy Period. All Loss resulting from a single Claim shall be deemed a single Loss.</w:t>
      </w:r>
    </w:p>
    <w:p>
      <w:pPr>
        <w:spacing w:after="0" w:line="165"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single aggregate Limit of Liability for all Coverage Parts is granted as provided in Item 3(A) of the Declarations, the amount stated in Item 3(A) of the Declarations shall be the maximum aggregate liability of the Insurer under all Coverage Parts, combined, for each Limit Period, regardless of the number of Claims or losses or the time of payment by the Insurer.</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If separate Limits of Liability are granted as provided in Item 3(B) of the Declarations:</w:t>
      </w:r>
    </w:p>
    <w:p>
      <w:pPr>
        <w:spacing w:after="0" w:line="252"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maximum aggregate liability of the Insurer under each Liability Coverage Part for all covered Loss resulting from all Claims first made during each Limit Period shall be the respective Limit(s) of Liability for such Coverage Part as set forth in Item 3(B) of the Declarations, regardless of the time of payment by the Insurer; and</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maximum aggregate liability of the Insurer for all Loss during the Limit Period under all Insuring Clauses of the Commercial Crime or Bond Coverage Part shall be the aggregate Limit of Liability for such Coverage Part as set forth in the Declarations for such Coverage Part, regardless of the time of payment by the Insurer, provided:</w:t>
      </w:r>
    </w:p>
    <w:p>
      <w:pPr>
        <w:spacing w:after="0" w:line="208"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maximum liability of the Insurer for each Single Loss under any Insuring Clause of such Coverage Part shall be the respective Limit of Liability for such Insuring Clause as set forth in the Declarations for such Coverage Part; and</w:t>
      </w:r>
    </w:p>
    <w:p>
      <w:pPr>
        <w:spacing w:after="0" w:line="197" w:lineRule="exact"/>
        <w:rPr>
          <w:rFonts w:ascii="Arial" w:cs="Arial" w:eastAsia="Arial" w:hAnsi="Arial"/>
          <w:sz w:val="18"/>
          <w:szCs w:val="18"/>
          <w:color w:val="auto"/>
        </w:rPr>
      </w:pPr>
    </w:p>
    <w:p>
      <w:pPr>
        <w:ind w:left="1480" w:right="20" w:hanging="567"/>
        <w:spacing w:after="0" w:line="277" w:lineRule="auto"/>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more than one Insuring Clause applies to a Single Loss, the maximum liability of the Insurer under all such Insuring Clauses, combined, with respect to such Single Loss shall be the largest of such applicable Limits of Liability.</w:t>
      </w:r>
    </w:p>
    <w:p>
      <w:pPr>
        <w:spacing w:after="0" w:line="17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Limits of Liability described in subparagraphs (i) and (ii) above are sublimits which further limit and do not increase the Insurer’s maximum liability under such Coverage Part.</w:t>
      </w:r>
    </w:p>
    <w:p>
      <w:pPr>
        <w:spacing w:after="0" w:line="99"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3 of 9</w:t>
      </w:r>
    </w:p>
    <w:p>
      <w:pPr>
        <w:sectPr>
          <w:pgSz w:w="11900" w:h="16838" w:orient="portrait"/>
          <w:cols w:equalWidth="0" w:num="1">
            <w:col w:w="11420"/>
          </w:cols>
          <w:pgMar w:left="240" w:top="270" w:right="239" w:bottom="1440" w:gutter="0" w:footer="0" w:header="0"/>
        </w:sectPr>
      </w:pPr>
    </w:p>
    <w:bookmarkStart w:id="7" w:name="page8"/>
    <w:bookmarkEnd w:id="7"/>
    <w:p>
      <w:pPr>
        <w:jc w:val="both"/>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Limit of Liability for the Discovery Period, if exercised, shall be part of and not in addition to the Limit of Liability for the Limit Period. The purchase of the Discovery Period shall not increase or reinstate the applicable Limit of Liability, which shall be the maximum liability of the Insurer for such Limit Period and Discovery Period, combined.</w:t>
      </w:r>
    </w:p>
    <w:p>
      <w:pPr>
        <w:spacing w:after="0" w:line="181"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Defense Costs shall be part of and not in addition to the applicable Limits of Liability set forth in the Declarations, and Defense Costs shall reduce such Limit of Liability. If the Limit of Liability with respect to the entire Policy or any Coverage Part is exhausted by payment of Loss, the Insurer’s obligations under the entire Policy or such Coverage Part, respectively, shall be completely fulfilled and extinguished. The Insurer is entitled to pay Loss as it becomes due and payable by the Insureds, without consideration of other future payment obligations.</w:t>
      </w:r>
    </w:p>
    <w:p>
      <w:pPr>
        <w:spacing w:after="0" w:line="171"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Except as otherwise provided in this Subsection 5, the Insurer’s liability with respect to Loss arising from each Claim covered under one or more Liability Coverage Parts, and each Single Loss covered under the Commercial Crime or Bond Coverage Part, if purchased, shall apply only to that part of Loss which is excess of the applicable Retention Amount set forth in the Declarations for such Coverage Part(s), and such Retention Amount shall be borne by the Insureds uninsured and at their own risk. If different parts of a single Claim or Single Loss are subject to different Retentions, the applicable Retentions will be applied separately to each part of such Loss, but the sum of such Retentions shall not exceed the largest applicable Retention.</w:t>
      </w:r>
    </w:p>
    <w:p>
      <w:pPr>
        <w:spacing w:after="0" w:line="19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Any Retention for Indemnified Loss under a Liability Coverage Part shall apply only to (i) Loss which is incurred by Insured Persons and is indemnified by the Company, and (ii) Loss which is incurred by all other Insureds. No Retention shall apply to Loss which is incurred by Insured Persons and is not indemnified by the Company.</w:t>
      </w:r>
    </w:p>
    <w:p>
      <w:pPr>
        <w:spacing w:after="0" w:line="18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If the Company is permitted or required by common or statutory law to ultimately indemnify the Insured Persons for any Loss, or to advance Defense Costs on their behalf, under any Liability Coverage Part and does not in fact do so other than for reasons of Financial Impairment, then the Company shall reimburse and hold harmless the Insurer for the Insurer’s payment or advancement of such Loss up to the amount of the Retention for Indemnified Loss under the applicable Liability Coverage Part.</w:t>
      </w:r>
    </w:p>
    <w:p>
      <w:pPr>
        <w:spacing w:after="0" w:line="2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Insureds shall, as a condition precedent to their rights under any Liability Coverage Part, give to the Insurer written notice of any Claim made against the Insureds as soon as practicable after any Executive Officer or the Company’s risk manager first learns of such Claim, but in no event later than ninety (90) days after expiration of the Policy Period or, if exercised, during the Discovery Period.</w:t>
      </w:r>
    </w:p>
    <w:p>
      <w:pPr>
        <w:spacing w:after="0" w:line="18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Insureds shall, as a condition precedent to their rights under the Commercial Crime or Bond Coverage Part, give to the Insurer written notice of any Loss within 90 days after such Loss is first discovered by any Executive Officer or the Company’s risk manager.</w:t>
      </w:r>
    </w:p>
    <w:p>
      <w:pPr>
        <w:spacing w:after="0" w:line="170"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during the Policy Period or the Discovery Period, if exercised, the Insureds first become aware of a specific Wrongful Act which may reasonably give rise to a future Claim covered under a Liability Coverage Part and during such Policy Period or Discovery Period give written notice to the Insurer of:</w:t>
      </w:r>
    </w:p>
    <w:p>
      <w:pPr>
        <w:spacing w:after="0" w:line="208" w:lineRule="exact"/>
        <w:rPr>
          <w:rFonts w:ascii="Arial" w:cs="Arial" w:eastAsia="Arial" w:hAnsi="Arial"/>
          <w:sz w:val="18"/>
          <w:szCs w:val="18"/>
          <w:b w:val="1"/>
          <w:bCs w:val="1"/>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names of the potential claimants and a description of the specific Wrongful Act which forms the basis of their potential claim,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identity of the specific Insureds allegedly responsible for such specific Wrongful Act,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consequences which have resulted or may result from such specific Wrongful Act,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nature of the potential monetary damages or non-monetary relief which may be sought in consequence of such specific Wrongful Act, and</w:t>
      </w:r>
    </w:p>
    <w:p>
      <w:pPr>
        <w:spacing w:after="0" w:line="176"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4 of 9</w:t>
      </w:r>
    </w:p>
    <w:p>
      <w:pPr>
        <w:sectPr>
          <w:pgSz w:w="11900" w:h="16838" w:orient="portrait"/>
          <w:cols w:equalWidth="0" w:num="1">
            <w:col w:w="11420"/>
          </w:cols>
          <w:pgMar w:left="240" w:top="274" w:right="239" w:bottom="1440" w:gutter="0" w:footer="0" w:header="0"/>
        </w:sectPr>
      </w:pPr>
    </w:p>
    <w:bookmarkStart w:id="8" w:name="page9"/>
    <w:bookmarkEnd w:id="8"/>
    <w:p>
      <w:pPr>
        <w:jc w:val="both"/>
        <w:ind w:left="900" w:hanging="446"/>
        <w:spacing w:after="0" w:line="28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circumstances by which the Insureds first became aware of such specific Wrongful Act, then any Claim which arises out of such Wrongful Act shall be deemed to have been first made during the Limit Period or Discovery Period, if exercised, in which such written notice was received by the Insurer. No coverage is provided for fees and expenses incurred prior to the time such notice results in a Claim.</w:t>
      </w:r>
    </w:p>
    <w:p>
      <w:pPr>
        <w:spacing w:after="0" w:line="166"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All notices under any provision of this Policy shall be in writing and given by prepaid express courier, certified mail or fax properly addressed to the appropriate party. Notice to the Insureds may be given to the Parent Company at the address as shown in Item 1 of the Declarations. Notice to the Insurer of any Claim, Wrongful Act or Loss shall be given to the Insurer at the address set forth in Item 6(A) of the Declarations. All other notices to the Insurer under this Policy shall be given to the Insurer at the address set forth in Item 6(B) of the Declarations. Notice given as described above shall be deemed to be received and effective upon actual receipt thereof by the addressee or one day following the date such notice is sent, whichever is earlier.</w:t>
      </w:r>
    </w:p>
    <w:p>
      <w:pPr>
        <w:spacing w:after="0" w:line="19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Any notice to the Insurer of any Claim, Wrongful Act or Loss shall designate the Coverage Part(s) under which the notice is being given and shall be treated as notice under only the Coverage Part(s) so designated.</w:t>
      </w:r>
    </w:p>
    <w:p>
      <w:pPr>
        <w:spacing w:after="0" w:line="19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DEFENSE AND SETTLEMENT</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Subject to this Subsection 7, it shall be the duty of the Insureds and not the duty of the Insurer to defend any Claim.</w:t>
      </w:r>
    </w:p>
    <w:p>
      <w:pPr>
        <w:spacing w:after="0" w:line="225" w:lineRule="exact"/>
        <w:rPr>
          <w:rFonts w:ascii="Arial" w:cs="Arial" w:eastAsia="Arial" w:hAnsi="Arial"/>
          <w:sz w:val="18"/>
          <w:szCs w:val="18"/>
          <w:b w:val="1"/>
          <w:bCs w:val="1"/>
          <w:color w:val="auto"/>
        </w:rPr>
      </w:pPr>
    </w:p>
    <w:p>
      <w:pPr>
        <w:jc w:val="both"/>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Insureds agree not to settle or offer to settle any Claim, incur any Defense Costs or otherwise assume any contractual obligation or admit any liability with respect to any Claim without the Insurer’s written consent. The Insurer shall not be liable for any settlement, Defense Costs, assumed obligation or admission to which it has not consented. The Insureds shall promptly send to the Insurer all settlement demands or offers received by the Insureds from the claimant(s). However, if the Insureds are able to settle all Claims which are subject to a single Retention for an aggregate amount, including Defense Costs, not exceeding such Retention., the Insurer’s consent shall not be required for the settlement of such Claims.</w:t>
      </w:r>
    </w:p>
    <w:p>
      <w:pPr>
        <w:spacing w:after="0" w:line="158" w:lineRule="exact"/>
        <w:rPr>
          <w:rFonts w:ascii="Arial" w:cs="Arial" w:eastAsia="Arial" w:hAnsi="Arial"/>
          <w:sz w:val="18"/>
          <w:szCs w:val="18"/>
          <w:b w:val="1"/>
          <w:bCs w:val="1"/>
          <w:color w:val="auto"/>
        </w:rPr>
      </w:pPr>
    </w:p>
    <w:p>
      <w:pPr>
        <w:jc w:val="both"/>
        <w:ind w:left="46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With respect to any Claim submitted for coverage under this Policy, the Insurer shall have the right and shall be given the opportunity to effectively associate with, and shall be consulted in advance by, the Insureds regarding (1) the selection of appropriate defense counsel, (2) substantive defense strategies, including without limitation decisions regarding the filing and content of substantive motions, and (3) settlement negotiations.</w:t>
      </w:r>
    </w:p>
    <w:p>
      <w:pPr>
        <w:spacing w:after="0" w:line="146"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Insureds agree to provide the Insurer with all information, assistance and cooperation which the Insurer reasonably requests and agree that in the event of a Claim or Loss the Insureds will do nothing that shall prejudice the Insurer’s position or its potential or actual rights of recovery. The Insurer may make any investigation it deems necessary.</w:t>
      </w:r>
    </w:p>
    <w:p>
      <w:pPr>
        <w:spacing w:after="0" w:line="181"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Subsection 8 of these General Conditions and Limitations, the Insurer shall advance on behalf of the Insureds covered Defense Costs which the Insureds have incurred in connection with Claims made against them, prior to disposition of such Claims, provided that to the extent it is finally established that any such Defense Costs are not covered under this Policy, the Insureds, severally according to their interests, agree to repay the Insurer such Defense Costs.</w:t>
      </w:r>
    </w:p>
    <w:p>
      <w:pPr>
        <w:spacing w:after="0" w:line="1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Insurer and the Insureds shall not unreasonably withhold any consent referenced in this Subsection 7.</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in any Claim under a Liability Coverage Part the Insureds who are afforded coverage for such Claim incur Loss jointly with others (including Insureds) who are not afforded coverage for such Claim, or incur an amount consisting of both Loss covered by this Policy and loss not covered by this Policy because such Claim includes both covered and uncovered matters, then the Insureds and the Insurer shall allocate such amount between covered Loss and uncovered loss based upon the relative legal exposures of the parties to covered and uncovered matters.</w:t>
      </w:r>
    </w:p>
    <w:p>
      <w:pPr>
        <w:spacing w:after="0" w:line="100"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5 of 9</w:t>
      </w:r>
    </w:p>
    <w:p>
      <w:pPr>
        <w:sectPr>
          <w:pgSz w:w="11900" w:h="16838" w:orient="portrait"/>
          <w:cols w:equalWidth="0" w:num="1">
            <w:col w:w="11420"/>
          </w:cols>
          <w:pgMar w:left="240" w:top="274" w:right="239" w:bottom="1440" w:gutter="0" w:footer="0" w:header="0"/>
        </w:sectPr>
      </w:pPr>
    </w:p>
    <w:bookmarkStart w:id="9" w:name="page10"/>
    <w:bookmarkEnd w:id="9"/>
    <w:p>
      <w:pPr>
        <w:jc w:val="both"/>
        <w:ind w:lef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there can be an agreement on an allocation of Defense Costs, the Insurer shall advance on a current basis Defense Costs allocated to covered Loss. If there can be no agreement on an allocation of Defense Costs, the Insurer shall advance on a current basis Defense Costs which the Insurer believes to be covered under this Policy until a different allocation is negotiated, arbitrated or judicially determined. Any advancement of Defense Costs shall be subject to, and conditioned upon receipt by the Insurer of, a written undertaking by the Insureds that such advanced amounts shall be repaid to the Insurer by the Insureds severally according to their respective interests if and to the extent the Insureds shall not be entitled under the terms and conditions of this Policy to coverage for such Defense Costs.</w:t>
      </w:r>
    </w:p>
    <w:p>
      <w:pPr>
        <w:spacing w:after="0" w:line="178"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Any negotiated, arbitrated or judicially determined allocation of Defense Costs on account of a Claim shall be applied retroactively to all Defense Costs on account of such Claim, notwithstanding any prior advancement to the contrary. Any allocation or advancement of Defense Costs on account of a Claim shall not apply to or create any presumption with respect to the allocation of other Loss on account of such Claim or any other Claim.</w:t>
      </w:r>
    </w:p>
    <w:p>
      <w:pPr>
        <w:spacing w:after="0" w:line="17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INSURANCE</w:t>
      </w:r>
    </w:p>
    <w:p>
      <w:pPr>
        <w:spacing w:after="0" w:line="229"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Loss under this Policy is insured under any other valid and collectible policy(ies), prior or current, then this Policy shall cover such Loss, subject to its limitations, conditions, provisions and other terms, only to the extent that the amount of such Loss is in excess of the amount of such other insurance whether such other insurance is stated to be primary, contributory, excess, contingent or otherwise, unless such other insurance is written only as specific excess insurance over the Limits of Liability provided in this Policy.</w:t>
      </w:r>
    </w:p>
    <w:p>
      <w:pPr>
        <w:spacing w:after="0" w:line="209"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CHANGING COVERAGE</w:t>
      </w:r>
    </w:p>
    <w:p>
      <w:pPr>
        <w:spacing w:after="0" w:line="256" w:lineRule="exact"/>
        <w:rPr>
          <w:sz w:val="20"/>
          <w:szCs w:val="20"/>
          <w:color w:val="auto"/>
        </w:rPr>
      </w:pPr>
    </w:p>
    <w:p>
      <w:pPr>
        <w:ind w:left="920" w:right="6440" w:hanging="466"/>
        <w:spacing w:after="0" w:line="516" w:lineRule="auto"/>
        <w:tabs>
          <w:tab w:leader="none" w:pos="8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or Creation of Another Organization or Plan If, during the Policy Period, the Company:</w:t>
      </w:r>
    </w:p>
    <w:p>
      <w:pPr>
        <w:spacing w:after="0" w:line="1"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acquires voting securities in another organization or creates another organization, which as a result of such acquisition or creation becomes a Subsidiary;</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acquires any organization by merger into or consolidation with the Company;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 respect to the Fiduciary Liability Coverage Part if purchased, creates a Plan,</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then, subject to all terms and conditions of this Policy, such organization, Plan and its Insureds shall be covered under this Policy but only with respect to covered Wrongful Acts (under a Liability Coverage Part) taking place or covered Loss (under the Commercial Crime or Bond Coverage Part, if purchased) sustained after such acquisition or creation unless the Insurer agrees to provide coverage by endorsement for Wrongful Acts taking place or Loss sustained prior to such acquisition or creation.</w:t>
      </w:r>
    </w:p>
    <w:p>
      <w:pPr>
        <w:spacing w:after="0" w:line="187"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If the total assets of such acquired organization as reflected in the organization’s then most recent consolidated financial statements exceeds twenty-five percent (25%) of the total assets of the Parent Company as reflected in the Parent Company’s then most recent consolidated financial statements, the Parent Company, as a condition precedent to coverage with respect to such Insureds, shall give written notice of such acquisition or creation to the Insurer as soon as practicable and shall pay any reasonable additional premium required by the Insurer.</w:t>
      </w:r>
    </w:p>
    <w:p>
      <w:pPr>
        <w:spacing w:after="0" w:line="18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Parent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during the Policy Period, any of the following events occurs:</w:t>
      </w:r>
    </w:p>
    <w:p>
      <w:pPr>
        <w:spacing w:after="0" w:line="252" w:lineRule="exact"/>
        <w:rPr>
          <w:sz w:val="20"/>
          <w:szCs w:val="20"/>
          <w:color w:val="auto"/>
        </w:rPr>
      </w:pPr>
    </w:p>
    <w:p>
      <w:pPr>
        <w:ind w:left="1480" w:right="2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of the Parent Company, or of all or substantially all of its assets, by another entity, or the merger or consolidation of the Parent Company into or with another entity such that the Parent Company is not the surviving entity;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obtaining by any person, entity or affiliated group of persons or entities of the right to elect, appoint or designate at least fifty percent (50%) of the directors of the Parent Company;</w:t>
      </w:r>
    </w:p>
    <w:p>
      <w:pPr>
        <w:spacing w:after="0" w:line="99"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6 of 9</w:t>
      </w:r>
    </w:p>
    <w:p>
      <w:pPr>
        <w:sectPr>
          <w:pgSz w:w="11900" w:h="16838" w:orient="portrait"/>
          <w:cols w:equalWidth="0" w:num="1">
            <w:col w:w="11420"/>
          </w:cols>
          <w:pgMar w:left="240" w:top="274" w:right="239" w:bottom="1440" w:gutter="0" w:footer="0" w:header="0"/>
        </w:sectPr>
      </w:pPr>
    </w:p>
    <w:bookmarkStart w:id="10" w:name="page11"/>
    <w:bookmarkEnd w:id="10"/>
    <w:p>
      <w:pPr>
        <w:jc w:val="both"/>
        <w:ind w:left="9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coverage under this Policy will continue in full force and effect until termination of this Policy, but only with respect to Claims for covered Wrongful Acts (under a Liability Coverage Part) taking place or covered Loss (under the Commercial Crime or Bond Coverage Part, if purchased) sustained before such event. Coverage under this Policy will cease as of the effective date of such event with respect to Claims for Wrongful Acts (under a Liability Coverage Part) taking place and Loss (under the Commercial Crime or Bond Coverage Part, if purchased) sustained after such event.</w:t>
      </w:r>
    </w:p>
    <w:p>
      <w:pPr>
        <w:spacing w:after="0" w:line="188"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If such event occurs, the Insureds shall have the right, upon payment of the additional premium described below, to an extension of the coverage described in the preceding paragraph for either a 1 year, 3 year, or 6 year Discovery Period following the termination of the Policy Period; but the Insurer may, in its sole discretion and subject to any additional terms, conditions and premiums required by the Insurer, agree by written endorsement to this Policy to any other Discovery Period requested by the Insureds. This extension of coverage shall apply to those Coverage Parts with respect to which the Insureds elect the coverage extension. This right of extension shall lapse unless written notice of such election, together with payment of the additional premium due, is given by the Insureds to the Insurer within forty-five (45) days following the effective date of such event.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Upon request from any Insured, the Insurer shall notify such Insured of the additional premium amount for this extension of coverage.</w:t>
      </w:r>
    </w:p>
    <w:p>
      <w:pPr>
        <w:spacing w:after="0" w:line="23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Insureds shall not be entitled to elect this extension of coverage if a Discovery Period is elected pursuant to Subsection 4 of these General Conditions and Limitations.</w:t>
      </w:r>
    </w:p>
    <w:p>
      <w:pPr>
        <w:spacing w:after="0" w:line="19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Cessation of Subsidiaries</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before or during the Policy Period an organization ceases to be a Subsidiary, coverage with respect to such Subsidiary and its Insureds shall continue until termination of this Policy. Such coverage continuation shall apply only with respect to Claims for covered Wrongful Acts (under a Liability Coverage Part) taking place and covered Loss (under the Commercial Crime or Bond Coverage Part, if purchased) sustained prior to the date such organization ceased to be a Subsidiary.</w:t>
      </w:r>
    </w:p>
    <w:p>
      <w:pPr>
        <w:spacing w:after="0" w:line="21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Plan</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before or during the Policy Period a Plan is terminated, coverage with respect to such Plan and its Insureds under the Fiduciary Liability Coverage Part (if purchased) shall continue until termination of this Policy. Such coverage continuation shall apply with respect to Claims for Wrongful Acts taking place prior to or after the date the Plan was terminated.</w:t>
      </w:r>
    </w:p>
    <w:p>
      <w:pPr>
        <w:spacing w:after="0" w:line="20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SEVERABILITY</w:t>
      </w:r>
    </w:p>
    <w:p>
      <w:pPr>
        <w:spacing w:after="0" w:line="229" w:lineRule="exact"/>
        <w:rPr>
          <w:rFonts w:ascii="Arial" w:cs="Arial" w:eastAsia="Arial" w:hAnsi="Arial"/>
          <w:sz w:val="18"/>
          <w:szCs w:val="18"/>
          <w:b w:val="1"/>
          <w:bCs w:val="1"/>
          <w:color w:val="auto"/>
        </w:rPr>
      </w:pPr>
    </w:p>
    <w:p>
      <w:pPr>
        <w:jc w:val="both"/>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Insureds represent and acknowledge that the statements contained in the Application and any materials submitted or required to be submitted therewith (all of which shall be maintained on file by the Insurer and be deemed attached to and incorporated into this Policy as if physically attached), are true and: (i) are the basis of this Policy and are to be considered as incorporated into and constituting a part of this Policy; and (ii) shall be deemed material to the acceptance of this risk or the hazard assumed by the Insurer under this Policy. This Policy is issued in reliance upon the truth of such representations.</w:t>
      </w:r>
    </w:p>
    <w:p>
      <w:pPr>
        <w:spacing w:after="0" w:line="18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In the event the Application, including materials submitted or required to be submitted therewith, contains any misrepresentation or omission:</w:t>
      </w:r>
    </w:p>
    <w:p>
      <w:pPr>
        <w:spacing w:after="0" w:line="263" w:lineRule="exact"/>
        <w:rPr>
          <w:rFonts w:ascii="Arial" w:cs="Arial" w:eastAsia="Arial" w:hAnsi="Arial"/>
          <w:sz w:val="18"/>
          <w:szCs w:val="18"/>
          <w:b w:val="1"/>
          <w:bCs w:val="1"/>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made with the intent to deceive, or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which materially affects either the acceptance of the risk or the hazard assumed by the Insurer under this Policy;</w:t>
      </w:r>
    </w:p>
    <w:p>
      <w:pPr>
        <w:spacing w:after="0" w:line="2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this Policy shall be void ab initio as to (i) any Company and any Plan if any Executive Officer knew the facts that were not truthfully disclosed in the Applications, and (ii) any Insured Persons who knew the facts that were not truthfully disclosed in the Application, whether or not such Executive Officer or Insured Person knew the Application contained such misrepresentation or omission. Such knowledge shall not be imputed to any other Insured Persons.</w:t>
      </w:r>
    </w:p>
    <w:p>
      <w:pPr>
        <w:spacing w:after="0" w:line="115"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7 of 9</w:t>
      </w:r>
    </w:p>
    <w:p>
      <w:pPr>
        <w:sectPr>
          <w:pgSz w:w="11900" w:h="16838" w:orient="portrait"/>
          <w:cols w:equalWidth="0" w:num="1">
            <w:col w:w="11420"/>
          </w:cols>
          <w:pgMar w:left="240" w:top="274" w:right="239" w:bottom="1440" w:gutter="0" w:footer="0" w:header="0"/>
        </w:sectPr>
      </w:pPr>
    </w:p>
    <w:bookmarkStart w:id="11" w:name="page12"/>
    <w:bookmarkEnd w:id="11"/>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POLICY</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Policy shall terminate at the earliest of the following times:</w:t>
      </w:r>
    </w:p>
    <w:p>
      <w:pPr>
        <w:spacing w:after="0" w:line="252"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effective date of termination specified in a prior written notice by the Parent Company to the Insurer, provided this Policy may not be terminated by the Parent Company (i) after the effective date of an event described in Subsection 10(b) of these General Conditions and Limitations, or (ii) if the Policy Period is longer than one (1) year;</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expiration of the Policy Period as set forth in Item 2(A) of the Declarations;</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twenty (20) days after receipt by the Parent Company of a written notice of termination from the Insurer for failure to pay a premium when due, unless the premium is paid within such twenty (20) days period; or</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such other time as may be agreed upon by the Insurer and the Parent Company.</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Insurer may not terminate this Policy prior to expiration of the Policy Period, except as provided above for non-payment of a premium. The Insurer shall refund the unearned premium computed pro rata. Payment or tender of any unearned premium by the Insurer shall not be a condition precedent to the effectiveness of such termination, but such payment shall be made as soon as practicable.</w:t>
      </w:r>
    </w:p>
    <w:p>
      <w:pPr>
        <w:spacing w:after="0" w:line="20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TERRITORY AND VALUATION</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All premiums, limits, retentions, Loss and other amounts under this Policy are expressed and payable in the currency of the United States of America. If judgment is rendered, settlement is denominated or another element of Loss under any Liability Coverage Part is stated in a currency other than United States of America dollars, payment under this Policy shall be made in United States dollars at the rate of exchange as of 12:01 A.M. on the date the final judgment is reached, the amount of the settlement is agreed upon or the other element of Loss is due, respectively.</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Coverage under this Policy shall extend to Wrongful Acts taking place or Claims made or Loss sustained anywhere in the world.</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SUBROGATION</w:t>
      </w:r>
    </w:p>
    <w:p>
      <w:pPr>
        <w:spacing w:after="0" w:line="229"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event of any payment under this Policy, the Insurer shall be subrogated to the extent of such payment to all the Insureds’ rights of recovery, including without limitation the Insured Persons’ rights to indemnification or advancement from the Company. The Insureds shall execute all papers required and shall do everything necessary to secure and preserve such rights, including the execution of such documents necessary to enable the Insurer effectively to bring suit or otherwise pursue subrogation rights in the name of the Insureds.</w:t>
      </w:r>
    </w:p>
    <w:p>
      <w:pPr>
        <w:spacing w:after="0" w:line="209"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ACTION AGAINST THE INSURER</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 action shall lie against the Insurer unless, as a condition precedent thereto, there shall have been full compliance with all the terms of this Policy. No person or organization shall have any right under this Policy to join the Insurer as a party to any action against Insureds to determine the Insured’s liability nor shall the Insurer be impleaded by the Insureds or their legal representatives. Bankruptcy or insolvency of an Insured or of the estate of any Insured Person shall not relieve the Insurer of its obligations nor deprive the Insurer of its rights or defenses under this Policy.</w:t>
      </w:r>
    </w:p>
    <w:p>
      <w:pPr>
        <w:spacing w:after="0" w:line="194" w:lineRule="exact"/>
        <w:rPr>
          <w:rFonts w:ascii="Arial" w:cs="Arial" w:eastAsia="Arial" w:hAnsi="Arial"/>
          <w:sz w:val="18"/>
          <w:szCs w:val="18"/>
          <w:b w:val="1"/>
          <w:bCs w:val="1"/>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AUTHORIZATION CLAUSE</w:t>
      </w:r>
    </w:p>
    <w:p>
      <w:pPr>
        <w:spacing w:after="0" w:line="22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By acceptance of this Policy, the Parent Company agrees to act on behalf of the Insureds with respect to the giving and receiving of notice of Claim or Loss or termination, the payment of premiums and the receiving of any return premiums that may become due under this Policy, the agreement to and acceptance of endorsements, and the giving or receiving of any notice provided for in this Policy (except the giving of notice to apply for the Discovery Period), and the Insureds agree that the Parent Company shall act on their behalf.</w:t>
      </w:r>
    </w:p>
    <w:p>
      <w:pPr>
        <w:spacing w:after="0" w:line="115"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8 of 9</w:t>
      </w:r>
    </w:p>
    <w:p>
      <w:pPr>
        <w:sectPr>
          <w:pgSz w:w="11900" w:h="16838" w:orient="portrait"/>
          <w:cols w:equalWidth="0" w:num="1">
            <w:col w:w="11420"/>
          </w:cols>
          <w:pgMar w:left="240" w:top="270" w:right="239" w:bottom="1440" w:gutter="0" w:footer="0" w:header="0"/>
        </w:sectPr>
      </w:pPr>
    </w:p>
    <w:bookmarkStart w:id="12" w:name="page13"/>
    <w:bookmarkEnd w:id="12"/>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 ASSIGNMENT AND HEADINGS</w:t>
      </w:r>
    </w:p>
    <w:p>
      <w:pPr>
        <w:spacing w:after="0" w:line="229"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change in, modification of, or assignment of interest under this Policy shall be effective except when made by a written endorsement to this Policy which is signed by an authorized representative of the Insurer.</w:t>
      </w:r>
    </w:p>
    <w:p>
      <w:pPr>
        <w:spacing w:after="0" w:line="170"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and headings to the various parts, sections, subsections and endorsements of the Policy are included solely for ease of reference and do not in any way limit, expand or otherwise affect the provisions of such parts, sections, subsections or endorsements.</w:t>
      </w:r>
    </w:p>
    <w:p>
      <w:pPr>
        <w:spacing w:after="0" w:line="193" w:lineRule="exact"/>
        <w:rPr>
          <w:rFonts w:ascii="Arial" w:cs="Arial" w:eastAsia="Arial" w:hAnsi="Arial"/>
          <w:sz w:val="18"/>
          <w:szCs w:val="18"/>
          <w:b w:val="1"/>
          <w:bCs w:val="1"/>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229" w:lineRule="exact"/>
        <w:rPr>
          <w:rFonts w:ascii="Arial" w:cs="Arial" w:eastAsia="Arial" w:hAnsi="Arial"/>
          <w:sz w:val="18"/>
          <w:szCs w:val="18"/>
          <w:b w:val="1"/>
          <w:bCs w:val="1"/>
          <w:color w:val="auto"/>
        </w:rPr>
      </w:pPr>
    </w:p>
    <w:p>
      <w:pPr>
        <w:jc w:val="both"/>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Only if requested by the Insureds, the Insurer shall submit any dispute, controversy or claim arising out of or relating to this Policy or the breach, termination or invalidity thereof to final and binding arbitration pursuant to such rules and procedures as the parties may agree. If the parties cannot so agree, the arbitration shall be administered by the American Arbitration Association in accordance with its then prevailing commercial arbitration rules. The arbitration panel shall consist of one arbitrator selected by the Insureds, one arbitrator selected by the Insurer, and a third independent arbitrator selected by the first two arbitrators. In any such arbitration, each party will bear its own legal fees and expenses.</w:t>
      </w:r>
    </w:p>
    <w:p>
      <w:pPr>
        <w:spacing w:after="0" w:line="101"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9 of 9</w:t>
      </w:r>
    </w:p>
    <w:p>
      <w:pPr>
        <w:sectPr>
          <w:pgSz w:w="11900" w:h="16838" w:orient="portrait"/>
          <w:cols w:equalWidth="0" w:num="1">
            <w:col w:w="11420"/>
          </w:cols>
          <w:pgMar w:left="240" w:top="27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20370"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Westchester Fire Insurance Company</w:t>
      </w:r>
    </w:p>
    <w:p>
      <w:pPr>
        <w:spacing w:after="0" w:line="216" w:lineRule="exact"/>
        <w:rPr>
          <w:sz w:val="20"/>
          <w:szCs w:val="20"/>
          <w:color w:val="auto"/>
        </w:rPr>
      </w:pPr>
    </w:p>
    <w:p>
      <w:pPr>
        <w:jc w:val="right"/>
        <w:ind w:right="740"/>
        <w:spacing w:after="0"/>
        <w:rPr>
          <w:sz w:val="20"/>
          <w:szCs w:val="20"/>
          <w:color w:val="auto"/>
        </w:rPr>
      </w:pPr>
      <w:r>
        <w:rPr>
          <w:rFonts w:ascii="Arial" w:cs="Arial" w:eastAsia="Arial" w:hAnsi="Arial"/>
          <w:sz w:val="22"/>
          <w:szCs w:val="22"/>
          <w:b w:val="1"/>
          <w:bCs w:val="1"/>
          <w:u w:val="single" w:color="auto"/>
          <w:color w:val="auto"/>
        </w:rPr>
        <w:t>DECLARATIONS</w:t>
      </w:r>
    </w:p>
    <w:p>
      <w:pPr>
        <w:spacing w:after="0" w:line="20" w:lineRule="exact"/>
        <w:rPr>
          <w:sz w:val="20"/>
          <w:szCs w:val="20"/>
          <w:color w:val="auto"/>
        </w:rPr>
      </w:pPr>
      <w:r>
        <w:rPr>
          <w:sz w:val="20"/>
          <w:szCs w:val="20"/>
          <w:color w:val="auto"/>
        </w:rPr>
        <w:br w:type="column"/>
      </w:r>
    </w:p>
    <w:p>
      <w:pPr>
        <w:jc w:val="right"/>
        <w:ind w:right="20"/>
        <w:spacing w:after="0" w:line="272" w:lineRule="auto"/>
        <w:rPr>
          <w:sz w:val="20"/>
          <w:szCs w:val="20"/>
          <w:color w:val="auto"/>
        </w:rPr>
      </w:pPr>
      <w:r>
        <w:rPr>
          <w:rFonts w:ascii="Arial" w:cs="Arial" w:eastAsia="Arial" w:hAnsi="Arial"/>
          <w:sz w:val="29"/>
          <w:szCs w:val="29"/>
          <w:b w:val="1"/>
          <w:bCs w:val="1"/>
          <w:color w:val="auto"/>
        </w:rPr>
        <w:t>Investment Company Bond Coverage Part</w:t>
      </w:r>
    </w:p>
    <w:p>
      <w:pPr>
        <w:spacing w:after="0" w:line="606" w:lineRule="exact"/>
        <w:rPr>
          <w:sz w:val="20"/>
          <w:szCs w:val="20"/>
          <w:color w:val="auto"/>
        </w:rPr>
      </w:pPr>
    </w:p>
    <w:p>
      <w:pPr>
        <w:sectPr>
          <w:pgSz w:w="11900" w:h="16838" w:orient="portrait"/>
          <w:cols w:equalWidth="0" w:num="2">
            <w:col w:w="7320" w:space="720"/>
            <w:col w:w="3400"/>
          </w:cols>
          <w:pgMar w:left="240" w:top="283" w:right="219" w:bottom="144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Policy No. </w:t>
      </w:r>
      <w:r>
        <w:rPr>
          <w:rFonts w:ascii="Arial" w:cs="Arial" w:eastAsia="Arial" w:hAnsi="Arial"/>
          <w:sz w:val="18"/>
          <w:szCs w:val="18"/>
          <w:color w:val="auto"/>
        </w:rPr>
        <w:t>DON G23683167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4262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42621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500" w:type="dxa"/>
            <w:vAlign w:val="bottom"/>
            <w:tcBorders>
              <w:top w:val="single" w:sz="8" w:color="auto"/>
              <w:right w:val="single" w:sz="8" w:color="auto"/>
            </w:tcBorders>
          </w:tcPr>
          <w:p>
            <w:pPr>
              <w:spacing w:after="0"/>
              <w:rPr>
                <w:sz w:val="20"/>
                <w:szCs w:val="20"/>
                <w:color w:val="auto"/>
              </w:rPr>
            </w:pPr>
          </w:p>
        </w:tc>
        <w:tc>
          <w:tcPr>
            <w:tcW w:w="3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Item 1.</w:t>
            </w:r>
          </w:p>
        </w:tc>
        <w:tc>
          <w:tcPr>
            <w:tcW w:w="2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Coverages Purchased and</w:t>
            </w: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Item 2.</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50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auto"/>
              </w:rPr>
              <w:t>Coverage</w:t>
            </w:r>
          </w:p>
        </w:tc>
        <w:tc>
          <w:tcPr>
            <w:tcW w:w="30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Single Loss Limits Liability</w:t>
            </w: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Single Loss Deductibles:</w:t>
            </w:r>
          </w:p>
        </w:tc>
        <w:tc>
          <w:tcPr>
            <w:tcW w:w="0" w:type="dxa"/>
            <w:vAlign w:val="bottom"/>
          </w:tcPr>
          <w:p>
            <w:pPr>
              <w:spacing w:after="0"/>
              <w:rPr>
                <w:sz w:val="1"/>
                <w:szCs w:val="1"/>
                <w:color w:val="auto"/>
              </w:rPr>
            </w:pPr>
          </w:p>
        </w:tc>
      </w:tr>
      <w:tr>
        <w:trPr>
          <w:trHeight w:val="95"/>
        </w:trPr>
        <w:tc>
          <w:tcPr>
            <w:tcW w:w="10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A.</w:t>
            </w:r>
          </w:p>
        </w:tc>
        <w:tc>
          <w:tcPr>
            <w:tcW w:w="4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Employee Dishonesty – Insured Indemnity</w:t>
            </w: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8"/>
        </w:trPr>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B.</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4"/>
              </w:rPr>
              <w:t>Employee Dishonesty – Employee Benefit Plan Indemnity</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Property</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Financial Documents</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Defective Signatures</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Servicing Contractors</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95"/>
        </w:trPr>
        <w:tc>
          <w:tcPr>
            <w:tcW w:w="10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G.</w:t>
            </w:r>
          </w:p>
        </w:tc>
        <w:tc>
          <w:tcPr>
            <w:tcW w:w="440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Computer Fraud/Fraudulent</w:t>
            </w:r>
          </w:p>
        </w:tc>
        <w:tc>
          <w:tcPr>
            <w:tcW w:w="30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$5,000,000</w:t>
            </w:r>
          </w:p>
        </w:tc>
        <w:tc>
          <w:tcPr>
            <w:tcW w:w="2880" w:type="dxa"/>
            <w:vAlign w:val="bottom"/>
          </w:tcPr>
          <w:p>
            <w:pPr>
              <w:ind w:left="100"/>
              <w:spacing w:after="0" w:line="195"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Transfer Instructions</w:t>
            </w:r>
          </w:p>
        </w:tc>
        <w:tc>
          <w:tcPr>
            <w:tcW w:w="308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H.</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Claims Expense</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Stop Payment Order Liability</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Uncollectible Items of Deposit</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K.</w:t>
            </w:r>
          </w:p>
        </w:tc>
        <w:tc>
          <w:tcPr>
            <w:tcW w:w="4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Unauthorized Signature</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3.</w:t>
            </w:r>
          </w:p>
        </w:tc>
        <w:tc>
          <w:tcPr>
            <w:tcW w:w="4400" w:type="dxa"/>
            <w:vAlign w:val="bottom"/>
            <w:gridSpan w:val="2"/>
          </w:tcPr>
          <w:p>
            <w:pPr>
              <w:spacing w:after="0"/>
              <w:rPr>
                <w:sz w:val="20"/>
                <w:szCs w:val="20"/>
                <w:color w:val="auto"/>
              </w:rPr>
            </w:pPr>
            <w:r>
              <w:rPr>
                <w:rFonts w:ascii="Arial" w:cs="Arial" w:eastAsia="Arial" w:hAnsi="Arial"/>
                <w:sz w:val="18"/>
                <w:szCs w:val="18"/>
                <w:color w:val="auto"/>
                <w:w w:val="93"/>
              </w:rPr>
              <w:t>Endorsements to this Coverage Part Effective at Inception:</w:t>
            </w:r>
          </w:p>
        </w:tc>
        <w:tc>
          <w:tcPr>
            <w:tcW w:w="3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CC-1K11h (03/14) – Signatures</w:t>
            </w:r>
          </w:p>
        </w:tc>
        <w:tc>
          <w:tcPr>
            <w:tcW w:w="3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ALL-20887 (10/06) - ACE Producer Compensation Practices &amp; Policies</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ALL-21101 (11/06) - Trade Or Economic Sanctions Endorsement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PF-17914 (02/05) - U.S. Treasury Department’s Office of Foreign Assets</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4.</w:t>
            </w:r>
          </w:p>
        </w:tc>
        <w:tc>
          <w:tcPr>
            <w:tcW w:w="4400" w:type="dxa"/>
            <w:vAlign w:val="bottom"/>
            <w:gridSpan w:val="2"/>
          </w:tcPr>
          <w:p>
            <w:pPr>
              <w:spacing w:after="0"/>
              <w:rPr>
                <w:sz w:val="20"/>
                <w:szCs w:val="20"/>
                <w:color w:val="auto"/>
              </w:rPr>
            </w:pPr>
            <w:r>
              <w:rPr>
                <w:rFonts w:ascii="Arial" w:cs="Arial" w:eastAsia="Arial" w:hAnsi="Arial"/>
                <w:sz w:val="18"/>
                <w:szCs w:val="18"/>
                <w:color w:val="auto"/>
              </w:rPr>
              <w:t>Effective Date: 05/31/2014</w:t>
            </w:r>
          </w:p>
        </w:tc>
        <w:tc>
          <w:tcPr>
            <w:tcW w:w="3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Item 5.</w:t>
            </w:r>
          </w:p>
        </w:tc>
        <w:tc>
          <w:tcPr>
            <w:tcW w:w="4400" w:type="dxa"/>
            <w:vAlign w:val="bottom"/>
            <w:gridSpan w:val="2"/>
          </w:tcPr>
          <w:p>
            <w:pPr>
              <w:spacing w:after="0" w:line="195" w:lineRule="exact"/>
              <w:rPr>
                <w:sz w:val="20"/>
                <w:szCs w:val="20"/>
                <w:color w:val="auto"/>
              </w:rPr>
            </w:pPr>
            <w:r>
              <w:rPr>
                <w:rFonts w:ascii="Arial" w:cs="Arial" w:eastAsia="Arial" w:hAnsi="Arial"/>
                <w:sz w:val="18"/>
                <w:szCs w:val="18"/>
                <w:color w:val="auto"/>
              </w:rPr>
              <w:t>Aggregate Limit of Liability:</w:t>
            </w:r>
          </w:p>
        </w:tc>
        <w:tc>
          <w:tcPr>
            <w:tcW w:w="30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7480" w:type="dxa"/>
            <w:vAlign w:val="bottom"/>
            <w:gridSpan w:val="3"/>
          </w:tcPr>
          <w:p>
            <w:pPr>
              <w:spacing w:after="0" w:line="19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10,000,000 for all Loss in Limit Period under all Insuring Clauses combined.</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342900</wp:posOffset>
            </wp:positionV>
            <wp:extent cx="174942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June 3, 2014</w:t>
      </w:r>
    </w:p>
    <w:p>
      <w:pPr>
        <w:spacing w:after="0" w:line="31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JOHN J. LUPICA, President</w:t>
      </w:r>
    </w:p>
    <w:p>
      <w:pPr>
        <w:spacing w:after="0" w:line="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-130175</wp:posOffset>
            </wp:positionV>
            <wp:extent cx="2950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MPAB 002 (12/99)</w:t>
      </w:r>
    </w:p>
    <w:p>
      <w:pPr>
        <w:sectPr>
          <w:pgSz w:w="11900" w:h="16838" w:orient="portrait"/>
          <w:cols w:equalWidth="0" w:num="1">
            <w:col w:w="11440"/>
          </w:cols>
          <w:pgMar w:left="240" w:top="283" w:right="2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20370" cy="420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1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Westchester Fire Insurance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6"/>
          <w:szCs w:val="26"/>
          <w:b w:val="1"/>
          <w:bCs w:val="1"/>
          <w:color w:val="auto"/>
        </w:rPr>
        <w:t>Investment Company Bond</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Coverage Part</w:t>
      </w:r>
    </w:p>
    <w:p>
      <w:pPr>
        <w:spacing w:after="0" w:line="200" w:lineRule="exact"/>
        <w:rPr>
          <w:sz w:val="20"/>
          <w:szCs w:val="20"/>
          <w:color w:val="auto"/>
        </w:rPr>
      </w:pPr>
    </w:p>
    <w:p>
      <w:pPr>
        <w:sectPr>
          <w:pgSz w:w="11900" w:h="16838" w:orient="portrait"/>
          <w:cols w:equalWidth="0" w:num="2">
            <w:col w:w="7320" w:space="720"/>
            <w:col w:w="3380"/>
          </w:cols>
          <w:pgMar w:left="240" w:top="256" w:right="239" w:bottom="1440" w:gutter="0" w:footer="0" w:header="0"/>
        </w:sectPr>
      </w:pPr>
    </w:p>
    <w:p>
      <w:pPr>
        <w:spacing w:after="0" w:line="19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INSURING CLAUSES</w:t>
      </w:r>
    </w:p>
    <w:p>
      <w:pPr>
        <w:spacing w:after="0" w:line="225"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Insurer agrees with the Insured, that in accordance with the Insuring Clauses for which coverage is granted in Item 1 of the Declarations, and subject to all terms, Definitions, Exclusions and Conditions of this Investment Company Bond Coverage Part, to indemnify the Insured for:</w:t>
      </w:r>
    </w:p>
    <w:p>
      <w:pPr>
        <w:spacing w:after="0" w:line="17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Dishonesty</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resulting directly from dishonest or fraudulent acts by an Employee acting alone or in collusion with others, which acts were committed by the Employee with the intent to cause the Insured to sustain the loss or to obtain an Improper Personal Gain.</w:t>
      </w:r>
    </w:p>
    <w:p>
      <w:pPr>
        <w:spacing w:after="0" w:line="19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Dishonesty - Employee Benefit Plan</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of funds or other property intended to be used by an Employee Benefit Plan to pay benefits resulting directly from dishonest or fraudulent acts committed by an Employee or plan fiduciary (as defined in ERISA) while handling those funds or property.</w:t>
      </w:r>
    </w:p>
    <w:p>
      <w:pPr>
        <w:spacing w:after="0" w:line="19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Property</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of Property resulting directly from Theft, False Pretense, misplacement, mysterious unexplainable disappearance, physical damage thereto or destruction thereof, wherever situated including in transit.</w:t>
      </w:r>
    </w:p>
    <w:p>
      <w:pPr>
        <w:spacing w:after="0" w:line="19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w:t>
      </w:r>
    </w:p>
    <w:p>
      <w:pPr>
        <w:spacing w:after="0" w:line="252"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 Forgery or Alteration;</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an Original Financial Document that was, at the time the Insured acted upon it, lost or stolen;</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 Financial Document that was a Counterfeit; or</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guaranteed in writing or witnessed any endorsement or signature on an assignment, bill of sale, guarantee, or power of attorney which transferred a Financial Document or uncertificated security.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Actual physical possession, and continued actual physical possession if taken as collateral, of the Financial Document by:</w:t>
      </w:r>
    </w:p>
    <w:p>
      <w:pPr>
        <w:spacing w:after="0" w:line="252" w:lineRule="exact"/>
        <w:rPr>
          <w:sz w:val="20"/>
          <w:szCs w:val="20"/>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Insured or its authorized custodial agent, or</w:t>
      </w:r>
    </w:p>
    <w:p>
      <w:pPr>
        <w:spacing w:after="0" w:line="252" w:lineRule="exact"/>
        <w:rPr>
          <w:rFonts w:ascii="Arial" w:cs="Arial" w:eastAsia="Arial" w:hAnsi="Arial"/>
          <w:sz w:val="18"/>
          <w:szCs w:val="18"/>
          <w:color w:val="auto"/>
        </w:rPr>
      </w:pPr>
    </w:p>
    <w:p>
      <w:pPr>
        <w:ind w:left="1920" w:hanging="440"/>
        <w:spacing w:after="0" w:line="342" w:lineRule="auto"/>
        <w:tabs>
          <w:tab w:leader="none" w:pos="1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financial institution, or its authorized custodial agent to which (a) the Insured sold, in whole or in part, a loan for which the Financial Document represents collateral, and (b) the Insured remains liable to repurchase the loan pursuant to a written contract.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 a condition precedent to the Insured having relied on a Financial Document.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56" w:right="239" w:bottom="1440" w:gutter="0" w:footer="0" w:header="0"/>
          <w:type w:val="continuous"/>
        </w:sectPr>
      </w:pPr>
    </w:p>
    <w:bookmarkStart w:id="15" w:name="page16"/>
    <w:bookmarkEnd w:id="15"/>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Defective Signatures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in connection with any loan, relied on any:</w:t>
      </w:r>
    </w:p>
    <w:p>
      <w:pPr>
        <w:spacing w:after="0" w:line="252"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deed conveying real property;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deed of trust, or like instrument, pertaining to real property;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assignment of such instruments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defective because the signature of any person thereon was obtained through trick, artifice, fraud or false pretenses.</w:t>
      </w:r>
    </w:p>
    <w:p>
      <w:pPr>
        <w:spacing w:after="0" w:line="2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Servicing Contractors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dishonest or fraudulent acts committed by any Servicing Contractor, if the acts:</w:t>
      </w:r>
    </w:p>
    <w:p>
      <w:pPr>
        <w:spacing w:after="0" w:line="252" w:lineRule="exact"/>
        <w:rPr>
          <w:sz w:val="20"/>
          <w:szCs w:val="20"/>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were committed with the intent to:</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cause the Insured to sustain that loss; and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obtain an Improper Personal Gain for the Servicing Contractor, and</w:t>
      </w:r>
    </w:p>
    <w:p>
      <w:pPr>
        <w:spacing w:after="0" w:line="252" w:lineRule="exact"/>
        <w:rPr>
          <w:rFonts w:ascii="Arial" w:cs="Arial" w:eastAsia="Arial" w:hAnsi="Arial"/>
          <w:sz w:val="18"/>
          <w:szCs w:val="18"/>
          <w:color w:val="auto"/>
        </w:rPr>
      </w:pPr>
    </w:p>
    <w:p>
      <w:pPr>
        <w:ind w:left="460" w:right="5100" w:firstLine="453"/>
        <w:spacing w:after="0" w:line="516" w:lineRule="auto"/>
        <w:tabs>
          <w:tab w:leader="none" w:pos="14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resulted in an Improper Personal Gain for the Servicing Contractor. G. Computer Fraud/Fraudulent Funds Transfer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transferred funds or Property or otherwise given value because of:</w:t>
      </w:r>
    </w:p>
    <w:p>
      <w:pPr>
        <w:spacing w:after="0" w:line="252" w:lineRule="exact"/>
        <w:rPr>
          <w:sz w:val="20"/>
          <w:szCs w:val="20"/>
          <w:color w:val="auto"/>
        </w:rPr>
      </w:pPr>
    </w:p>
    <w:p>
      <w:pPr>
        <w:jc w:val="both"/>
        <w:ind w:left="1480" w:hanging="567"/>
        <w:spacing w:after="0" w:line="25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fraudulent modification or destruction of Electronic Data or Electronic Computer Instructions, including that caused by Computer Virus, (1) within a Computer System operated by the Insured; or (2) while being electronically transmitted through communication lines, including satellite links, from a Computer System operated by the Insured to a Computer System operated by a customer while the Insured is acting as a Service Bureau for that customer, if the fraudulent acts were committed by a person with the intent to obtain an improper financial benefit;</w:t>
      </w:r>
    </w:p>
    <w:p>
      <w:pPr>
        <w:spacing w:after="0" w:line="21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fraudulent preparation or modification of Electronic Computer Instructions by a person with the intent to cause the loss to the Insured and to obtain an improper financial benefit;</w:t>
      </w:r>
    </w:p>
    <w:p>
      <w:pPr>
        <w:spacing w:after="0" w:line="197" w:lineRule="exact"/>
        <w:rPr>
          <w:rFonts w:ascii="Arial" w:cs="Arial" w:eastAsia="Arial" w:hAnsi="Arial"/>
          <w:sz w:val="18"/>
          <w:szCs w:val="18"/>
          <w:color w:val="auto"/>
        </w:rPr>
      </w:pPr>
    </w:p>
    <w:p>
      <w:pPr>
        <w:jc w:val="both"/>
        <w:ind w:left="1480" w:hanging="567"/>
        <w:spacing w:after="0" w:line="286"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fraudulent entry of data into a Computer System or Communications Terminal operated by the Insured or an Electronic Communication Customer, but which data was not in fact sent by the Insured or the Electronic Communication Customer, or which data were fraudulently modified during transit (physical or electronic) between Computer Systems or Communications Terminals;</w:t>
      </w:r>
    </w:p>
    <w:p>
      <w:pPr>
        <w:spacing w:after="0" w:line="192" w:lineRule="exact"/>
        <w:rPr>
          <w:rFonts w:ascii="Arial" w:cs="Arial" w:eastAsia="Arial" w:hAnsi="Arial"/>
          <w:sz w:val="17"/>
          <w:szCs w:val="17"/>
          <w:color w:val="auto"/>
        </w:rPr>
      </w:pPr>
    </w:p>
    <w:p>
      <w:pPr>
        <w:jc w:val="both"/>
        <w:ind w:left="1480" w:hanging="567"/>
        <w:spacing w:after="0" w:line="312"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fraudulent voice initiated funds transfer instruction, directed to the Insured by telephone from or purportedly from an Electronic Communication Customer, if the instruction was not made by or at the direction of a person who is authorized to initiate a transfer according to the written agreement between Insured and the Electronic Communication Customer and the instruction was Tested; or</w:t>
      </w:r>
    </w:p>
    <w:p>
      <w:pPr>
        <w:spacing w:after="0" w:line="173" w:lineRule="exact"/>
        <w:rPr>
          <w:rFonts w:ascii="Arial" w:cs="Arial" w:eastAsia="Arial" w:hAnsi="Arial"/>
          <w:sz w:val="16"/>
          <w:szCs w:val="16"/>
          <w:color w:val="auto"/>
        </w:rPr>
      </w:pPr>
    </w:p>
    <w:p>
      <w:pPr>
        <w:jc w:val="both"/>
        <w:ind w:left="1480" w:hanging="567"/>
        <w:spacing w:after="0" w:line="286"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fraudulent communication by Fax or other Tested written communication sent or apparently sent between the Insured and an Electronic Communication Customer if the communication was either not sent by the Insured or the Electronic Communication Customer, or it was fraudulently modified during transit between the Insured and the Electronic Communication Customer.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16" w:name="page17"/>
    <w:bookmarkEnd w:id="16"/>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 Expense</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Necessary and reasonable professional fees and expenses incurred and paid by the Insured, with prior approval of the Insurer, to determine the existence, amount and extent of a loss in excess of the retention if the loss is in fact covered under any other Insuring Clause of this Investment Company Bond Coverage Part.</w:t>
      </w:r>
    </w:p>
    <w:p>
      <w:pPr>
        <w:spacing w:after="0" w:line="208"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Stop Payment Order Liability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which the Insured is legally obligated to pay and pays to a customer resulting directly from:</w:t>
      </w:r>
    </w:p>
    <w:p>
      <w:pPr>
        <w:spacing w:after="0" w:line="252" w:lineRule="exact"/>
        <w:rPr>
          <w:sz w:val="20"/>
          <w:szCs w:val="20"/>
          <w:color w:val="auto"/>
        </w:rPr>
      </w:pPr>
    </w:p>
    <w:p>
      <w:pPr>
        <w:ind w:left="1480" w:hanging="567"/>
        <w:spacing w:after="0" w:line="308"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compliance with or failure to comply with the request of the customer, or an authorized agent of the customer, to stop payment on any draft made or drawn upon or against the Insured by the customer or by an authorized agent of the customer; or</w:t>
      </w:r>
    </w:p>
    <w:p>
      <w:pPr>
        <w:spacing w:after="0" w:line="173" w:lineRule="exact"/>
        <w:rPr>
          <w:rFonts w:ascii="Arial" w:cs="Arial" w:eastAsia="Arial" w:hAnsi="Arial"/>
          <w:sz w:val="17"/>
          <w:szCs w:val="17"/>
          <w:color w:val="auto"/>
        </w:rPr>
      </w:pPr>
    </w:p>
    <w:p>
      <w:pPr>
        <w:ind w:left="460" w:right="880" w:firstLine="453"/>
        <w:spacing w:after="0" w:line="516" w:lineRule="auto"/>
        <w:tabs>
          <w:tab w:leader="none" w:pos="1486"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refusal to pay any draft made or drawn upon or against the Insured by the customer or by an authorized agent of the customer. J. Uncollectible Items of Deposit</w:t>
      </w:r>
    </w:p>
    <w:p>
      <w:pPr>
        <w:spacing w:after="0" w:line="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81"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225"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This Insuring Clause applies to all Mutual Funds with “exchange privileges” if all Funds in the exchange program are insured by the Insurer for Uncollectible Items of Deposit. Regardless of the number of transactions between Funds, the minimum number of days of deposit within the Funds before withdrawal as declared in the Funds prospectus shall begin from the date a deposit was first credited to any Insured Fund.</w:t>
      </w:r>
    </w:p>
    <w:p>
      <w:pPr>
        <w:spacing w:after="0" w:line="19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Loss resulting directly from the Insured having accepted, paid or cashed any check, withdrawal order or draft, made or drawn on a customer’s account which bears the signature or endorsement of one other than a person whose name and signature is on the application on file with the Insured as a signatory of such account.</w:t>
      </w:r>
    </w:p>
    <w:p>
      <w:pPr>
        <w:spacing w:after="0" w:line="18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It shall be a condition precedent to the Insured’s right to recovery under this Insuring Clause that the Insured shall have on file signatures of all persons who are authorized signatories on such account.</w:t>
      </w:r>
    </w:p>
    <w:p>
      <w:pPr>
        <w:spacing w:after="0" w:line="19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purposes of coverage under this Investment Company Bond Coverage Part:</w:t>
      </w:r>
    </w:p>
    <w:p>
      <w:pPr>
        <w:spacing w:after="0" w:line="248"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Alteration </w:t>
      </w:r>
      <w:r>
        <w:rPr>
          <w:rFonts w:ascii="Arial" w:cs="Arial" w:eastAsia="Arial" w:hAnsi="Arial"/>
          <w:sz w:val="18"/>
          <w:szCs w:val="18"/>
          <w:color w:val="auto"/>
        </w:rPr>
        <w:t>means material modification of an Original Financial Document for a fraudulent purpose by a person other than the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prepared the Original Financial Document.</w:t>
      </w:r>
    </w:p>
    <w:p>
      <w:pPr>
        <w:spacing w:after="0" w:line="188" w:lineRule="exact"/>
        <w:rPr>
          <w:rFonts w:ascii="Arial" w:cs="Arial" w:eastAsia="Arial" w:hAnsi="Arial"/>
          <w:sz w:val="18"/>
          <w:szCs w:val="18"/>
          <w:color w:val="auto"/>
        </w:rPr>
      </w:pPr>
    </w:p>
    <w:p>
      <w:pPr>
        <w:ind w:left="900" w:right="20" w:hanging="446"/>
        <w:spacing w:after="0" w:line="313"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Automated Clearing House </w:t>
      </w:r>
      <w:r>
        <w:rPr>
          <w:rFonts w:ascii="Arial" w:cs="Arial" w:eastAsia="Arial" w:hAnsi="Arial"/>
          <w:sz w:val="17"/>
          <w:szCs w:val="17"/>
          <w:color w:val="auto"/>
        </w:rPr>
        <w:t>means any corporation or association which operates an electronic clearing and transfer mechanism for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preauthorized recurring debits and credits between financial institutions on behalf of the financial institutions’ customers.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17" w:name="page18"/>
    <w:bookmarkEnd w:id="17"/>
    <w:p>
      <w:pPr>
        <w:jc w:val="both"/>
        <w:ind w:left="900" w:hanging="446"/>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Central Depository </w:t>
      </w:r>
      <w:r>
        <w:rPr>
          <w:rFonts w:ascii="Arial" w:cs="Arial" w:eastAsia="Arial" w:hAnsi="Arial"/>
          <w:sz w:val="18"/>
          <w:szCs w:val="18"/>
          <w:color w:val="auto"/>
        </w:rPr>
        <w:t>means any clearing corporation, including any Federal Reserve Bank of the United States, where as the direct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clearing and transfer mechanism entries are made on the books reducing the account of the transferor, pledgor or pledgee and increasing the account of the transferee, pledgee or pledgor by the amount of the obligation or the number of shares or rights transferred, pledged or released.</w:t>
      </w:r>
    </w:p>
    <w:p>
      <w:pPr>
        <w:spacing w:after="0" w:line="207"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computers with related peripheral components, including storage components wherever located;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software; terminal devices; and related local or wide area communication networks, but not the Internet; by which data are electronically collected, transmitted, processed, stored and retrieved.</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Communications Terminal </w:t>
      </w:r>
      <w:r>
        <w:rPr>
          <w:rFonts w:ascii="Arial" w:cs="Arial" w:eastAsia="Arial" w:hAnsi="Arial"/>
          <w:sz w:val="18"/>
          <w:szCs w:val="18"/>
          <w:color w:val="auto"/>
        </w:rPr>
        <w:t>means any teletype, teleprinter or video display terminal or similar device capable of sending or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electronically and equipped with a keyboard.</w:t>
      </w:r>
    </w:p>
    <w:p>
      <w:pPr>
        <w:spacing w:after="0" w:line="188" w:lineRule="exact"/>
        <w:rPr>
          <w:rFonts w:ascii="Arial" w:cs="Arial" w:eastAsia="Arial" w:hAnsi="Arial"/>
          <w:sz w:val="18"/>
          <w:szCs w:val="18"/>
          <w:color w:val="auto"/>
        </w:rPr>
      </w:pPr>
    </w:p>
    <w:p>
      <w:pPr>
        <w:ind w:left="900" w:right="20" w:hanging="446"/>
        <w:spacing w:after="0" w:line="313"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Computer Virus </w:t>
      </w:r>
      <w:r>
        <w:rPr>
          <w:rFonts w:ascii="Arial" w:cs="Arial" w:eastAsia="Arial" w:hAnsi="Arial"/>
          <w:sz w:val="17"/>
          <w:szCs w:val="17"/>
          <w:color w:val="auto"/>
        </w:rPr>
        <w:t>means a set of unauthorized instructions, programmatic or otherwise, that propagate themselves through a Computer System</w:t>
      </w:r>
      <w:r>
        <w:rPr>
          <w:rFonts w:ascii="Arial" w:cs="Arial" w:eastAsia="Arial" w:hAnsi="Arial"/>
          <w:sz w:val="17"/>
          <w:szCs w:val="17"/>
          <w:b w:val="1"/>
          <w:bCs w:val="1"/>
          <w:color w:val="auto"/>
        </w:rPr>
        <w:t xml:space="preserve"> </w:t>
      </w:r>
      <w:r>
        <w:rPr>
          <w:rFonts w:ascii="Arial" w:cs="Arial" w:eastAsia="Arial" w:hAnsi="Arial"/>
          <w:sz w:val="17"/>
          <w:szCs w:val="17"/>
          <w:color w:val="auto"/>
        </w:rPr>
        <w:t>operated by the Insured and which were maliciously introduced into the system by a person other than by an identifiable Employee.</w:t>
      </w:r>
    </w:p>
    <w:p>
      <w:pPr>
        <w:spacing w:after="0" w:line="165" w:lineRule="exact"/>
        <w:rPr>
          <w:rFonts w:ascii="Arial" w:cs="Arial" w:eastAsia="Arial" w:hAnsi="Arial"/>
          <w:sz w:val="17"/>
          <w:szCs w:val="17"/>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Counterfeit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certificated securities: an imitation which is intended to deceive, and resembles or apparently intends to resemble or to be taken as the original; or</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other Financial Documents: an imitation which is intended to deceive, and to be taken as the original.</w:t>
      </w:r>
    </w:p>
    <w:p>
      <w:pPr>
        <w:spacing w:after="0" w:line="24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w:t>
      </w:r>
      <w:r>
        <w:rPr>
          <w:rFonts w:ascii="Arial" w:cs="Arial" w:eastAsia="Arial" w:hAnsi="Arial"/>
          <w:sz w:val="18"/>
          <w:szCs w:val="18"/>
          <w:color w:val="auto"/>
        </w:rPr>
        <w:t>means any communication initiated through a Computer System, a Fax, Telex, TWX and any other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transmitted communication.</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Customer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natural person or entity authorized by written agreement with the Insured to initiate funds transfer by Fax or other Electronic Communication or by telephone;</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Automated Clearing House;</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office of the Insured;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financial institution;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Central Depository handling Electronic Securities.</w:t>
      </w:r>
    </w:p>
    <w:p>
      <w:pPr>
        <w:spacing w:after="0" w:line="248" w:lineRule="exact"/>
        <w:rPr>
          <w:rFonts w:ascii="Arial" w:cs="Arial" w:eastAsia="Arial" w:hAnsi="Arial"/>
          <w:sz w:val="18"/>
          <w:szCs w:val="18"/>
          <w:color w:val="auto"/>
        </w:rPr>
      </w:pPr>
    </w:p>
    <w:p>
      <w:pPr>
        <w:jc w:val="both"/>
        <w:ind w:left="900" w:hanging="446"/>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System </w:t>
      </w:r>
      <w:r>
        <w:rPr>
          <w:rFonts w:ascii="Arial" w:cs="Arial" w:eastAsia="Arial" w:hAnsi="Arial"/>
          <w:sz w:val="18"/>
          <w:szCs w:val="18"/>
          <w:color w:val="auto"/>
        </w:rPr>
        <w:t>means electronic communication operations by Fedwire, Clearing House Inter bank Payment System</w:t>
      </w:r>
      <w:r>
        <w:rPr>
          <w:rFonts w:ascii="Arial" w:cs="Arial" w:eastAsia="Arial" w:hAnsi="Arial"/>
          <w:sz w:val="18"/>
          <w:szCs w:val="18"/>
          <w:b w:val="1"/>
          <w:bCs w:val="1"/>
          <w:color w:val="auto"/>
        </w:rPr>
        <w:t xml:space="preserve"> </w:t>
      </w:r>
      <w:r>
        <w:rPr>
          <w:rFonts w:ascii="Arial" w:cs="Arial" w:eastAsia="Arial" w:hAnsi="Arial"/>
          <w:sz w:val="18"/>
          <w:szCs w:val="18"/>
          <w:color w:val="auto"/>
        </w:rPr>
        <w:t>(CHIPS), Society for Worldwide Interbank Financial Telecommunication (SWIFT), Clearing House Automated Payment System (CHAPS), an Automated Clearing House Association which is a member of the National Automated Clearing House Association and similar automated communication systems in use by the Insured.</w:t>
      </w:r>
    </w:p>
    <w:p>
      <w:pPr>
        <w:spacing w:after="0" w:line="207"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Computer Instructions </w:t>
      </w:r>
      <w:r>
        <w:rPr>
          <w:rFonts w:ascii="Arial" w:cs="Arial" w:eastAsia="Arial" w:hAnsi="Arial"/>
          <w:sz w:val="18"/>
          <w:szCs w:val="18"/>
          <w:color w:val="auto"/>
        </w:rPr>
        <w:t>means computer programs, for example, facts or statements converted to a form usable in a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to act upon Electronic Data.</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Data </w:t>
      </w:r>
      <w:r>
        <w:rPr>
          <w:rFonts w:ascii="Arial" w:cs="Arial" w:eastAsia="Arial" w:hAnsi="Arial"/>
          <w:sz w:val="18"/>
          <w:szCs w:val="18"/>
          <w:color w:val="auto"/>
        </w:rPr>
        <w:t>means facts or information converted to a form usable in a Computer System and which are stored on Electronic Data</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Media for use by computer programs.</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Data Processing Media </w:t>
      </w:r>
      <w:r>
        <w:rPr>
          <w:rFonts w:ascii="Arial" w:cs="Arial" w:eastAsia="Arial" w:hAnsi="Arial"/>
          <w:sz w:val="18"/>
          <w:szCs w:val="18"/>
          <w:color w:val="auto"/>
        </w:rPr>
        <w:t>means the punched cards, magnetic tapes, punched tapes or magnetic discs or other bulk media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Data are recorded.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18" w:name="page19"/>
    <w:bookmarkEnd w:id="18"/>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Electronic Security </w:t>
      </w:r>
      <w:r>
        <w:rPr>
          <w:rFonts w:ascii="Arial" w:cs="Arial" w:eastAsia="Arial" w:hAnsi="Arial"/>
          <w:sz w:val="16"/>
          <w:szCs w:val="16"/>
          <w:color w:val="auto"/>
        </w:rPr>
        <w:t>means a share, participation or other interest in property of or an enterprise of the issuer or an obligation of the issuer which:</w:t>
      </w:r>
    </w:p>
    <w:p>
      <w:pPr>
        <w:spacing w:after="0" w:line="279"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a type commonly dealt in upon securities exchanges or markets;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is either one of a class or series or by its terms is divisible into a class or series of shares, participation’s, interests or obligations; and</w:t>
      </w:r>
    </w:p>
    <w:p>
      <w:pPr>
        <w:spacing w:after="0" w:line="275"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  is not represented a paper certificate,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is part of a master or global paper certificate, or</w:t>
      </w:r>
    </w:p>
    <w:p>
      <w:pPr>
        <w:spacing w:after="0" w:line="252"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represents a paper certificate that has been surrendered by a financial institution and has been combined into a master depository note with the paper certificates being immobilized and individually shown as an electronic entry on the account of the transferor, pledgor or pledgee on the books of a Central Depository.</w:t>
      </w:r>
    </w:p>
    <w:p>
      <w:pPr>
        <w:spacing w:after="0" w:line="204"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of capital stock of, such predecessor; and</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252" w:lineRule="exact"/>
        <w:rPr>
          <w:rFonts w:ascii="Arial" w:cs="Arial" w:eastAsia="Arial" w:hAnsi="Arial"/>
          <w:sz w:val="18"/>
          <w:szCs w:val="18"/>
          <w:color w:val="auto"/>
        </w:rPr>
      </w:pPr>
    </w:p>
    <w:p>
      <w:pPr>
        <w:jc w:val="both"/>
        <w:ind w:left="1480" w:hanging="567"/>
        <w:spacing w:after="0" w:line="279"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directors or trustees of the Insured, the investment advisor, underwriter (distributor), transfer agent, or shareholder accounting record-keeper,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198"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 agency furnishing temporary personnel on a contingent or part-time basis; and</w:t>
      </w:r>
    </w:p>
    <w:p>
      <w:pPr>
        <w:spacing w:after="0" w:line="197" w:lineRule="exact"/>
        <w:rPr>
          <w:rFonts w:ascii="Arial" w:cs="Arial" w:eastAsia="Arial" w:hAnsi="Arial"/>
          <w:sz w:val="18"/>
          <w:szCs w:val="18"/>
          <w:color w:val="auto"/>
        </w:rPr>
      </w:pPr>
    </w:p>
    <w:p>
      <w:pPr>
        <w:jc w:val="both"/>
        <w:ind w:left="1480" w:hanging="567"/>
        <w:spacing w:after="0" w:line="31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(i) hereof; and</w:t>
      </w:r>
    </w:p>
    <w:p>
      <w:pPr>
        <w:spacing w:after="0" w:line="173"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those persons so designated in Condition N. Central Handling of Securities;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252" w:lineRule="exact"/>
        <w:rPr>
          <w:sz w:val="20"/>
          <w:szCs w:val="20"/>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19" w:name="page20"/>
    <w:bookmarkEnd w:id="19"/>
    <w:p>
      <w:pPr>
        <w:jc w:val="both"/>
        <w:ind w:left="9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178"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employer of temporary personnel or processors as set forth in sub-sections (f) and (g) of the definition of Employee and their partners, officers and employees shall collectively be deemed to be one person for all the purposes of this Investment Company Bond Coverage Part, excepting, however, Condition 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24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Employee Benefit Plan </w:t>
      </w:r>
      <w:r>
        <w:rPr>
          <w:rFonts w:ascii="Arial" w:cs="Arial" w:eastAsia="Arial" w:hAnsi="Arial"/>
          <w:sz w:val="16"/>
          <w:szCs w:val="16"/>
          <w:color w:val="auto"/>
        </w:rPr>
        <w:t>means a benefit plan subject to the requirements of ERISA which is sponsored solely by the Insured for its Employees.</w:t>
      </w:r>
    </w:p>
    <w:p>
      <w:pPr>
        <w:spacing w:after="0" w:line="275" w:lineRule="exact"/>
        <w:rPr>
          <w:rFonts w:ascii="Arial" w:cs="Arial" w:eastAsia="Arial" w:hAnsi="Arial"/>
          <w:sz w:val="16"/>
          <w:szCs w:val="16"/>
          <w:color w:val="auto"/>
        </w:rPr>
      </w:pPr>
    </w:p>
    <w:p>
      <w:pPr>
        <w:ind w:left="900" w:hanging="446"/>
        <w:spacing w:after="0" w:line="28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False Pretense </w:t>
      </w:r>
      <w:r>
        <w:rPr>
          <w:rFonts w:ascii="Arial" w:cs="Arial" w:eastAsia="Arial" w:hAnsi="Arial"/>
          <w:sz w:val="18"/>
          <w:szCs w:val="18"/>
          <w:color w:val="auto"/>
        </w:rPr>
        <w:t>means the transfer of Property as the direct result of a fraudulent representation made by a person to the Insured, which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in possession of the Property at the time of the fraudulent representation and the transfer of the Property.</w:t>
      </w:r>
    </w:p>
    <w:p>
      <w:pPr>
        <w:spacing w:after="0" w:line="188" w:lineRule="exact"/>
        <w:rPr>
          <w:rFonts w:ascii="Arial" w:cs="Arial" w:eastAsia="Arial" w:hAnsi="Arial"/>
          <w:sz w:val="18"/>
          <w:szCs w:val="18"/>
          <w:color w:val="auto"/>
        </w:rPr>
      </w:pPr>
    </w:p>
    <w:p>
      <w:pPr>
        <w:ind w:left="900" w:hanging="446"/>
        <w:spacing w:after="0" w:line="313"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Fax </w:t>
      </w:r>
      <w:r>
        <w:rPr>
          <w:rFonts w:ascii="Arial" w:cs="Arial" w:eastAsia="Arial" w:hAnsi="Arial"/>
          <w:sz w:val="17"/>
          <w:szCs w:val="17"/>
          <w:color w:val="auto"/>
        </w:rPr>
        <w:t>means a facsimile communication system or similar communication system utilizing teleprocessed imagery that produces a paper copy of a</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but does not mean an Electronic Communication sent by Telex, TWX or an Electronic Communication System.</w:t>
      </w:r>
    </w:p>
    <w:p>
      <w:pPr>
        <w:spacing w:after="0" w:line="165" w:lineRule="exact"/>
        <w:rPr>
          <w:rFonts w:ascii="Arial" w:cs="Arial" w:eastAsia="Arial" w:hAnsi="Arial"/>
          <w:sz w:val="17"/>
          <w:szCs w:val="17"/>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Financial Document </w:t>
      </w:r>
      <w:r>
        <w:rPr>
          <w:rFonts w:ascii="Arial" w:cs="Arial" w:eastAsia="Arial" w:hAnsi="Arial"/>
          <w:sz w:val="18"/>
          <w:szCs w:val="18"/>
          <w:color w:val="auto"/>
        </w:rPr>
        <w:t>means a physical document which:</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Negotiable Instrument;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letter of credit;</w:t>
      </w:r>
    </w:p>
    <w:p>
      <w:pPr>
        <w:spacing w:after="0" w:line="252"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written instruction directed to the Insured from, or purportedly from, a customer, Employee or financial institution, of a type customarily prepared by a customer, Employee or financial institution, and upon which the Insured ordinarily acts to cause a deposit, withdrawal or transfer of funds;</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considered as a matter of law to be primary evidence of:</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right to ownership or possession of property;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debt owed directly or contingently;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creates or discharges a lien on property;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ordinarily has value transferred by endorsement or assignment coupled with delivery;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Money</w:t>
      </w:r>
    </w:p>
    <w:p>
      <w:pPr>
        <w:spacing w:after="0" w:line="225"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but does not include: (1) traveler’s checks; (2) data which exists in a Computer System in electronic form, and (3) bills of lading, dock warrants, dock receipts, warehouse receipts or orders for the delivery of goods including without limitation, any document which evidences or purports to evidence that the holder is entitled to receive, hold and dispose of the document and the goods it covered.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0" w:name="page21"/>
    <w:bookmarkEnd w:id="20"/>
    <w:p>
      <w:pPr>
        <w:jc w:val="both"/>
        <w:ind w:left="1140" w:hanging="565"/>
        <w:spacing w:after="0" w:line="266"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Forgery </w:t>
      </w:r>
      <w:r>
        <w:rPr>
          <w:rFonts w:ascii="Arial" w:cs="Arial" w:eastAsia="Arial" w:hAnsi="Arial"/>
          <w:sz w:val="18"/>
          <w:szCs w:val="18"/>
          <w:color w:val="auto"/>
        </w:rPr>
        <w:t>means the signing on an Original Financial Document of the name of another person or organization, including a facsimile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authority with intent to deceive; it does not include a signature consisting in whole or in part of one’s own name, signed with or without authority, in any capacity, for any purpose.</w:t>
      </w:r>
    </w:p>
    <w:p>
      <w:pPr>
        <w:spacing w:after="0" w:line="203"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Improper Personal Gain </w:t>
      </w:r>
      <w:r>
        <w:rPr>
          <w:rFonts w:ascii="Arial" w:cs="Arial" w:eastAsia="Arial" w:hAnsi="Arial"/>
          <w:sz w:val="18"/>
          <w:szCs w:val="18"/>
          <w:color w:val="auto"/>
        </w:rPr>
        <w:t>means an unlawful financial benefit obtained by:</w:t>
      </w:r>
    </w:p>
    <w:p>
      <w:pPr>
        <w:spacing w:after="0" w:line="256" w:lineRule="exact"/>
        <w:rPr>
          <w:rFonts w:ascii="Arial" w:cs="Arial" w:eastAsia="Arial" w:hAnsi="Arial"/>
          <w:sz w:val="18"/>
          <w:szCs w:val="18"/>
          <w:color w:val="auto"/>
        </w:rPr>
      </w:pPr>
    </w:p>
    <w:p>
      <w:pPr>
        <w:ind w:left="1820" w:hanging="678"/>
        <w:spacing w:after="0"/>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Employee or Servicing Contractor; or</w:t>
      </w:r>
    </w:p>
    <w:p>
      <w:pPr>
        <w:spacing w:after="0" w:line="252"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persons with whom the Employee was acting in collusion, provided that the Insured establishes that the Employee intended to participate in such benefit; and</w:t>
      </w:r>
    </w:p>
    <w:p>
      <w:pPr>
        <w:spacing w:after="0" w:line="197" w:lineRule="exact"/>
        <w:rPr>
          <w:rFonts w:ascii="Arial" w:cs="Arial" w:eastAsia="Arial" w:hAnsi="Arial"/>
          <w:sz w:val="18"/>
          <w:szCs w:val="18"/>
          <w:color w:val="auto"/>
        </w:rPr>
      </w:pPr>
    </w:p>
    <w:p>
      <w:pPr>
        <w:jc w:val="both"/>
        <w:ind w:left="1820" w:hanging="678"/>
        <w:spacing w:after="0" w:line="264" w:lineRule="auto"/>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innocent third party, provided that the Insured establish that the Employee transferred funds or Property to the benefit of such third party with the knowledge that such third party was not entitled to such funds or Property, and the funds or Property are not recoverable by the Insured.</w:t>
      </w:r>
    </w:p>
    <w:p>
      <w:pPr>
        <w:spacing w:after="0" w:line="18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The term does not include any type of benefits earned in the course of employment, including salary, salary increases, commissions, fees, bonuses, promotions, awards, profit sharing, pensions or other emoluments, nor any benefit which any officer or director of the Insured not in collusion with the Employee was aware that the Employee was receiving.</w:t>
      </w:r>
    </w:p>
    <w:p>
      <w:pPr>
        <w:spacing w:after="0" w:line="204" w:lineRule="exact"/>
        <w:rPr>
          <w:sz w:val="20"/>
          <w:szCs w:val="20"/>
          <w:color w:val="auto"/>
        </w:rPr>
      </w:pPr>
    </w:p>
    <w:p>
      <w:pPr>
        <w:ind w:left="1140" w:hanging="565"/>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Insured </w:t>
      </w:r>
      <w:r>
        <w:rPr>
          <w:rFonts w:ascii="Arial" w:cs="Arial" w:eastAsia="Arial" w:hAnsi="Arial"/>
          <w:sz w:val="17"/>
          <w:szCs w:val="17"/>
          <w:color w:val="auto"/>
        </w:rPr>
        <w:t>means the Parent Company and the Subsidiaries. Insured as used in Insuring Clause B. includes any Employee Benefit Plan.</w:t>
      </w:r>
    </w:p>
    <w:p>
      <w:pPr>
        <w:spacing w:after="0" w:line="263" w:lineRule="exact"/>
        <w:rPr>
          <w:rFonts w:ascii="Arial" w:cs="Arial" w:eastAsia="Arial" w:hAnsi="Arial"/>
          <w:sz w:val="17"/>
          <w:szCs w:val="17"/>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means one or more checks or drafts.</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Money </w:t>
      </w:r>
      <w:r>
        <w:rPr>
          <w:rFonts w:ascii="Arial" w:cs="Arial" w:eastAsia="Arial" w:hAnsi="Arial"/>
          <w:sz w:val="17"/>
          <w:szCs w:val="17"/>
          <w:color w:val="auto"/>
        </w:rPr>
        <w:t>means a medium of exchange in current use authorized or adopted by a domestic or foreign government as part of its currency.</w:t>
      </w:r>
    </w:p>
    <w:p>
      <w:pPr>
        <w:spacing w:after="0" w:line="263" w:lineRule="exact"/>
        <w:rPr>
          <w:rFonts w:ascii="Arial" w:cs="Arial" w:eastAsia="Arial" w:hAnsi="Arial"/>
          <w:sz w:val="17"/>
          <w:szCs w:val="17"/>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means any document which</w:t>
      </w:r>
    </w:p>
    <w:p>
      <w:pPr>
        <w:spacing w:after="0" w:line="256" w:lineRule="exact"/>
        <w:rPr>
          <w:rFonts w:ascii="Arial" w:cs="Arial" w:eastAsia="Arial" w:hAnsi="Arial"/>
          <w:sz w:val="18"/>
          <w:szCs w:val="18"/>
          <w:color w:val="auto"/>
        </w:rPr>
      </w:pPr>
    </w:p>
    <w:p>
      <w:pPr>
        <w:ind w:left="1820" w:hanging="678"/>
        <w:spacing w:after="0"/>
        <w:tabs>
          <w:tab w:leader="none" w:pos="1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252"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contains an unconditional promise or order to pay a sum certain in money and no other promise, order, obligation or power given by the maker or drawer;</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48" w:lineRule="exact"/>
        <w:rPr>
          <w:rFonts w:ascii="Arial" w:cs="Arial" w:eastAsia="Arial" w:hAnsi="Arial"/>
          <w:sz w:val="18"/>
          <w:szCs w:val="18"/>
          <w:color w:val="auto"/>
        </w:rPr>
      </w:pPr>
    </w:p>
    <w:p>
      <w:pPr>
        <w:ind w:left="1140" w:right="20" w:hanging="565"/>
        <w:spacing w:after="0" w:line="282"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Original Financial Document </w:t>
      </w:r>
      <w:r>
        <w:rPr>
          <w:rFonts w:ascii="Arial" w:cs="Arial" w:eastAsia="Arial" w:hAnsi="Arial"/>
          <w:sz w:val="18"/>
          <w:szCs w:val="18"/>
          <w:color w:val="auto"/>
        </w:rPr>
        <w:t>means a Financial Document which has been completed, with or without signature, by natural persons who</w:t>
      </w:r>
      <w:r>
        <w:rPr>
          <w:rFonts w:ascii="Arial" w:cs="Arial" w:eastAsia="Arial" w:hAnsi="Arial"/>
          <w:sz w:val="18"/>
          <w:szCs w:val="18"/>
          <w:b w:val="1"/>
          <w:bCs w:val="1"/>
          <w:color w:val="auto"/>
        </w:rPr>
        <w:t xml:space="preserve"> </w:t>
      </w:r>
      <w:r>
        <w:rPr>
          <w:rFonts w:ascii="Arial" w:cs="Arial" w:eastAsia="Arial" w:hAnsi="Arial"/>
          <w:sz w:val="18"/>
          <w:szCs w:val="18"/>
          <w:color w:val="auto"/>
        </w:rPr>
        <w:t>were acting with authority in completing the document at the time it was completed.</w:t>
      </w:r>
    </w:p>
    <w:p>
      <w:pPr>
        <w:spacing w:after="0" w:line="189" w:lineRule="exact"/>
        <w:rPr>
          <w:sz w:val="20"/>
          <w:szCs w:val="20"/>
          <w:color w:val="auto"/>
        </w:rPr>
      </w:pPr>
    </w:p>
    <w:p>
      <w:pPr>
        <w:ind w:left="1140" w:hanging="565"/>
        <w:spacing w:after="0" w:line="347" w:lineRule="auto"/>
        <w:tabs>
          <w:tab w:leader="none" w:pos="114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means Financial Documents, Electronic Data Processing Media, Electronic Data, gems, jewelry, precious metals in bars or ingots,</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other tangible items of personal property owned by the Insured, or for which the Insured is legally liable other than as lessee.</w:t>
      </w:r>
    </w:p>
    <w:p>
      <w:pPr>
        <w:spacing w:after="0" w:line="143" w:lineRule="exact"/>
        <w:rPr>
          <w:rFonts w:ascii="Arial" w:cs="Arial" w:eastAsia="Arial" w:hAnsi="Arial"/>
          <w:sz w:val="16"/>
          <w:szCs w:val="16"/>
          <w:color w:val="auto"/>
        </w:rPr>
      </w:pPr>
    </w:p>
    <w:p>
      <w:pPr>
        <w:ind w:left="1140" w:right="20" w:hanging="565"/>
        <w:spacing w:after="0" w:line="282"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Service Bureau </w:t>
      </w:r>
      <w:r>
        <w:rPr>
          <w:rFonts w:ascii="Arial" w:cs="Arial" w:eastAsia="Arial" w:hAnsi="Arial"/>
          <w:sz w:val="18"/>
          <w:szCs w:val="18"/>
          <w:color w:val="auto"/>
        </w:rPr>
        <w:t>means a person or entity authorized by written agreement to perform data processing services for others using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Systems.</w:t>
      </w:r>
    </w:p>
    <w:p>
      <w:pPr>
        <w:spacing w:after="0" w:line="188" w:lineRule="exact"/>
        <w:rPr>
          <w:rFonts w:ascii="Arial" w:cs="Arial" w:eastAsia="Arial" w:hAnsi="Arial"/>
          <w:sz w:val="18"/>
          <w:szCs w:val="18"/>
          <w:color w:val="auto"/>
        </w:rPr>
      </w:pPr>
    </w:p>
    <w:p>
      <w:pPr>
        <w:ind w:left="1140" w:hanging="565"/>
        <w:spacing w:after="0"/>
        <w:tabs>
          <w:tab w:leader="none" w:pos="114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Servicing Contractor </w:t>
      </w:r>
      <w:r>
        <w:rPr>
          <w:rFonts w:ascii="Arial" w:cs="Arial" w:eastAsia="Arial" w:hAnsi="Arial"/>
          <w:sz w:val="16"/>
          <w:szCs w:val="16"/>
          <w:color w:val="auto"/>
        </w:rPr>
        <w:t>means any person or entity (other than an Employee) authorized by the Insured to act for the Insured in the capacity of:</w:t>
      </w:r>
    </w:p>
    <w:p>
      <w:pPr>
        <w:spacing w:after="0" w:line="279" w:lineRule="exact"/>
        <w:rPr>
          <w:sz w:val="20"/>
          <w:szCs w:val="20"/>
          <w:color w:val="auto"/>
        </w:rPr>
      </w:pPr>
    </w:p>
    <w:p>
      <w:pPr>
        <w:ind w:left="1820" w:hanging="678"/>
        <w:spacing w:after="0"/>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servicer of real estate mortgage or home improvement loans made, held by or assigned to the Insured; or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21" w:name="page22"/>
    <w:bookmarkEnd w:id="21"/>
    <w:p>
      <w:pPr>
        <w:jc w:val="both"/>
        <w:ind w:left="1820" w:hanging="678"/>
        <w:spacing w:after="0" w:line="259" w:lineRule="auto"/>
        <w:tabs>
          <w:tab w:leader="none" w:pos="1820" w:val="left"/>
        </w:tabs>
        <w:numPr>
          <w:ilvl w:val="2"/>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 of real property owned by or under the supervision or control of the Insured as evidenced by a written contract customarily used by the Insured for that purpose, and only while the person or entity is acting within the general scope of those duties. The partners, officers, directors and employees of a Servicing Contractor shall collectively be deemed to be one person for all purposes of this Coverage Part.</w:t>
      </w:r>
    </w:p>
    <w:p>
      <w:pPr>
        <w:spacing w:after="0" w:line="209" w:lineRule="exact"/>
        <w:rPr>
          <w:rFonts w:ascii="Arial" w:cs="Arial" w:eastAsia="Arial" w:hAnsi="Arial"/>
          <w:sz w:val="18"/>
          <w:szCs w:val="18"/>
          <w:color w:val="auto"/>
        </w:rPr>
      </w:pPr>
    </w:p>
    <w:p>
      <w:pPr>
        <w:ind w:left="1140" w:hanging="565"/>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Claims Expense covered under Insuring Clause H., resulting from:</w:t>
      </w:r>
    </w:p>
    <w:p>
      <w:pPr>
        <w:spacing w:after="0" w:line="256" w:lineRule="exact"/>
        <w:rPr>
          <w:rFonts w:ascii="Arial" w:cs="Arial" w:eastAsia="Arial" w:hAnsi="Arial"/>
          <w:sz w:val="18"/>
          <w:szCs w:val="18"/>
          <w:color w:val="auto"/>
        </w:rPr>
      </w:pPr>
    </w:p>
    <w:p>
      <w:pPr>
        <w:ind w:left="1820" w:hanging="678"/>
        <w:spacing w:after="0"/>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act or series of related acts of Theft, False Pretense or attempt thereat, in which no Employee is implicated, or</w:t>
      </w:r>
    </w:p>
    <w:p>
      <w:pPr>
        <w:spacing w:after="0" w:line="252" w:lineRule="exact"/>
        <w:rPr>
          <w:rFonts w:ascii="Arial" w:cs="Arial" w:eastAsia="Arial" w:hAnsi="Arial"/>
          <w:sz w:val="18"/>
          <w:szCs w:val="18"/>
          <w:color w:val="auto"/>
        </w:rPr>
      </w:pPr>
    </w:p>
    <w:p>
      <w:pPr>
        <w:ind w:left="1820" w:hanging="678"/>
        <w:spacing w:after="0" w:line="277" w:lineRule="auto"/>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197" w:lineRule="exact"/>
        <w:rPr>
          <w:rFonts w:ascii="Arial" w:cs="Arial" w:eastAsia="Arial" w:hAnsi="Arial"/>
          <w:sz w:val="18"/>
          <w:szCs w:val="18"/>
          <w:color w:val="auto"/>
        </w:rPr>
      </w:pPr>
    </w:p>
    <w:p>
      <w:pPr>
        <w:ind w:left="1820" w:hanging="678"/>
        <w:spacing w:after="0" w:line="277" w:lineRule="auto"/>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pacing w:after="0" w:line="248" w:lineRule="exact"/>
        <w:rPr>
          <w:rFonts w:ascii="Arial" w:cs="Arial" w:eastAsia="Arial" w:hAnsi="Arial"/>
          <w:sz w:val="18"/>
          <w:szCs w:val="18"/>
          <w:color w:val="auto"/>
        </w:rPr>
      </w:pPr>
    </w:p>
    <w:p>
      <w:pPr>
        <w:ind w:left="1140" w:hanging="565"/>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Tested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jc w:val="both"/>
        <w:ind w:left="1820" w:hanging="678"/>
        <w:spacing w:after="0" w:line="264" w:lineRule="auto"/>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As respects Fax, Telex, TWX or other means of written communication: a method of authenticating the contents of the written communication by affixing to it a valid test key that has been exchanged between the Insured and a customer, an office of the Insured or another financial institution; and</w:t>
      </w:r>
    </w:p>
    <w:p>
      <w:pPr>
        <w:spacing w:after="0" w:line="208" w:lineRule="exact"/>
        <w:rPr>
          <w:rFonts w:ascii="Arial" w:cs="Arial" w:eastAsia="Arial" w:hAnsi="Arial"/>
          <w:sz w:val="18"/>
          <w:szCs w:val="18"/>
          <w:color w:val="auto"/>
        </w:rPr>
      </w:pPr>
    </w:p>
    <w:p>
      <w:pPr>
        <w:jc w:val="both"/>
        <w:ind w:left="1820" w:hanging="678"/>
        <w:spacing w:after="0" w:line="264" w:lineRule="auto"/>
        <w:tabs>
          <w:tab w:leader="none" w:pos="18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as respects voice: a call-back prior to acting on the instruction to a person authorized by written agreement with the Insured to authenticate the instruction, other than a call to the person who purportedly initiated the instruction, provided the instruction and call-back are recorded.</w:t>
      </w:r>
    </w:p>
    <w:p>
      <w:pPr>
        <w:spacing w:after="0" w:line="204" w:lineRule="exact"/>
        <w:rPr>
          <w:rFonts w:ascii="Arial" w:cs="Arial" w:eastAsia="Arial" w:hAnsi="Arial"/>
          <w:sz w:val="18"/>
          <w:szCs w:val="18"/>
          <w:color w:val="auto"/>
        </w:rPr>
      </w:pPr>
    </w:p>
    <w:p>
      <w:pPr>
        <w:ind w:left="1140" w:hanging="565"/>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Theft </w:t>
      </w:r>
      <w:r>
        <w:rPr>
          <w:rFonts w:ascii="Arial" w:cs="Arial" w:eastAsia="Arial" w:hAnsi="Arial"/>
          <w:sz w:val="18"/>
          <w:szCs w:val="18"/>
          <w:color w:val="auto"/>
        </w:rPr>
        <w:t>means robbery, burglary, and any other unlawful taking not accomplished by trick or false representation.</w:t>
      </w:r>
    </w:p>
    <w:p>
      <w:pPr>
        <w:spacing w:after="0" w:line="2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III.</w:t>
      </w:r>
      <w:r>
        <w:rPr>
          <w:rFonts w:ascii="Arial" w:cs="Arial" w:eastAsia="Arial" w:hAnsi="Arial"/>
          <w:sz w:val="17"/>
          <w:szCs w:val="17"/>
          <w:color w:val="auto"/>
        </w:rPr>
        <w:t>EXCLUSIONS</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Investment Company Bond Coverage Part does not apply to:</w:t>
      </w:r>
    </w:p>
    <w:p>
      <w:pPr>
        <w:spacing w:after="0" w:line="252" w:lineRule="exact"/>
        <w:rPr>
          <w:sz w:val="20"/>
          <w:szCs w:val="20"/>
          <w:color w:val="auto"/>
        </w:rPr>
      </w:pPr>
    </w:p>
    <w:p>
      <w:pPr>
        <w:ind w:left="1820" w:right="20" w:hanging="678"/>
        <w:spacing w:after="0" w:line="277" w:lineRule="auto"/>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resulting directly or indirectly from dishonest or fraudulent acts by any Employee, except when covered under Insuring Clauses A. or B.;</w:t>
      </w:r>
    </w:p>
    <w:p>
      <w:pPr>
        <w:spacing w:after="0" w:line="197" w:lineRule="exact"/>
        <w:rPr>
          <w:rFonts w:ascii="Arial" w:cs="Arial" w:eastAsia="Arial" w:hAnsi="Arial"/>
          <w:sz w:val="18"/>
          <w:szCs w:val="18"/>
          <w:color w:val="auto"/>
        </w:rPr>
      </w:pPr>
    </w:p>
    <w:p>
      <w:pPr>
        <w:ind w:left="1820" w:hanging="678"/>
        <w:spacing w:after="0" w:line="277" w:lineRule="auto"/>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resulting directly or indirectly from trading whether or not committed by an Employee and whether or not in the name of the Insured and whether or not in a genuine or fictitious account;</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loss of trade secrets, confidential processing methods, customer lists, or other confidential or proprietary information of any kind;</w:t>
      </w:r>
    </w:p>
    <w:p>
      <w:pPr>
        <w:spacing w:after="0" w:line="275" w:lineRule="exact"/>
        <w:rPr>
          <w:rFonts w:ascii="Arial" w:cs="Arial" w:eastAsia="Arial" w:hAnsi="Arial"/>
          <w:sz w:val="16"/>
          <w:szCs w:val="16"/>
          <w:color w:val="auto"/>
        </w:rPr>
      </w:pPr>
    </w:p>
    <w:p>
      <w:pPr>
        <w:ind w:left="1820" w:hanging="678"/>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to one or more of the Insureds which benefits another of the Insureds;</w:t>
      </w:r>
    </w:p>
    <w:p>
      <w:pPr>
        <w:spacing w:after="0" w:line="252" w:lineRule="exact"/>
        <w:rPr>
          <w:rFonts w:ascii="Arial" w:cs="Arial" w:eastAsia="Arial" w:hAnsi="Arial"/>
          <w:sz w:val="18"/>
          <w:szCs w:val="18"/>
          <w:color w:val="auto"/>
        </w:rPr>
      </w:pPr>
    </w:p>
    <w:p>
      <w:pPr>
        <w:ind w:left="1820" w:right="20" w:hanging="678"/>
        <w:spacing w:after="0" w:line="277" w:lineRule="auto"/>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caused by a customer after discovery by a director or officer of the Insured of an actual or potential loss of the type covered hereunder caused by that customer;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2" w:name="page23"/>
    <w:bookmarkEnd w:id="22"/>
    <w:p>
      <w:pPr>
        <w:ind w:left="1820" w:hanging="678"/>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loss resulting directly or indirectly from:</w:t>
      </w:r>
    </w:p>
    <w:p>
      <w:pPr>
        <w:spacing w:after="0" w:line="252" w:lineRule="exact"/>
        <w:rPr>
          <w:rFonts w:ascii="Arial" w:cs="Arial" w:eastAsia="Arial" w:hAnsi="Arial"/>
          <w:sz w:val="18"/>
          <w:szCs w:val="18"/>
          <w:color w:val="auto"/>
        </w:rPr>
      </w:pPr>
    </w:p>
    <w:p>
      <w:pPr>
        <w:jc w:val="both"/>
        <w:ind w:left="2400" w:hanging="569"/>
        <w:spacing w:after="0" w:line="312" w:lineRule="auto"/>
        <w:tabs>
          <w:tab w:leader="none" w:pos="24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riot or civil commotion outside any country in which the Insured has an office which is permanently staffed by an Employee, or loss due to war or insurrection, except for loss of Property in transit, if when such transit was initiated, there was no knowledge of such riot, civil commotion, war or insurrection on the part of the Insured in initiating such transit;</w:t>
      </w:r>
    </w:p>
    <w:p>
      <w:pPr>
        <w:spacing w:after="0" w:line="173" w:lineRule="exact"/>
        <w:rPr>
          <w:rFonts w:ascii="Arial" w:cs="Arial" w:eastAsia="Arial" w:hAnsi="Arial"/>
          <w:sz w:val="16"/>
          <w:szCs w:val="16"/>
          <w:color w:val="auto"/>
        </w:rPr>
      </w:pPr>
    </w:p>
    <w:p>
      <w:pPr>
        <w:ind w:left="2400" w:hanging="569"/>
        <w:spacing w:after="0"/>
        <w:tabs>
          <w:tab w:leader="none" w:pos="24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effect of nuclear fission or fusion or radioactivity;</w:t>
      </w:r>
    </w:p>
    <w:p>
      <w:pPr>
        <w:spacing w:after="0" w:line="252" w:lineRule="exact"/>
        <w:rPr>
          <w:rFonts w:ascii="Arial" w:cs="Arial" w:eastAsia="Arial" w:hAnsi="Arial"/>
          <w:sz w:val="18"/>
          <w:szCs w:val="18"/>
          <w:color w:val="auto"/>
        </w:rPr>
      </w:pPr>
    </w:p>
    <w:p>
      <w:pPr>
        <w:jc w:val="both"/>
        <w:ind w:left="2400" w:hanging="569"/>
        <w:spacing w:after="0" w:line="264" w:lineRule="auto"/>
        <w:tabs>
          <w:tab w:leader="none" w:pos="24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event with respect to which notice has been given prior to the Effective Date set forth in Item 4. of the Declarations of this Investment Company Bond Coverage Part under any policy or bond providing the same or similar coverage to that afforded under this Investment Company Bond Coverage Part;</w:t>
      </w:r>
    </w:p>
    <w:p>
      <w:pPr>
        <w:spacing w:after="0" w:line="208" w:lineRule="exact"/>
        <w:rPr>
          <w:rFonts w:ascii="Arial" w:cs="Arial" w:eastAsia="Arial" w:hAnsi="Arial"/>
          <w:sz w:val="18"/>
          <w:szCs w:val="18"/>
          <w:color w:val="auto"/>
        </w:rPr>
      </w:pPr>
    </w:p>
    <w:p>
      <w:pPr>
        <w:ind w:left="2400" w:hanging="569"/>
        <w:spacing w:after="0" w:line="277" w:lineRule="auto"/>
        <w:tabs>
          <w:tab w:leader="none" w:pos="24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event which is not discovered during the Policy Period, and not reported in the form and substance provided in Subsection 6. of the General Conditions and Limitations of this Policy;</w:t>
      </w:r>
    </w:p>
    <w:p>
      <w:pPr>
        <w:spacing w:after="0" w:line="197" w:lineRule="exact"/>
        <w:rPr>
          <w:rFonts w:ascii="Arial" w:cs="Arial" w:eastAsia="Arial" w:hAnsi="Arial"/>
          <w:sz w:val="18"/>
          <w:szCs w:val="18"/>
          <w:color w:val="auto"/>
        </w:rPr>
      </w:pPr>
    </w:p>
    <w:p>
      <w:pPr>
        <w:ind w:left="2400" w:right="20" w:hanging="569"/>
        <w:spacing w:after="0" w:line="277" w:lineRule="auto"/>
        <w:tabs>
          <w:tab w:leader="none" w:pos="24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circumstances or occurrences known to any Executive Officer or the Company’s risk manager prior to the inception of this Investment Company Bond Coverage Part;</w:t>
      </w:r>
    </w:p>
    <w:p>
      <w:pPr>
        <w:spacing w:after="0" w:line="197"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which could have been recovered, but was not recovered, due to the failure of the Insured to pursue reasonable efforts to make recovery from persons responsible for causing it;</w:t>
      </w:r>
    </w:p>
    <w:p>
      <w:pPr>
        <w:spacing w:after="0" w:line="197"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Investment Company Bond Coverage Part;</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of use of funds or Property;</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w:t>
      </w:r>
    </w:p>
    <w:p>
      <w:pPr>
        <w:spacing w:after="0" w:line="252" w:lineRule="exact"/>
        <w:rPr>
          <w:rFonts w:ascii="Arial" w:cs="Arial" w:eastAsia="Arial" w:hAnsi="Arial"/>
          <w:sz w:val="18"/>
          <w:szCs w:val="18"/>
          <w:color w:val="auto"/>
        </w:rPr>
      </w:pPr>
    </w:p>
    <w:p>
      <w:pPr>
        <w:ind w:left="1820" w:hanging="678"/>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insolvency of another financial or depository institution.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Exclusions Applicable to Insuring Clause A. Only</w:t>
      </w:r>
    </w:p>
    <w:p>
      <w:pPr>
        <w:spacing w:after="0" w:line="252" w:lineRule="exact"/>
        <w:rPr>
          <w:sz w:val="20"/>
          <w:szCs w:val="20"/>
          <w:color w:val="auto"/>
        </w:rPr>
      </w:pPr>
    </w:p>
    <w:p>
      <w:pPr>
        <w:ind w:left="1820" w:hanging="678"/>
        <w:spacing w:after="0"/>
        <w:tabs>
          <w:tab w:leader="none" w:pos="18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Insuring Clause A. does not apply to loss resulting directly or indirectly from:</w:t>
      </w:r>
    </w:p>
    <w:p>
      <w:pPr>
        <w:spacing w:after="0" w:line="252" w:lineRule="exact"/>
        <w:rPr>
          <w:rFonts w:ascii="Arial" w:cs="Arial" w:eastAsia="Arial" w:hAnsi="Arial"/>
          <w:sz w:val="18"/>
          <w:szCs w:val="18"/>
          <w:color w:val="auto"/>
        </w:rPr>
      </w:pPr>
    </w:p>
    <w:p>
      <w:pPr>
        <w:jc w:val="both"/>
        <w:ind w:left="2400" w:hanging="569"/>
        <w:spacing w:after="0" w:line="259" w:lineRule="auto"/>
        <w:tabs>
          <w:tab w:leader="none" w:pos="24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acts of any Employee which are committed after any director or officer of the Insured, not in collusion with the Employee, learns of any dishonest or fraudulent act committed by the Employee, whether in the employment of the Insured or otherwise, and whether or not of the type covered under this Insuring Clause, unless the acts occurred prior to the Employee’s employment with the Insured and involved a loss of less than $10,000; or</w:t>
      </w:r>
    </w:p>
    <w:p>
      <w:pPr>
        <w:spacing w:after="0" w:line="213" w:lineRule="exact"/>
        <w:rPr>
          <w:rFonts w:ascii="Arial" w:cs="Arial" w:eastAsia="Arial" w:hAnsi="Arial"/>
          <w:sz w:val="18"/>
          <w:szCs w:val="18"/>
          <w:color w:val="auto"/>
        </w:rPr>
      </w:pPr>
    </w:p>
    <w:p>
      <w:pPr>
        <w:ind w:left="2400" w:hanging="569"/>
        <w:spacing w:after="0" w:line="277" w:lineRule="auto"/>
        <w:tabs>
          <w:tab w:leader="none" w:pos="24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or from the Insured, including the acquisition of false or genuine accounts, invoices, notes or agreement;</w:t>
      </w:r>
    </w:p>
    <w:p>
      <w:pPr>
        <w:spacing w:after="0" w:line="197" w:lineRule="exact"/>
        <w:rPr>
          <w:rFonts w:ascii="Arial" w:cs="Arial" w:eastAsia="Arial" w:hAnsi="Arial"/>
          <w:sz w:val="18"/>
          <w:szCs w:val="18"/>
          <w:color w:val="auto"/>
        </w:rPr>
      </w:pPr>
    </w:p>
    <w:p>
      <w:pPr>
        <w:ind w:left="1820" w:hanging="678"/>
        <w:spacing w:after="0"/>
        <w:tabs>
          <w:tab w:leader="none" w:pos="18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Insuring Clause A. does not apply to loss covered under Insuring Clause B.</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Exclusions Applicable to Insuring Clause B. Only</w:t>
      </w:r>
    </w:p>
    <w:p>
      <w:pPr>
        <w:spacing w:after="0" w:line="225" w:lineRule="exact"/>
        <w:rPr>
          <w:rFonts w:ascii="Arial" w:cs="Arial" w:eastAsia="Arial" w:hAnsi="Arial"/>
          <w:sz w:val="18"/>
          <w:szCs w:val="18"/>
          <w:color w:val="auto"/>
        </w:rPr>
      </w:pPr>
    </w:p>
    <w:p>
      <w:pPr>
        <w:jc w:val="both"/>
        <w:ind w:left="1140"/>
        <w:spacing w:after="0" w:line="259" w:lineRule="auto"/>
        <w:rPr>
          <w:rFonts w:ascii="Arial" w:cs="Arial" w:eastAsia="Arial" w:hAnsi="Arial"/>
          <w:sz w:val="18"/>
          <w:szCs w:val="18"/>
          <w:color w:val="auto"/>
        </w:rPr>
      </w:pPr>
      <w:r>
        <w:rPr>
          <w:rFonts w:ascii="Arial" w:cs="Arial" w:eastAsia="Arial" w:hAnsi="Arial"/>
          <w:sz w:val="18"/>
          <w:szCs w:val="18"/>
          <w:color w:val="auto"/>
        </w:rPr>
        <w:t>Insuring Clause B. does not apply to loss resulting directly or indirectly from acts of any Employee which are committed after any director or officer of the Insured, not in collusion with the Employee, learns of any dishonest or fraudulent act committed by the Employee, whether in the employment of the Insured or otherwise, and whether or not of the type covered under this Insuring Clause, unless the acts occurred prior to the Employee’s employment with the Insured and involved a loss of less than $10,000.</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3" w:name="page24"/>
    <w:bookmarkEnd w:id="23"/>
    <w:p>
      <w:pPr>
        <w:ind w:left="920" w:right="6920" w:hanging="466"/>
        <w:spacing w:after="0" w:line="547" w:lineRule="auto"/>
        <w:tabs>
          <w:tab w:leader="none" w:pos="898"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 Applicable to Insuring Clause C. Only Insuring Clause C. does not apply to loss:</w:t>
      </w: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of Property while in customers’ safe deposit boxes;</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of Property surrendered away from an office or premises of the Insured as a result of a threat:</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do damage to the offices, premises or property of the Insured.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of Property lost while in the mail;</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of Electronic Data Processing Media or Electronic Data lost in transit other than by armored motor vehicle;</w:t>
      </w:r>
    </w:p>
    <w:p>
      <w:pPr>
        <w:spacing w:after="0" w:line="252"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of personal property not specifically enumerated in the definition of Property, for which the Insured is legally liable if the Insured has any other insurance, regardless of amount, under which the property is covered; and in all events after 60 days from the date the Insured became legally liable for the property; or</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resulting directly or indirectly from:</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forgery, alteration or counterfeiting;</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erroneous credits to a depositor’s account, unless payment or withdrawal is physically received by the depositor or representative of the depositor who is within the office of the Insured at the time of the payment or withdrawal;</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items of deposit which are not finally paid for any reason, including but not limited to forgery or any other fraud;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Electronic Communications or telephonic communications; or</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or from the Insured, including the acquisition of false or genuine accounts, invoices, notes or agreements;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Exclusions Applicable to Insuring Clause D.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D. does not apply to loss resulting directly or indirectly from:</w:t>
      </w:r>
    </w:p>
    <w:p>
      <w:pPr>
        <w:spacing w:after="0" w:line="252" w:lineRule="exact"/>
        <w:rPr>
          <w:sz w:val="20"/>
          <w:szCs w:val="20"/>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document presented as a copy;</w:t>
      </w:r>
    </w:p>
    <w:p>
      <w:pPr>
        <w:spacing w:after="0" w:line="252"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items of deposit which are not finally paid, or for which provisional credit it is otherwise properly revoked, for any reason, including but not limited to forgery or any other fraud;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fraudulent entry of Data into, or change, modification, or destruction of data elements or programs within a Computer System operated or used by the Insured.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Exclusion Applicable to Insuring Clause E.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E. does not apply to loss resulting directly or indirectly from any document presented as a copy.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4" w:name="page25"/>
    <w:bookmarkEnd w:id="24"/>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 Applicable to Insuring Clause F.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F. does not apply to loss resulting directly or indirectly from:</w:t>
      </w:r>
    </w:p>
    <w:p>
      <w:pPr>
        <w:spacing w:after="0" w:line="252" w:lineRule="exact"/>
        <w:rPr>
          <w:sz w:val="20"/>
          <w:szCs w:val="20"/>
          <w:color w:val="auto"/>
        </w:rPr>
      </w:pPr>
    </w:p>
    <w:p>
      <w:pPr>
        <w:ind w:left="1480" w:right="20" w:hanging="567"/>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a Servicing Contractor, including “warehousing” of mortgage loans, whether procured in good faith or through fraud or false pretenses;</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of any Servicing Contractor to collect or receive Money for the account of the Insured, notwithstanding any agreement between the Servicing Contractor and the Insured; or</w:t>
      </w:r>
    </w:p>
    <w:p>
      <w:pPr>
        <w:spacing w:after="0" w:line="197"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to remit Money collected or received for the account of the Insured by any Servicing Contractor unless the Servicing Contractor is legally liable to the Insured for loss of the Money.</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Exclusions Applicable to Insuring Clause G.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G. does not apply to loss resulting directly or indirectly from:</w:t>
      </w:r>
    </w:p>
    <w:p>
      <w:pPr>
        <w:spacing w:after="0" w:line="252" w:lineRule="exact"/>
        <w:rPr>
          <w:sz w:val="20"/>
          <w:szCs w:val="20"/>
          <w:color w:val="auto"/>
        </w:rPr>
      </w:pPr>
    </w:p>
    <w:p>
      <w:pPr>
        <w:ind w:left="14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liability assumed by the Insured under any contract unless such liability would have attached to the Insured in the absence of such agreement;</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threat to do bodily harm to any person, or to do damage to the premises or property of the Insured;</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forged, altered or fraudulent Financial Documents used as source documentation in the preparation of Electronic Data or manually keyed in a Communication Terminal;</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Documents except as converted to Electronic Data and then only in such converted form;</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resulting directly or indirectly from the accessing of any confidential information, including but not limited to trade secret information, computer programs or customer information;</w:t>
      </w:r>
    </w:p>
    <w:p>
      <w:pPr>
        <w:spacing w:after="0" w:line="197"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resulting from mechanical failure, faulty construction, error in design, latent defect, wear or tear, gradual deterioration, electrical disturbance, Electronic Data Processing Media failure or breakdown, any malfunction or error in programming, or errors or omissions in processing;</w:t>
      </w:r>
    </w:p>
    <w:p>
      <w:pPr>
        <w:spacing w:after="0" w:line="208"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input of Electronic Data at an authorized terminal of an electronic funds transfer system or a customer communication system by a customer or other person who had authorized access to the customer’s authentication mechanism;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fraudulent features contained in Electronic Computer Instructions developed for sale to, or that are sold to, multiple customers at the time of their acquisition from a vendor or consultant.</w:t>
      </w:r>
    </w:p>
    <w:p>
      <w:pPr>
        <w:spacing w:after="0" w:line="19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Exclusion Applicable to Insuring Clause J. Only</w:t>
      </w:r>
    </w:p>
    <w:p>
      <w:pPr>
        <w:spacing w:after="0" w:line="225"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Insuring Clause J. does not apply to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OTHER CONDITIONS</w:t>
      </w:r>
    </w:p>
    <w:p>
      <w:pPr>
        <w:spacing w:after="0" w:line="25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DISCOVERY</w:t>
      </w:r>
    </w:p>
    <w:p>
      <w:pPr>
        <w:spacing w:after="0" w:line="225"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This Investment Company Bond Coverage Part applies to loss discovered by the Insured during the Policy Period. Discovery occurs when any Executive Officer or the Company’s risk manager first becomes aware of facts which would cause a reasonable person to assume that a loss of a type covered by this Investment Company Bond Coverage Part has been or will be incurred, regardless of when the acts or acts causing or contributing to such loss occurred, even though the exact amount or details of loss may not then be known.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5" w:name="page26"/>
    <w:bookmarkEnd w:id="25"/>
    <w:p>
      <w:pPr>
        <w:jc w:val="both"/>
        <w:ind w:lef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Discovery also occurs when any Executive Officer or the Company’s risk manager receives notice of an actual or potential claim in which it is alleged that the Insured is liable to a third party under circumstances which, if true, would constitute a Loss under this Investment Company Bond Coverage Part.</w:t>
      </w:r>
    </w:p>
    <w:p>
      <w:pPr>
        <w:spacing w:after="0" w:line="208"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jc w:val="both"/>
        <w:ind w:left="920"/>
        <w:spacing w:after="0" w:line="276" w:lineRule="auto"/>
        <w:rPr>
          <w:sz w:val="20"/>
          <w:szCs w:val="20"/>
          <w:color w:val="auto"/>
        </w:rPr>
      </w:pPr>
      <w:r>
        <w:rPr>
          <w:rFonts w:ascii="Arial" w:cs="Arial" w:eastAsia="Arial" w:hAnsi="Arial"/>
          <w:sz w:val="17"/>
          <w:szCs w:val="17"/>
          <w:color w:val="auto"/>
        </w:rPr>
        <w:t xml:space="preserve">With respect to this Investment Company Bond Coverage Part only, and notwithstanding anything to the contrary in General Condition and Limitation No. 5 of this Policy, the payment of any loss under this Investment Company Bond Coverage Part shall not reduce the liability of the Insurer for other losses covered under this Investment Company Bond Coverage Part. If a single aggregate Limit of Liability for all Coverage Parts is granted as provided in Item 3(A) of the Declarations of this Policy, the payment of loss under this Investment Company Bond Coverage Part shall reduce the liability of the Insurer for losses covered under any </w:t>
      </w:r>
      <w:r>
        <w:rPr>
          <w:rFonts w:ascii="Arial" w:cs="Arial" w:eastAsia="Arial" w:hAnsi="Arial"/>
          <w:sz w:val="17"/>
          <w:szCs w:val="17"/>
          <w:b w:val="1"/>
          <w:bCs w:val="1"/>
          <w:color w:val="auto"/>
        </w:rPr>
        <w:t>Liability Coverage Parts</w:t>
      </w:r>
      <w:r>
        <w:rPr>
          <w:rFonts w:ascii="Arial" w:cs="Arial" w:eastAsia="Arial" w:hAnsi="Arial"/>
          <w:sz w:val="17"/>
          <w:szCs w:val="17"/>
          <w:color w:val="auto"/>
        </w:rPr>
        <w:t>.</w:t>
      </w:r>
    </w:p>
    <w:p>
      <w:pPr>
        <w:spacing w:after="0" w:line="169" w:lineRule="exact"/>
        <w:rPr>
          <w:sz w:val="20"/>
          <w:szCs w:val="20"/>
          <w:color w:val="auto"/>
        </w:rPr>
      </w:pPr>
    </w:p>
    <w:p>
      <w:pPr>
        <w:jc w:val="both"/>
        <w:ind w:left="920"/>
        <w:spacing w:after="0" w:line="266" w:lineRule="auto"/>
        <w:rPr>
          <w:sz w:val="20"/>
          <w:szCs w:val="20"/>
          <w:color w:val="auto"/>
        </w:rPr>
      </w:pPr>
      <w:r>
        <w:rPr>
          <w:rFonts w:ascii="Arial" w:cs="Arial" w:eastAsia="Arial" w:hAnsi="Arial"/>
          <w:sz w:val="18"/>
          <w:szCs w:val="18"/>
          <w:color w:val="auto"/>
        </w:rPr>
        <w:t xml:space="preserve">The most the Insurer will pay for loss resulting from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the applicable Limit of Liability shown in Item 3 of the Declarations; provided, however, that regardless of the number of years this Investment Company Bond Coverage Part remains in force or the number of premiums paid, no Limit of Liability cumulates from year to year or period to period.</w:t>
      </w:r>
    </w:p>
    <w:p>
      <w:pPr>
        <w:spacing w:after="0" w:line="207"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SINGLE LOSS COVERED BY SINGLE INSURING CLAUSE</w:t>
      </w:r>
    </w:p>
    <w:p>
      <w:pPr>
        <w:spacing w:after="0" w:line="221" w:lineRule="exact"/>
        <w:rPr>
          <w:sz w:val="20"/>
          <w:szCs w:val="20"/>
          <w:color w:val="auto"/>
        </w:rPr>
      </w:pPr>
    </w:p>
    <w:p>
      <w:pPr>
        <w:jc w:val="both"/>
        <w:ind w:left="920"/>
        <w:spacing w:after="0" w:line="314" w:lineRule="auto"/>
        <w:rPr>
          <w:sz w:val="20"/>
          <w:szCs w:val="20"/>
          <w:color w:val="auto"/>
        </w:rPr>
      </w:pPr>
      <w:r>
        <w:rPr>
          <w:rFonts w:ascii="Arial" w:cs="Arial" w:eastAsia="Arial" w:hAnsi="Arial"/>
          <w:sz w:val="16"/>
          <w:szCs w:val="16"/>
          <w:color w:val="auto"/>
        </w:rPr>
        <w:t xml:space="preserve">The Insurer will pay for loss resulting from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under only a single Insuring Clause. If two or more Insuring Clauses of this Investment Company Bond Coverage Part apply to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may elect the Insuring Clause under which it will seek coverage. In no event will the Insurer pay more than the applicable Limit of Liability under the applicable Insuring Clause in respect of such </w:t>
      </w:r>
      <w:r>
        <w:rPr>
          <w:rFonts w:ascii="Arial" w:cs="Arial" w:eastAsia="Arial" w:hAnsi="Arial"/>
          <w:sz w:val="16"/>
          <w:szCs w:val="16"/>
          <w:b w:val="1"/>
          <w:bCs w:val="1"/>
          <w:color w:val="auto"/>
        </w:rPr>
        <w:t>Single Loss</w:t>
      </w:r>
      <w:r>
        <w:rPr>
          <w:rFonts w:ascii="Arial" w:cs="Arial" w:eastAsia="Arial" w:hAnsi="Arial"/>
          <w:sz w:val="16"/>
          <w:szCs w:val="16"/>
          <w:color w:val="auto"/>
        </w:rPr>
        <w:t>.</w:t>
      </w:r>
    </w:p>
    <w:p>
      <w:pPr>
        <w:spacing w:after="0" w:line="173"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DEDUCTIBLE</w:t>
      </w:r>
    </w:p>
    <w:p>
      <w:pPr>
        <w:spacing w:after="0" w:line="221" w:lineRule="exact"/>
        <w:rPr>
          <w:sz w:val="20"/>
          <w:szCs w:val="20"/>
          <w:color w:val="auto"/>
        </w:rPr>
      </w:pPr>
    </w:p>
    <w:p>
      <w:pPr>
        <w:jc w:val="both"/>
        <w:ind w:left="920"/>
        <w:spacing w:after="0" w:line="266" w:lineRule="auto"/>
        <w:rPr>
          <w:sz w:val="20"/>
          <w:szCs w:val="20"/>
          <w:color w:val="auto"/>
        </w:rPr>
      </w:pPr>
      <w:r>
        <w:rPr>
          <w:rFonts w:ascii="Arial" w:cs="Arial" w:eastAsia="Arial" w:hAnsi="Arial"/>
          <w:sz w:val="18"/>
          <w:szCs w:val="18"/>
          <w:color w:val="auto"/>
        </w:rPr>
        <w:t xml:space="preserve">The Insurer will not pay for loss resulting from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unless the amount of such loss exceeds the applicable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deductible shown in Item 2 of the Declarations. The Insurer will then pay the amount in excess of such deductible, subject to the applicable Limit of Liability.</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There shall be no deductible applicable to any loss under Insuring Clause A. sustained by any Investment Company named as Insured herein.</w:t>
      </w:r>
    </w:p>
    <w:p>
      <w:pPr>
        <w:spacing w:after="0" w:line="275"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NOTICE/PROOF-LEGAL PROCEEDINGS AGAINST THE INSURER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Within six (6) months after such discovery, the Insured shall furnish to the Insurer proof of loss, duly sworn to, with full particulars;</w:t>
      </w:r>
    </w:p>
    <w:p>
      <w:pPr>
        <w:spacing w:after="0" w:line="263"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if such securities were issued therewith;</w:t>
      </w:r>
    </w:p>
    <w:p>
      <w:pPr>
        <w:spacing w:after="0" w:line="197" w:lineRule="exact"/>
        <w:rPr>
          <w:rFonts w:ascii="Arial" w:cs="Arial" w:eastAsia="Arial" w:hAnsi="Arial"/>
          <w:sz w:val="18"/>
          <w:szCs w:val="18"/>
          <w:color w:val="auto"/>
        </w:rPr>
      </w:pPr>
    </w:p>
    <w:p>
      <w:pPr>
        <w:ind w:left="1480" w:hanging="567"/>
        <w:spacing w:after="0" w:line="308"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Legal proceedings for the recovery of any Loss hereunder shall not be brought prior to the expiration of sixty (60) days after the original proof of loss is filed with the Insurer or after the expiration of twenty-four (24) months from the discovery of such Loss;</w:t>
      </w:r>
    </w:p>
    <w:p>
      <w:pPr>
        <w:spacing w:after="0" w:line="173"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any limitation embodied in this Investment Company Bond Coverage Part is prohibited by any law controlling the construction hereof, such limitation shall be deemed to be amended so as to equal the minimum period of limitation provided by such law;</w:t>
      </w:r>
    </w:p>
    <w:p>
      <w:pPr>
        <w:spacing w:after="0" w:line="173"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Investment Company Bond Coverage Part affords coverage only in favor of the Insured. No suit, action or legal proceedings shall be brought hereunder by any one other than the named Insured.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6" w:name="page27"/>
    <w:bookmarkEnd w:id="26"/>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Money</w:t>
      </w:r>
    </w:p>
    <w:p>
      <w:pPr>
        <w:spacing w:after="0" w:line="225" w:lineRule="exact"/>
        <w:rPr>
          <w:rFonts w:ascii="Arial" w:cs="Arial" w:eastAsia="Arial" w:hAnsi="Arial"/>
          <w:sz w:val="18"/>
          <w:szCs w:val="18"/>
          <w:color w:val="auto"/>
        </w:rPr>
      </w:pPr>
    </w:p>
    <w:p>
      <w:pPr>
        <w:jc w:val="both"/>
        <w:ind w:left="1500"/>
        <w:spacing w:after="0" w:line="264" w:lineRule="auto"/>
        <w:rPr>
          <w:rFonts w:ascii="Arial" w:cs="Arial" w:eastAsia="Arial" w:hAnsi="Arial"/>
          <w:sz w:val="18"/>
          <w:szCs w:val="18"/>
          <w:color w:val="auto"/>
        </w:rPr>
      </w:pPr>
      <w:r>
        <w:rPr>
          <w:rFonts w:ascii="Arial" w:cs="Arial" w:eastAsia="Arial" w:hAnsi="Arial"/>
          <w:sz w:val="18"/>
          <w:szCs w:val="18"/>
          <w:color w:val="auto"/>
        </w:rPr>
        <w:t>Any loss of Money, or loss payable in Money, shall be paid, at the option of the Insured, in the Money of the country in which the loss was sustained or in the United States of America dollar equivalent thereof determined at the rate of exchange as of 12:01 a.m. on the date of discovery of the loss.</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Electronic Data Processing Media</w:t>
      </w:r>
    </w:p>
    <w:p>
      <w:pPr>
        <w:spacing w:after="0" w:line="225" w:lineRule="exact"/>
        <w:rPr>
          <w:rFonts w:ascii="Arial" w:cs="Arial" w:eastAsia="Arial" w:hAnsi="Arial"/>
          <w:sz w:val="18"/>
          <w:szCs w:val="18"/>
          <w:color w:val="auto"/>
        </w:rPr>
      </w:pPr>
    </w:p>
    <w:p>
      <w:pPr>
        <w:jc w:val="both"/>
        <w:ind w:left="1500"/>
        <w:spacing w:after="0" w:line="279" w:lineRule="auto"/>
        <w:rPr>
          <w:rFonts w:ascii="Arial" w:cs="Arial" w:eastAsia="Arial" w:hAnsi="Arial"/>
          <w:sz w:val="18"/>
          <w:szCs w:val="18"/>
          <w:color w:val="auto"/>
        </w:rPr>
      </w:pPr>
      <w:r>
        <w:rPr>
          <w:rFonts w:ascii="Arial" w:cs="Arial" w:eastAsia="Arial" w:hAnsi="Arial"/>
          <w:sz w:val="17"/>
          <w:szCs w:val="17"/>
          <w:color w:val="auto"/>
        </w:rPr>
        <w:t>In case of loss of, or damage to Electronic Data Processing Media used by the Insured in its business, the Insurer shall be liable only if such items are actually reproduced by other Electronic Data Processing Media of the same kind or quality and then for not more than the cost of the blank media plus the cost of labor for the actual transcription or copying of data which shall have been furnished by the Insured in order to reproduce such Electronic Data Processing Media, subject to the applicable Limit of Liability.</w:t>
      </w:r>
    </w:p>
    <w:p>
      <w:pPr>
        <w:spacing w:after="0" w:line="198"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225" w:lineRule="exact"/>
        <w:rPr>
          <w:rFonts w:ascii="Arial" w:cs="Arial" w:eastAsia="Arial" w:hAnsi="Arial"/>
          <w:sz w:val="18"/>
          <w:szCs w:val="18"/>
          <w:color w:val="auto"/>
        </w:rPr>
      </w:pPr>
    </w:p>
    <w:p>
      <w:pPr>
        <w:jc w:val="both"/>
        <w:ind w:left="150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Insurer shall be liable only if such books or record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13"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Property other than Money, Securities, Records, or Media</w:t>
      </w:r>
    </w:p>
    <w:p>
      <w:pPr>
        <w:spacing w:after="0" w:line="225" w:lineRule="exact"/>
        <w:rPr>
          <w:rFonts w:ascii="Arial" w:cs="Arial" w:eastAsia="Arial" w:hAnsi="Arial"/>
          <w:sz w:val="18"/>
          <w:szCs w:val="18"/>
          <w:color w:val="auto"/>
        </w:rPr>
      </w:pPr>
    </w:p>
    <w:p>
      <w:pPr>
        <w:jc w:val="both"/>
        <w:ind w:left="1500"/>
        <w:spacing w:after="0" w:line="279" w:lineRule="auto"/>
        <w:rPr>
          <w:rFonts w:ascii="Arial" w:cs="Arial" w:eastAsia="Arial" w:hAnsi="Arial"/>
          <w:sz w:val="18"/>
          <w:szCs w:val="18"/>
          <w:color w:val="auto"/>
        </w:rPr>
      </w:pPr>
      <w:r>
        <w:rPr>
          <w:rFonts w:ascii="Arial" w:cs="Arial" w:eastAsia="Arial" w:hAnsi="Arial"/>
          <w:sz w:val="17"/>
          <w:szCs w:val="17"/>
          <w:color w:val="auto"/>
        </w:rPr>
        <w:t>In case of loss of, or damage to, any Property other than Money, securities, books of account or other records or Electronic Data Processing Media, the Insurer shall not be liable for more than the actual cash value, with proper deduction for depreciation, of such Property. The Insurer may, at its election, pay the actual cash value of, replace or repair such property. Disagreement between the Insurer and the Insured as to the cash value or as to the adequacy of repair or replacement shall be resolved by arbitration.</w:t>
      </w:r>
    </w:p>
    <w:p>
      <w:pPr>
        <w:spacing w:after="0" w:line="198"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Electronic Data</w:t>
      </w:r>
    </w:p>
    <w:p>
      <w:pPr>
        <w:spacing w:after="0" w:line="225" w:lineRule="exact"/>
        <w:rPr>
          <w:rFonts w:ascii="Arial" w:cs="Arial" w:eastAsia="Arial" w:hAnsi="Arial"/>
          <w:sz w:val="18"/>
          <w:szCs w:val="18"/>
          <w:color w:val="auto"/>
        </w:rPr>
      </w:pPr>
    </w:p>
    <w:p>
      <w:pPr>
        <w:jc w:val="both"/>
        <w:ind w:left="1500"/>
        <w:spacing w:after="0" w:line="312" w:lineRule="auto"/>
        <w:rPr>
          <w:rFonts w:ascii="Arial" w:cs="Arial" w:eastAsia="Arial" w:hAnsi="Arial"/>
          <w:sz w:val="18"/>
          <w:szCs w:val="18"/>
          <w:color w:val="auto"/>
        </w:rPr>
      </w:pPr>
      <w:r>
        <w:rPr>
          <w:rFonts w:ascii="Arial" w:cs="Arial" w:eastAsia="Arial" w:hAnsi="Arial"/>
          <w:sz w:val="16"/>
          <w:szCs w:val="16"/>
          <w:color w:val="auto"/>
        </w:rPr>
        <w:t>In case of loss of Electronic Data the Insurer shall be liable under Insuring Clause C. of this Investment Company Bond Coverage Part only if such data is actually reproduced by other Electronic Data of the same kind or quality and then for not more than the cost of labor for the actual transcription or copying of data which shall have been furnished by the Insured in order to reproduce such Electronic Data.</w:t>
      </w:r>
    </w:p>
    <w:p>
      <w:pPr>
        <w:spacing w:after="0" w:line="146" w:lineRule="exact"/>
        <w:rPr>
          <w:rFonts w:ascii="Arial" w:cs="Arial" w:eastAsia="Arial" w:hAnsi="Arial"/>
          <w:sz w:val="18"/>
          <w:szCs w:val="18"/>
          <w:color w:val="auto"/>
        </w:rPr>
      </w:pPr>
    </w:p>
    <w:p>
      <w:pPr>
        <w:ind w:left="1500"/>
        <w:spacing w:after="0" w:line="277" w:lineRule="auto"/>
        <w:rPr>
          <w:rFonts w:ascii="Arial" w:cs="Arial" w:eastAsia="Arial" w:hAnsi="Arial"/>
          <w:sz w:val="18"/>
          <w:szCs w:val="18"/>
          <w:color w:val="auto"/>
        </w:rPr>
      </w:pPr>
      <w:r>
        <w:rPr>
          <w:rFonts w:ascii="Arial" w:cs="Arial" w:eastAsia="Arial" w:hAnsi="Arial"/>
          <w:sz w:val="18"/>
          <w:szCs w:val="18"/>
          <w:color w:val="auto"/>
        </w:rPr>
        <w:t>However, if such Electronic Data cannot be reproduced and said Electronic Data represents securities, or financial instruments having a value, then the loss will be valued as indicated in paragraph 5 of this Condition.</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Set-Off</w:t>
      </w:r>
    </w:p>
    <w:p>
      <w:pPr>
        <w:spacing w:after="0" w:line="225" w:lineRule="exact"/>
        <w:rPr>
          <w:rFonts w:ascii="Arial" w:cs="Arial" w:eastAsia="Arial" w:hAnsi="Arial"/>
          <w:sz w:val="18"/>
          <w:szCs w:val="18"/>
          <w:color w:val="auto"/>
        </w:rPr>
      </w:pPr>
    </w:p>
    <w:p>
      <w:pPr>
        <w:jc w:val="both"/>
        <w:ind w:left="1500"/>
        <w:spacing w:after="0" w:line="257" w:lineRule="auto"/>
        <w:rPr>
          <w:rFonts w:ascii="Arial" w:cs="Arial" w:eastAsia="Arial" w:hAnsi="Arial"/>
          <w:sz w:val="18"/>
          <w:szCs w:val="18"/>
          <w:color w:val="auto"/>
        </w:rPr>
      </w:pPr>
      <w:r>
        <w:rPr>
          <w:rFonts w:ascii="Arial" w:cs="Arial" w:eastAsia="Arial" w:hAnsi="Arial"/>
          <w:sz w:val="18"/>
          <w:szCs w:val="18"/>
          <w:color w:val="auto"/>
        </w:rPr>
        <w:t>Any loss covered under this Investment Company Bond Coverage Part shall be reduced by all money and property received by the Insured from any source in connection with any matter from which a loss has arisen, including payment of principal, interest, dividends, commissions and the like, whenever and however paid. Any loss covered under this Investment Company Bond Coverage Part shall be reduced by a set-off consisting of any amount owed to the Employee (or to his or her assignee) causing the loss if such loss is covered under Insuring Clause A.</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7" w:name="page28"/>
    <w:bookmarkEnd w:id="27"/>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SETTLEMENT AND VALUATION</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the event of a loss of securities covered under Insuring Clause C. of this Investment Company Bond Coverage Part, the Insured shall, subject to the conditions stated below, first attempt to replace the lost securities by use of a letter of indemnity issued by it. In the event that it is unable to replace the lost securities by a letter of indemnity, the Insured shall, subject to the Insurer’s prior consent, secure a lost instrument bond for the purpose of obtaining the issuance of duplicate securities.</w:t>
      </w:r>
    </w:p>
    <w:p>
      <w:pPr>
        <w:spacing w:after="0" w:line="187" w:lineRule="exact"/>
        <w:rPr>
          <w:sz w:val="20"/>
          <w:szCs w:val="20"/>
          <w:color w:val="auto"/>
        </w:rPr>
      </w:pPr>
    </w:p>
    <w:p>
      <w:pPr>
        <w:jc w:val="both"/>
        <w:ind w:left="920"/>
        <w:spacing w:after="0" w:line="257" w:lineRule="auto"/>
        <w:rPr>
          <w:sz w:val="20"/>
          <w:szCs w:val="20"/>
          <w:color w:val="auto"/>
        </w:rPr>
      </w:pPr>
      <w:r>
        <w:rPr>
          <w:rFonts w:ascii="Arial" w:cs="Arial" w:eastAsia="Arial" w:hAnsi="Arial"/>
          <w:sz w:val="18"/>
          <w:szCs w:val="18"/>
          <w:color w:val="auto"/>
        </w:rPr>
        <w:t>It is further agreed that the Insurer will indemnify the Insured for such sum, in excess of the applicable Deductible stated in the Declarations, not exceeding the amount of the Single Loss Limit of Liability stated in the Declarations, remaining available for the payment of any loss at the time of the execution by the Insured of a letter of indemnity or the securing of the lost instrument bond, which the Insured may be required to pay either during the Policy Period or any time thereafter by reason of any indemnifying agreement executed by the Insured or delivered by the Insured to the company issuing the lost instrument bond.</w:t>
      </w:r>
    </w:p>
    <w:p>
      <w:pPr>
        <w:spacing w:after="0" w:line="188"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It is further agreed that the Insured shall bear the cost of obtaining such letter of indemnity or lost instrument bond for that portion of the loss which falls within the applicable Deductible or which is in excess of the Single Loss Limit of Liability remaining available for the payment of said loss.</w:t>
      </w:r>
    </w:p>
    <w:p>
      <w:pPr>
        <w:spacing w:after="0" w:line="18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Insurer shall bear the cost of obtaining such letter of indemnity or lost instrument bond for that loss which would be covered under Insuring Clause C. of this Investment Company Bond Coverage Part and which exceeds the Deductible and is within the Single Loss Limit of Liability remaining available for the payment of any loss.</w:t>
      </w:r>
    </w:p>
    <w:p>
      <w:pPr>
        <w:spacing w:after="0" w:line="181" w:lineRule="exact"/>
        <w:rPr>
          <w:sz w:val="20"/>
          <w:szCs w:val="20"/>
          <w:color w:val="auto"/>
        </w:rPr>
      </w:pPr>
    </w:p>
    <w:p>
      <w:pPr>
        <w:jc w:val="both"/>
        <w:ind w:left="920"/>
        <w:spacing w:after="0" w:line="297" w:lineRule="auto"/>
        <w:rPr>
          <w:sz w:val="20"/>
          <w:szCs w:val="20"/>
          <w:color w:val="auto"/>
        </w:rPr>
      </w:pPr>
      <w:r>
        <w:rPr>
          <w:rFonts w:ascii="Arial" w:cs="Arial" w:eastAsia="Arial" w:hAnsi="Arial"/>
          <w:sz w:val="16"/>
          <w:szCs w:val="16"/>
          <w:color w:val="auto"/>
        </w:rPr>
        <w:t>In the event the Insured sustains a loss of securities covered under Insuring Clause C. of this Investment Company Bond Coverage Part but the securities are valued at an amount in excess of the Single Loss Limit of Liability, the Insured may apply any portion of the applicable Single Loss Limit of Liability, up to an amount not to exceed 50% of that limit, to the purchase of a lost instrument bond under its own indemnity to replace some or all of those securities. In the event the Insured elects to do so, the Single Loss Limit of Liability shall be reduced by the amount used to purchase the lost instrument bond and the remainder of the Single Loss Limit of Liability shall be applied to settlement of loss.</w:t>
      </w:r>
    </w:p>
    <w:p>
      <w:pPr>
        <w:spacing w:after="0" w:line="158"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Any lost instrument bond purchased pursuant to this section will be purchased from the Insurer, or its affiliates, unless the Insurer and its affiliates decline to issue it.</w:t>
      </w:r>
    </w:p>
    <w:p>
      <w:pPr>
        <w:spacing w:after="0" w:line="170"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Under this Insuring Clause only, loss includes the value of subscription, conversion, redemption or deposit privileges for Financial Documents unless they are lost while in the mail or with a carrier for hire other than an armored motor vehicle company for the purpose of transportation. The privileges shall be valued as of the date immediately preceding the expiration thereof, as determined by arbitration or agreement.</w:t>
      </w:r>
    </w:p>
    <w:p>
      <w:pPr>
        <w:spacing w:after="0" w:line="14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Insurer is not required to issue its indemnity for any portion of a loss of securities which is not covered by this Investment Company Bond Coverage Part.</w:t>
      </w:r>
    </w:p>
    <w:p>
      <w:pPr>
        <w:spacing w:after="0" w:line="197"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ASSIGNMENT - SUBROGATION - RECOVERY – COOPERATION</w:t>
      </w:r>
    </w:p>
    <w:p>
      <w:pPr>
        <w:spacing w:after="0" w:line="252"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payment under this Investment Company Bond Coverage Part, the Insured shall deliver, if so requested by the Insurer, an assignment of such of the Insured’s rights, title and interest and causes of action as it has against any person or entity to the extent of the loss payment.</w:t>
      </w:r>
    </w:p>
    <w:p>
      <w:pPr>
        <w:spacing w:after="0" w:line="208"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payment under this Investment Company Bond Coverage Part, the Insurer shall be subrogated to all of the Insured’s rights of recovery therefor against any person or entity to the extent of such payment.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8" w:name="page29"/>
    <w:bookmarkEnd w:id="28"/>
    <w:p>
      <w:pPr>
        <w:jc w:val="both"/>
        <w:ind w:left="1480" w:hanging="567"/>
        <w:spacing w:after="0" w:line="297"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Recoveries, whether effected by the Insurer or by the Insured, shall be applied net of the expense of such recovery first to the satisfaction of the Insured’s loss which would otherwise have been paid but for the fact that it is in excess of either the Single Loss Limit of Liability, secondly, to the Insurer as reimbursement of amounts paid in settlement of the Insured’s claim, and thirdly, to the Insured in satisfaction of any Deductible Amount. Recovery on account of loss of securities as set forth in Subsection E. of the Conditions of this Investment Company Bond Coverage Part or recovery from reinsurance or indemnity of the Insurer shall not be deemed a recovery as used herein.</w:t>
      </w:r>
    </w:p>
    <w:p>
      <w:pPr>
        <w:spacing w:after="0" w:line="185" w:lineRule="exact"/>
        <w:rPr>
          <w:rFonts w:ascii="Arial" w:cs="Arial" w:eastAsia="Arial" w:hAnsi="Arial"/>
          <w:sz w:val="16"/>
          <w:szCs w:val="16"/>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Upon the Insurer’s request and at reasonable times and places designated by the Insurer the Insured shall:</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submit to examination by the Insurer and subscribe to the same under oath; and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produce for the Insurer’s examination all pertinent records; and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cooperate with the Insurer in all matters pertaining to the loss.</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the Insurer the rights and causes of action provided for herein. The Insured shall do nothing after discovery of loss to prejudice such rights or causes of action.</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OWNERSHIP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Investment Company Bond Coverage Part shall apply to loss of Property or Electronic Data Processing Media and Electronic Data</w:t>
      </w:r>
    </w:p>
    <w:p>
      <w:pPr>
        <w:spacing w:after="0" w:line="35" w:lineRule="exact"/>
        <w:rPr>
          <w:sz w:val="20"/>
          <w:szCs w:val="20"/>
          <w:color w:val="auto"/>
        </w:rPr>
      </w:pPr>
    </w:p>
    <w:p>
      <w:pPr>
        <w:ind w:left="460" w:right="2560" w:firstLine="461"/>
        <w:spacing w:after="0" w:line="508" w:lineRule="auto"/>
        <w:tabs>
          <w:tab w:leader="none" w:pos="1182" w:val="left"/>
        </w:tabs>
        <w:numPr>
          <w:ilvl w:val="1"/>
          <w:numId w:val="72"/>
        </w:numPr>
        <w:rPr>
          <w:rFonts w:ascii="Arial" w:cs="Arial" w:eastAsia="Arial" w:hAnsi="Arial"/>
          <w:sz w:val="18"/>
          <w:szCs w:val="18"/>
          <w:color w:val="auto"/>
        </w:rPr>
      </w:pPr>
      <w:r>
        <w:rPr>
          <w:rFonts w:ascii="Arial" w:cs="Arial" w:eastAsia="Arial" w:hAnsi="Arial"/>
          <w:sz w:val="18"/>
          <w:szCs w:val="18"/>
          <w:color w:val="auto"/>
        </w:rPr>
        <w:t>owned by the Insured, (2) held by the Insured in any capacity, or (3) for which the Insured is legally liable. J. TERMINATION OF THIS Investment Company Bond Coverage Part</w:t>
      </w:r>
    </w:p>
    <w:p>
      <w:pPr>
        <w:spacing w:after="0" w:line="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In addition to any termination pursuant to Subsection 12. of the General Conditions and Limitations of this Policy, this Investment Company Bond Coverage Part shall also terminate in its entirety:</w:t>
      </w:r>
    </w:p>
    <w:p>
      <w:pPr>
        <w:spacing w:after="0" w:line="197" w:lineRule="exact"/>
        <w:rPr>
          <w:sz w:val="20"/>
          <w:szCs w:val="20"/>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the voluntary liquidation or dissolution of the Parent Company;</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the appointment of (1) a receiver, trustee or other fiduciary of the property of the Parent Company, or (2) a committee for the dissolution thereof;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 to any Insured other than the Parent Company upon the appointment of (1) a receiver, trustee or other or fiduciary of the property of said Insured or (2) a committee for the dissolution thereof.</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ACTION AGAINST SERVICING CONTRACTOR, SERVICE BUREAU OR CUSTOMER</w:t>
      </w:r>
    </w:p>
    <w:p>
      <w:pPr>
        <w:spacing w:after="0" w:line="225" w:lineRule="exact"/>
        <w:rPr>
          <w:sz w:val="20"/>
          <w:szCs w:val="20"/>
          <w:color w:val="auto"/>
        </w:rPr>
      </w:pPr>
    </w:p>
    <w:p>
      <w:pPr>
        <w:jc w:val="both"/>
        <w:ind w:left="920"/>
        <w:spacing w:after="0" w:line="273" w:lineRule="auto"/>
        <w:rPr>
          <w:sz w:val="20"/>
          <w:szCs w:val="20"/>
          <w:color w:val="auto"/>
        </w:rPr>
      </w:pPr>
      <w:r>
        <w:rPr>
          <w:rFonts w:ascii="Arial" w:cs="Arial" w:eastAsia="Arial" w:hAnsi="Arial"/>
          <w:sz w:val="17"/>
          <w:szCs w:val="17"/>
          <w:color w:val="auto"/>
        </w:rPr>
        <w:t>This Investment Company Bond Coverage Part does not afford coverage in favor of any Servicing Contractor, Service Bureau or customers of aforesaid, and upon payment to the Insured by the Insurer on account of any loss through fraudulent or dishonest acts committed by any of the partners, directors, officers or employees of such Servicing Contractor, Service Bureau or customers whether acting alone or in collusion with others, an assignment of such of the Insured’s rights and causes of action as they may have against such Servicing Contractor, Service Bureau, or customers by reason of such acts so committed shall, to the extent of such payment, but given by the Insured to the Insurer, and the Insured shall execute all papers necessary to secure to the Insurer, the rights provided herein.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9" w:name="page30"/>
    <w:bookmarkEnd w:id="29"/>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OR CANCELLATION AS TO ANY EMPLOYEE, SERVICING CONTRACTOR OR SERVICE BUREAU</w:t>
      </w:r>
    </w:p>
    <w:p>
      <w:pPr>
        <w:spacing w:after="0" w:line="225" w:lineRule="exact"/>
        <w:rPr>
          <w:sz w:val="20"/>
          <w:szCs w:val="20"/>
          <w:color w:val="auto"/>
        </w:rPr>
      </w:pPr>
    </w:p>
    <w:p>
      <w:pPr>
        <w:jc w:val="both"/>
        <w:ind w:left="920"/>
        <w:spacing w:after="0" w:line="276" w:lineRule="auto"/>
        <w:rPr>
          <w:sz w:val="20"/>
          <w:szCs w:val="20"/>
          <w:color w:val="auto"/>
        </w:rPr>
      </w:pPr>
      <w:r>
        <w:rPr>
          <w:rFonts w:ascii="Arial" w:cs="Arial" w:eastAsia="Arial" w:hAnsi="Arial"/>
          <w:sz w:val="17"/>
          <w:szCs w:val="17"/>
          <w:color w:val="auto"/>
        </w:rPr>
        <w:t>This Investment Company Bond Coverage Part terminates as to any Employee or Servicing Contractor as soon as any Executive Officer or the Company’s risk manager learns of any dishonest or fraudulent act committed by such person at any time, whether in the employment of the Insured or otherwise, whether or not of the type covered under the Insuring Clauses A. or B., against the Insured or any other person or entity, without prejudice to the Loss of any Property then in transit in the custody of such person. Termination of coverage as to any Insured terminates liability for any Loss sustained by such Insured which is discovered after the effective date of such termination.</w:t>
      </w:r>
    </w:p>
    <w:p>
      <w:pPr>
        <w:spacing w:after="0" w:line="173"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This Investment Company Bond Coverage Part terminates as to any Service Bureau as soon as any Executive Officer or the Company’s risk manager, shall learn of any dishonest or fraudulent act committed by any partner, director, officer or employee of any such Service Bureau at any time against the Insured or any other person or entity, without prejudice to the Loss of any Property then in transit in the custody of such person.</w:t>
      </w:r>
    </w:p>
    <w:p>
      <w:pPr>
        <w:spacing w:after="0" w:line="17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ERISA WARRANTY</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Insurer warrants that the coverage afforded by this Investment Company Bond Coverage Part will be equal to that required of the Insured by regulations properly promulgated under the ERISA with respect to losses caused by fraudulent or dishonest acts of Employees and sustained by Employment Benefit Plans.</w:t>
      </w:r>
    </w:p>
    <w:p>
      <w:pPr>
        <w:spacing w:after="0" w:line="208"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CENTRAL HANDLING OF SECURITIES</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87" w:lineRule="exact"/>
        <w:rPr>
          <w:sz w:val="20"/>
          <w:szCs w:val="20"/>
          <w:color w:val="auto"/>
        </w:rPr>
      </w:pPr>
    </w:p>
    <w:p>
      <w:pPr>
        <w:jc w:val="both"/>
        <w:ind w:left="920"/>
        <w:spacing w:after="0" w:line="272" w:lineRule="auto"/>
        <w:rPr>
          <w:sz w:val="20"/>
          <w:szCs w:val="20"/>
          <w:color w:val="auto"/>
        </w:rPr>
      </w:pPr>
      <w:r>
        <w:rPr>
          <w:rFonts w:ascii="Arial" w:cs="Arial" w:eastAsia="Arial" w:hAnsi="Arial"/>
          <w:sz w:val="17"/>
          <w:szCs w:val="17"/>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Corporations on a contract basis.</w:t>
      </w:r>
    </w:p>
    <w:p>
      <w:pPr>
        <w:spacing w:after="0" w:line="178"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The Insurer shall not be liable on account of any loss (es) in connection with the central handling of securities within the systems established and maintained by such Corporations, unless such loss (es) shall be in excess of the amount(s) recoverable or recovered under any bond or policy of insurance indemnifying such Corporations, against such loss (es), and then the Insurer shall be liable hereunder only for the Insured’s share of such excess loss (es), but in no event for more than the Limit of Liability applicable hereunder.</w:t>
      </w:r>
    </w:p>
    <w:p>
      <w:pPr>
        <w:spacing w:after="0" w:line="171" w:lineRule="exact"/>
        <w:rPr>
          <w:sz w:val="20"/>
          <w:szCs w:val="20"/>
          <w:color w:val="auto"/>
        </w:rPr>
      </w:pPr>
    </w:p>
    <w:p>
      <w:pPr>
        <w:jc w:val="both"/>
        <w:ind w:left="920"/>
        <w:spacing w:after="0" w:line="290" w:lineRule="auto"/>
        <w:rPr>
          <w:sz w:val="20"/>
          <w:szCs w:val="20"/>
          <w:color w:val="auto"/>
        </w:rPr>
      </w:pPr>
      <w:r>
        <w:rPr>
          <w:rFonts w:ascii="Arial" w:cs="Arial" w:eastAsia="Arial" w:hAnsi="Arial"/>
          <w:sz w:val="16"/>
          <w:szCs w:val="16"/>
          <w:color w:val="auto"/>
        </w:rPr>
        <w:t>For the purpose of determining the Insured’s share of excess loss (es) it shall be deemed that the Insured has an interest in any certificate representing any security included within such systems equivalent to the interest that the Insured then has in all certificates representing the same security included within such systems and that such Corporations shall use their best judgment in apportioning the amount(s) recoverable and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30" w:name="page31"/>
    <w:bookmarkEnd w:id="30"/>
    <w:p>
      <w:pPr>
        <w:jc w:val="both"/>
        <w:ind w:left="9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Investment Company Bond Coverage Part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 (es) within the systems, an assignment of such of the Insured’s rights and causes of action as it may have against such Corporations or Exchanges shall to the extent of such payment, be given by the Insured to the Insurer, and the Insured shall execute all papers necessary to secure to the Insurer the rights provided for herein.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54875" cy="805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Floating Rate Capital LTD.</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1</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G23683167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1052830</wp:posOffset>
            </wp:positionV>
            <wp:extent cx="1929765"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9765" cy="42037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803910</wp:posOffset>
            </wp:positionV>
            <wp:extent cx="1749425" cy="668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20"/>
        <w:spacing w:after="0"/>
        <w:tabs>
          <w:tab w:leader="none" w:pos="722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795020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Authorized Representative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CC-1K11h (03/14)</w:t>
      </w:r>
    </w:p>
    <w:p>
      <w:pPr>
        <w:sectPr>
          <w:pgSz w:w="11900" w:h="16838" w:orient="portrait"/>
          <w:cols w:equalWidth="0" w:num="1">
            <w:col w:w="11440"/>
          </w:cols>
          <w:pgMar w:left="240" w:top="265"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Floating Rate Capital LTD.</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2</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G23683167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 CANCELLATION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12, Termination of Policy, is amended to add the following:</w:t>
      </w:r>
    </w:p>
    <w:p>
      <w:pPr>
        <w:spacing w:after="0" w:line="252" w:lineRule="exact"/>
        <w:rPr>
          <w:sz w:val="20"/>
          <w:szCs w:val="20"/>
          <w:color w:val="auto"/>
        </w:rPr>
      </w:pPr>
    </w:p>
    <w:p>
      <w:pPr>
        <w:ind w:left="460" w:right="40" w:hanging="452"/>
        <w:spacing w:after="0" w:line="308"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event of any modification or cancellation of the attached policy, the Insurer will mark its record to indicate that the Securities Exchange Commission (“SEC”) and the Parent Company shall be notified in writing 60 days prior to such modification or cancellation of the attached policy.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795020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Authorized Representative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MPP/ICBB (4/10)</w:t>
      </w:r>
    </w:p>
    <w:p>
      <w:pPr>
        <w:sectPr>
          <w:pgSz w:w="11900" w:h="16838" w:orient="portrait"/>
          <w:cols w:equalWidth="0" w:num="1">
            <w:col w:w="11440"/>
          </w:cols>
          <w:pgMar w:left="240" w:top="265"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Floating Rate Capital LTD.</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3</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G23683167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WAIVER OF APPLICATION ENDORSEMENT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following Clause is added to the POLICY:</w:t>
      </w:r>
    </w:p>
    <w:p>
      <w:pPr>
        <w:spacing w:after="0" w:line="333"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Any and all references to an APPLICATION in this POLICY shall also mean the application or proposal described below. The INSURER has relied upon all statements, warranties and other information and documents contained in or submitted with such other application or proposal as if they were submitted directly to INSURER using its own APPLICATION.</w:t>
      </w:r>
    </w:p>
    <w:p>
      <w:pPr>
        <w:sectPr>
          <w:pgSz w:w="11900" w:h="16838" w:orient="portrait"/>
          <w:cols w:equalWidth="0" w:num="1">
            <w:col w:w="11440"/>
          </w:cols>
          <w:pgMar w:left="240" w:top="265" w:right="219" w:bottom="1440" w:gutter="0" w:footer="0" w:header="0"/>
        </w:sectPr>
      </w:pPr>
    </w:p>
    <w:p>
      <w:pPr>
        <w:spacing w:after="0" w:line="33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Type of Application/Proposal:</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Investment Company Blanket Bond</w:t>
      </w:r>
    </w:p>
    <w:p>
      <w:pPr>
        <w:spacing w:after="0" w:line="200" w:lineRule="exact"/>
        <w:rPr>
          <w:sz w:val="20"/>
          <w:szCs w:val="20"/>
          <w:color w:val="auto"/>
        </w:rPr>
      </w:pPr>
    </w:p>
    <w:p>
      <w:pPr>
        <w:sectPr>
          <w:pgSz w:w="11900" w:h="16838" w:orient="portrait"/>
          <w:cols w:equalWidth="0" w:num="2">
            <w:col w:w="4400" w:space="720"/>
            <w:col w:w="6320"/>
          </w:cols>
          <w:pgMar w:left="240" w:top="265" w:right="219" w:bottom="1440" w:gutter="0" w:footer="0" w:header="0"/>
          <w:type w:val="continuous"/>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Carrier: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00" w:lineRule="exact"/>
        <w:rPr>
          <w:sz w:val="20"/>
          <w:szCs w:val="20"/>
          <w:color w:val="auto"/>
        </w:rPr>
      </w:pPr>
    </w:p>
    <w:p>
      <w:pPr>
        <w:sectPr>
          <w:pgSz w:w="11900" w:h="16838" w:orient="portrait"/>
          <w:cols w:equalWidth="0" w:num="2">
            <w:col w:w="4400" w:space="720"/>
            <w:col w:w="6320"/>
          </w:cols>
          <w:pgMar w:left="240" w:top="265" w:right="219" w:bottom="1440" w:gutter="0" w:footer="0" w:header="0"/>
          <w:type w:val="continuous"/>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Date Signed: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April 11, 2014</w:t>
      </w:r>
    </w:p>
    <w:p>
      <w:pPr>
        <w:spacing w:after="0" w:line="200" w:lineRule="exact"/>
        <w:rPr>
          <w:sz w:val="20"/>
          <w:szCs w:val="20"/>
          <w:color w:val="auto"/>
        </w:rPr>
      </w:pPr>
    </w:p>
    <w:p>
      <w:pPr>
        <w:sectPr>
          <w:pgSz w:w="11900" w:h="16838" w:orient="portrait"/>
          <w:cols w:equalWidth="0" w:num="2">
            <w:col w:w="4400" w:space="720"/>
            <w:col w:w="6320"/>
          </w:cols>
          <w:pgMar w:left="240" w:top="265" w:right="21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and conditions remain unchanged.</w:t>
      </w:r>
    </w:p>
    <w:p>
      <w:pPr>
        <w:sectPr>
          <w:pgSz w:w="11900" w:h="16838" w:orient="portrait"/>
          <w:cols w:equalWidth="0" w:num="1">
            <w:col w:w="11440"/>
          </w:cols>
          <w:pgMar w:left="240" w:top="26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PF-25797 (09/08) DX</w:t>
            </w: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2640" w:type="dxa"/>
            <w:vAlign w:val="bottom"/>
            <w:vMerge w:val="restart"/>
          </w:tcPr>
          <w:p>
            <w:pPr>
              <w:jc w:val="right"/>
              <w:ind w:right="2170"/>
              <w:spacing w:after="0"/>
              <w:rPr>
                <w:sz w:val="20"/>
                <w:szCs w:val="20"/>
                <w:color w:val="auto"/>
              </w:rPr>
            </w:pPr>
            <w:r>
              <w:rPr>
                <w:rFonts w:ascii="Arial" w:cs="Arial" w:eastAsia="Arial" w:hAnsi="Arial"/>
                <w:sz w:val="18"/>
                <w:szCs w:val="18"/>
                <w:color w:val="auto"/>
                <w:w w:val="89"/>
              </w:rPr>
              <w:t>2008</w:t>
            </w:r>
          </w:p>
        </w:tc>
        <w:tc>
          <w:tcPr>
            <w:tcW w:w="3080" w:type="dxa"/>
            <w:vAlign w:val="bottom"/>
          </w:tcPr>
          <w:p>
            <w:pPr>
              <w:ind w:left="226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-179705</wp:posOffset>
            </wp:positionV>
            <wp:extent cx="14605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ectPr>
          <w:pgSz w:w="11900" w:h="16838" w:orient="portrait"/>
          <w:cols w:equalWidth="0" w:num="1">
            <w:col w:w="11440"/>
          </w:cols>
          <w:pgMar w:left="240" w:top="265" w:right="21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Floating Rate Capital LTD.</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4</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G23683167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TRADE OR ECONOMIC SANCTIONS ENDORSEMENT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ALL-21101 (11/06) Ptd.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65" w:right="21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20370"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ACE Producer Compensation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Practices &amp; Policies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ACE believes that policyholders should have access to information about ACE’s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ALL-20887 (10/06)</w:t>
      </w:r>
    </w:p>
    <w:p>
      <w:pPr>
        <w:sectPr>
          <w:pgSz w:w="11900" w:h="16838" w:orient="portrait"/>
          <w:cols w:equalWidth="0" w:num="1">
            <w:col w:w="11420"/>
          </w:cols>
          <w:pgMar w:left="240" w:top="1440" w:right="239" w:bottom="1440" w:gutter="0" w:footer="0" w:header="0"/>
        </w:sectPr>
      </w:pPr>
    </w:p>
    <w:bookmarkStart w:id="36" w:name="page37"/>
    <w:bookmarkEnd w:id="36"/>
    <w:p>
      <w:pPr>
        <w:jc w:val="right"/>
        <w:ind w:left="6300"/>
        <w:spacing w:after="0" w:line="293"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Department’s Office Of Foreign Assets Control (“OFAC”) Advisory 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1123315" cy="694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23315" cy="6946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Foreign agents;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Front organizations;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Terrorists;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Terrorist organizations;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Narcotics traffickers;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PF-17914 (2/05)</w:t>
            </w:r>
          </w:p>
        </w:tc>
        <w:tc>
          <w:tcPr>
            <w:tcW w:w="6060" w:type="dxa"/>
            <w:vAlign w:val="bottom"/>
          </w:tcPr>
          <w:p>
            <w:pPr>
              <w:jc w:val="center"/>
              <w:spacing w:after="0"/>
              <w:rPr>
                <w:sz w:val="20"/>
                <w:szCs w:val="20"/>
                <w:color w:val="auto"/>
              </w:rPr>
            </w:pPr>
            <w:r>
              <w:rPr>
                <w:rFonts w:ascii="Arial" w:cs="Arial" w:eastAsia="Arial" w:hAnsi="Arial"/>
                <w:sz w:val="18"/>
                <w:szCs w:val="18"/>
                <w:color w:val="auto"/>
                <w:w w:val="92"/>
              </w:rPr>
              <w:t>Reprinted, in part, with permission of</w:t>
            </w:r>
          </w:p>
        </w:tc>
        <w:tc>
          <w:tcPr>
            <w:tcW w:w="2460" w:type="dxa"/>
            <w:vAlign w:val="bottom"/>
          </w:tcPr>
          <w:p>
            <w:pPr>
              <w:ind w:left="1640"/>
              <w:spacing w:after="0"/>
              <w:rPr>
                <w:sz w:val="20"/>
                <w:szCs w:val="20"/>
                <w:color w:val="auto"/>
              </w:rPr>
            </w:pPr>
            <w:r>
              <w:rPr>
                <w:rFonts w:ascii="Arial" w:cs="Arial" w:eastAsia="Arial" w:hAnsi="Arial"/>
                <w:sz w:val="18"/>
                <w:szCs w:val="18"/>
                <w:color w:val="auto"/>
                <w:w w:val="86"/>
              </w:rPr>
              <w:t>Page 1 of 1</w:t>
            </w:r>
          </w:p>
        </w:tc>
      </w:tr>
      <w:tr>
        <w:trPr>
          <w:trHeight w:val="230"/>
        </w:trPr>
        <w:tc>
          <w:tcPr>
            <w:tcW w:w="2900" w:type="dxa"/>
            <w:vAlign w:val="bottom"/>
          </w:tcPr>
          <w:p>
            <w:pPr>
              <w:spacing w:after="0"/>
              <w:rPr>
                <w:sz w:val="20"/>
                <w:szCs w:val="20"/>
                <w:color w:val="auto"/>
              </w:rPr>
            </w:pPr>
          </w:p>
        </w:tc>
        <w:tc>
          <w:tcPr>
            <w:tcW w:w="6060" w:type="dxa"/>
            <w:vAlign w:val="bottom"/>
          </w:tcPr>
          <w:p>
            <w:pPr>
              <w:jc w:val="center"/>
              <w:spacing w:after="0"/>
              <w:rPr>
                <w:sz w:val="20"/>
                <w:szCs w:val="20"/>
                <w:color w:val="auto"/>
              </w:rPr>
            </w:pPr>
            <w:r>
              <w:rPr>
                <w:rFonts w:ascii="Arial" w:cs="Arial" w:eastAsia="Arial" w:hAnsi="Arial"/>
                <w:sz w:val="18"/>
                <w:szCs w:val="18"/>
                <w:color w:val="auto"/>
                <w:w w:val="91"/>
              </w:rPr>
              <w:t>ISO Properties, Inc.</w:t>
            </w:r>
          </w:p>
        </w:tc>
        <w:tc>
          <w:tcPr>
            <w:tcW w:w="2460" w:type="dxa"/>
            <w:vAlign w:val="bottom"/>
          </w:tcPr>
          <w:p>
            <w:pPr>
              <w:spacing w:after="0"/>
              <w:rPr>
                <w:sz w:val="20"/>
                <w:szCs w:val="20"/>
                <w:color w:val="auto"/>
              </w:rPr>
            </w:pPr>
          </w:p>
        </w:tc>
      </w:tr>
    </w:tbl>
    <w:p>
      <w:pPr>
        <w:sectPr>
          <w:pgSz w:w="11900" w:h="16838" w:orient="portrait"/>
          <w:cols w:equalWidth="0" w:num="1">
            <w:col w:w="11420"/>
          </w:cols>
          <w:pgMar w:left="240" w:top="24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6, 2014 at a meeting of the Directors:</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 a meeting of the Board of Directors of the Corporation, PennantPark Investment Advisers LLC, (the “Adviser”) and PennantPark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LLC (the “Administrator”) (the “Meeting”), the Board of Directors of the Corporation reviewed the materials presented at the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Board of the Corporation determined that the Corporation, the Adviser and the Administrator each be covered as an “Insured”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fidelity bond (the “Bond”) having an aggregate coverage of $5 million issued by ACE – Westchester Fire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proposed form and amount of each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payment by the Corporation of the premium for coverage under the Bond, in the amount described at the Meeting,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38" w:name="page39"/>
    <w:bookmarkEnd w:id="38"/>
    <w:p>
      <w:pPr>
        <w:jc w:val="both"/>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FURTHER RESOLVED, </w:t>
      </w:r>
      <w:r>
        <w:rPr>
          <w:rFonts w:ascii="Arial" w:cs="Arial" w:eastAsia="Arial" w:hAnsi="Arial"/>
          <w:sz w:val="17"/>
          <w:szCs w:val="17"/>
          <w:color w:val="auto"/>
        </w:rPr>
        <w:t>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9</w:t>
      </w:r>
      <w:r>
        <w:rPr>
          <w:rFonts w:ascii="Arial" w:cs="Arial" w:eastAsia="Arial" w:hAnsi="Arial"/>
          <w:sz w:val="15"/>
          <w:szCs w:val="15"/>
          <w:color w:val="auto"/>
        </w:rPr>
        <w:t>th</w:t>
      </w:r>
      <w:r>
        <w:rPr>
          <w:rFonts w:ascii="Arial" w:cs="Arial" w:eastAsia="Arial" w:hAnsi="Arial"/>
          <w:sz w:val="18"/>
          <w:szCs w:val="18"/>
          <w:color w:val="auto"/>
        </w:rPr>
        <w:t xml:space="preserve"> day of June, 2014.</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 consideration of the premises and the mutual covenants contained herein, hereby agree as follows:</w:t>
      </w:r>
    </w:p>
    <w:p>
      <w:pPr>
        <w:spacing w:after="0" w:line="117" w:lineRule="exact"/>
        <w:rPr>
          <w:sz w:val="20"/>
          <w:szCs w:val="20"/>
          <w:color w:val="auto"/>
        </w:rPr>
      </w:pPr>
    </w:p>
    <w:p>
      <w:pPr>
        <w:ind w:firstLine="8"/>
        <w:spacing w:after="0" w:line="277" w:lineRule="auto"/>
        <w:tabs>
          <w:tab w:leader="none" w:pos="1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6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73"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17" w:lineRule="exact"/>
        <w:rPr>
          <w:rFonts w:ascii="Arial" w:cs="Arial" w:eastAsia="Arial" w:hAnsi="Arial"/>
          <w:sz w:val="18"/>
          <w:szCs w:val="18"/>
          <w:color w:val="auto"/>
        </w:rPr>
      </w:pPr>
    </w:p>
    <w:p>
      <w:pPr>
        <w:ind w:firstLine="8"/>
        <w:spacing w:after="0" w:line="277" w:lineRule="auto"/>
        <w:tabs>
          <w:tab w:leader="none" w:pos="2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1"/>
                <w:szCs w:val="21"/>
                <w:color w:val="auto"/>
              </w:rPr>
            </w:pPr>
          </w:p>
        </w:tc>
        <w:tc>
          <w:tcPr>
            <w:tcW w:w="8800" w:type="dxa"/>
            <w:vAlign w:val="bottom"/>
            <w:gridSpan w:val="3"/>
          </w:tcPr>
          <w:p>
            <w:pPr>
              <w:ind w:left="20"/>
              <w:spacing w:after="0"/>
              <w:rPr>
                <w:sz w:val="20"/>
                <w:szCs w:val="20"/>
                <w:color w:val="auto"/>
              </w:rPr>
            </w:pPr>
            <w:r>
              <w:rPr>
                <w:rFonts w:ascii="Arial" w:cs="Arial" w:eastAsia="Arial" w:hAnsi="Arial"/>
                <w:sz w:val="20"/>
                <w:szCs w:val="20"/>
                <w:color w:val="auto"/>
                <w:w w:val="89"/>
              </w:rPr>
              <w:t>IN WITNESS WHEREOF, this Agreement has been executed by the parties as of the date first set forth above.</w:t>
            </w:r>
          </w:p>
        </w:tc>
        <w:tc>
          <w:tcPr>
            <w:tcW w:w="0" w:type="dxa"/>
            <w:vAlign w:val="bottom"/>
          </w:tcPr>
          <w:p>
            <w:pPr>
              <w:spacing w:after="0"/>
              <w:rPr>
                <w:sz w:val="1"/>
                <w:szCs w:val="1"/>
                <w:color w:val="auto"/>
              </w:rPr>
            </w:pPr>
          </w:p>
        </w:tc>
      </w:tr>
      <w:tr>
        <w:trPr>
          <w:trHeight w:val="473"/>
        </w:trPr>
        <w:tc>
          <w:tcPr>
            <w:tcW w:w="9240" w:type="dxa"/>
            <w:vAlign w:val="bottom"/>
            <w:gridSpan w:val="4"/>
          </w:tcPr>
          <w:p>
            <w:pPr>
              <w:spacing w:after="0"/>
              <w:rPr>
                <w:sz w:val="20"/>
                <w:szCs w:val="20"/>
                <w:color w:val="auto"/>
              </w:rPr>
            </w:pPr>
            <w:r>
              <w:rPr>
                <w:rFonts w:ascii="Arial" w:cs="Arial" w:eastAsia="Arial" w:hAnsi="Arial"/>
                <w:sz w:val="20"/>
                <w:szCs w:val="20"/>
                <w:color w:val="auto"/>
              </w:rPr>
              <w:t>PENNANTPARK FLOATING RATE CAPITAL LTD.</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/s/ Arthur Penn</w:t>
            </w:r>
          </w:p>
        </w:tc>
        <w:tc>
          <w:tcPr>
            <w:tcW w:w="0" w:type="dxa"/>
            <w:vAlign w:val="bottom"/>
          </w:tcPr>
          <w:p>
            <w:pPr>
              <w:spacing w:after="0"/>
              <w:rPr>
                <w:sz w:val="1"/>
                <w:szCs w:val="1"/>
                <w:color w:val="auto"/>
              </w:rPr>
            </w:pPr>
          </w:p>
        </w:tc>
      </w:tr>
      <w:tr>
        <w:trPr>
          <w:trHeight w:val="226"/>
        </w:trPr>
        <w:tc>
          <w:tcPr>
            <w:tcW w:w="540" w:type="dxa"/>
            <w:vAlign w:val="bottom"/>
            <w:gridSpan w:val="2"/>
            <w:vMerge w:val="restart"/>
          </w:tcPr>
          <w:p>
            <w:pPr>
              <w:spacing w:after="0"/>
              <w:rPr>
                <w:sz w:val="20"/>
                <w:szCs w:val="20"/>
                <w:color w:val="auto"/>
              </w:rPr>
            </w:pPr>
            <w:r>
              <w:rPr>
                <w:rFonts w:ascii="Arial" w:cs="Arial" w:eastAsia="Arial" w:hAnsi="Arial"/>
                <w:sz w:val="20"/>
                <w:szCs w:val="20"/>
                <w:color w:val="auto"/>
                <w:w w:val="88"/>
              </w:rPr>
              <w:t>Name:</w:t>
            </w:r>
          </w:p>
        </w:tc>
        <w:tc>
          <w:tcPr>
            <w:tcW w:w="4040" w:type="dxa"/>
            <w:vAlign w:val="bottom"/>
            <w:tcBorders>
              <w:bottom w:val="single" w:sz="8" w:color="auto"/>
            </w:tcBorders>
          </w:tcPr>
          <w:p>
            <w:pPr>
              <w:spacing w:after="0"/>
              <w:rPr>
                <w:sz w:val="19"/>
                <w:szCs w:val="19"/>
                <w:color w:val="auto"/>
              </w:rPr>
            </w:pPr>
          </w:p>
        </w:tc>
        <w:tc>
          <w:tcPr>
            <w:tcW w:w="46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 w:type="dxa"/>
            <w:vAlign w:val="bottom"/>
            <w:gridSpan w:val="2"/>
            <w:vMerge w:val="continue"/>
          </w:tcPr>
          <w:p>
            <w:pPr>
              <w:spacing w:after="0"/>
              <w:rPr>
                <w:sz w:val="21"/>
                <w:szCs w:val="21"/>
                <w:color w:val="auto"/>
              </w:rPr>
            </w:pPr>
          </w:p>
        </w:tc>
        <w:tc>
          <w:tcPr>
            <w:tcW w:w="4040" w:type="dxa"/>
            <w:vAlign w:val="bottom"/>
          </w:tcPr>
          <w:p>
            <w:pPr>
              <w:ind w:left="40"/>
              <w:spacing w:after="0"/>
              <w:rPr>
                <w:sz w:val="20"/>
                <w:szCs w:val="20"/>
                <w:color w:val="auto"/>
              </w:rPr>
            </w:pPr>
            <w:r>
              <w:rPr>
                <w:rFonts w:ascii="Arial" w:cs="Arial" w:eastAsia="Arial" w:hAnsi="Arial"/>
                <w:sz w:val="20"/>
                <w:szCs w:val="20"/>
                <w:color w:val="auto"/>
              </w:rPr>
              <w:t>Arthur Penn</w:t>
            </w:r>
          </w:p>
        </w:tc>
        <w:tc>
          <w:tcPr>
            <w:tcW w:w="4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554"/>
        </w:trPr>
        <w:tc>
          <w:tcPr>
            <w:tcW w:w="9240" w:type="dxa"/>
            <w:vAlign w:val="bottom"/>
            <w:gridSpan w:val="4"/>
          </w:tcPr>
          <w:p>
            <w:pPr>
              <w:spacing w:after="0"/>
              <w:rPr>
                <w:sz w:val="20"/>
                <w:szCs w:val="20"/>
                <w:color w:val="auto"/>
              </w:rPr>
            </w:pPr>
            <w:r>
              <w:rPr>
                <w:rFonts w:ascii="Arial" w:cs="Arial" w:eastAsia="Arial" w:hAnsi="Arial"/>
                <w:sz w:val="20"/>
                <w:szCs w:val="20"/>
                <w:color w:val="auto"/>
              </w:rPr>
              <w:t>PENNANTPARK INVESTMENT ADVISERS, LLC</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/s/ Arthur Penn</w:t>
            </w:r>
          </w:p>
        </w:tc>
        <w:tc>
          <w:tcPr>
            <w:tcW w:w="0" w:type="dxa"/>
            <w:vAlign w:val="bottom"/>
          </w:tcPr>
          <w:p>
            <w:pPr>
              <w:spacing w:after="0"/>
              <w:rPr>
                <w:sz w:val="1"/>
                <w:szCs w:val="1"/>
                <w:color w:val="auto"/>
              </w:rPr>
            </w:pPr>
          </w:p>
        </w:tc>
      </w:tr>
      <w:tr>
        <w:trPr>
          <w:trHeight w:val="226"/>
        </w:trPr>
        <w:tc>
          <w:tcPr>
            <w:tcW w:w="540" w:type="dxa"/>
            <w:vAlign w:val="bottom"/>
            <w:gridSpan w:val="2"/>
            <w:vMerge w:val="restart"/>
          </w:tcPr>
          <w:p>
            <w:pPr>
              <w:spacing w:after="0"/>
              <w:rPr>
                <w:sz w:val="20"/>
                <w:szCs w:val="20"/>
                <w:color w:val="auto"/>
              </w:rPr>
            </w:pPr>
            <w:r>
              <w:rPr>
                <w:rFonts w:ascii="Arial" w:cs="Arial" w:eastAsia="Arial" w:hAnsi="Arial"/>
                <w:sz w:val="20"/>
                <w:szCs w:val="20"/>
                <w:color w:val="auto"/>
                <w:w w:val="88"/>
              </w:rPr>
              <w:t>Name:</w:t>
            </w:r>
          </w:p>
        </w:tc>
        <w:tc>
          <w:tcPr>
            <w:tcW w:w="4040" w:type="dxa"/>
            <w:vAlign w:val="bottom"/>
            <w:tcBorders>
              <w:bottom w:val="single" w:sz="8" w:color="auto"/>
            </w:tcBorders>
          </w:tcPr>
          <w:p>
            <w:pPr>
              <w:spacing w:after="0"/>
              <w:rPr>
                <w:sz w:val="19"/>
                <w:szCs w:val="19"/>
                <w:color w:val="auto"/>
              </w:rPr>
            </w:pPr>
          </w:p>
        </w:tc>
        <w:tc>
          <w:tcPr>
            <w:tcW w:w="46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 w:type="dxa"/>
            <w:vAlign w:val="bottom"/>
            <w:gridSpan w:val="2"/>
            <w:vMerge w:val="continue"/>
          </w:tcPr>
          <w:p>
            <w:pPr>
              <w:spacing w:after="0"/>
              <w:rPr>
                <w:sz w:val="21"/>
                <w:szCs w:val="21"/>
                <w:color w:val="auto"/>
              </w:rPr>
            </w:pPr>
          </w:p>
        </w:tc>
        <w:tc>
          <w:tcPr>
            <w:tcW w:w="4040" w:type="dxa"/>
            <w:vAlign w:val="bottom"/>
          </w:tcPr>
          <w:p>
            <w:pPr>
              <w:ind w:left="40"/>
              <w:spacing w:after="0"/>
              <w:rPr>
                <w:sz w:val="20"/>
                <w:szCs w:val="20"/>
                <w:color w:val="auto"/>
              </w:rPr>
            </w:pPr>
            <w:r>
              <w:rPr>
                <w:rFonts w:ascii="Arial" w:cs="Arial" w:eastAsia="Arial" w:hAnsi="Arial"/>
                <w:sz w:val="20"/>
                <w:szCs w:val="20"/>
                <w:color w:val="auto"/>
              </w:rPr>
              <w:t>Arthur Penn</w:t>
            </w:r>
          </w:p>
        </w:tc>
        <w:tc>
          <w:tcPr>
            <w:tcW w:w="4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Managing Member</w:t>
            </w:r>
          </w:p>
        </w:tc>
        <w:tc>
          <w:tcPr>
            <w:tcW w:w="0" w:type="dxa"/>
            <w:vAlign w:val="bottom"/>
          </w:tcPr>
          <w:p>
            <w:pPr>
              <w:spacing w:after="0"/>
              <w:rPr>
                <w:sz w:val="1"/>
                <w:szCs w:val="1"/>
                <w:color w:val="auto"/>
              </w:rPr>
            </w:pPr>
          </w:p>
        </w:tc>
      </w:tr>
      <w:tr>
        <w:trPr>
          <w:trHeight w:val="554"/>
        </w:trPr>
        <w:tc>
          <w:tcPr>
            <w:tcW w:w="9240" w:type="dxa"/>
            <w:vAlign w:val="bottom"/>
            <w:gridSpan w:val="4"/>
          </w:tcPr>
          <w:p>
            <w:pPr>
              <w:spacing w:after="0"/>
              <w:rPr>
                <w:sz w:val="20"/>
                <w:szCs w:val="20"/>
                <w:color w:val="auto"/>
              </w:rPr>
            </w:pPr>
            <w:r>
              <w:rPr>
                <w:rFonts w:ascii="Arial" w:cs="Arial" w:eastAsia="Arial" w:hAnsi="Arial"/>
                <w:sz w:val="20"/>
                <w:szCs w:val="20"/>
                <w:color w:val="auto"/>
              </w:rPr>
              <w:t>PENNANTPARK INVESTMENT ADMINISTRATION, LLC</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/s/ Aviv Efrat</w:t>
            </w:r>
          </w:p>
        </w:tc>
        <w:tc>
          <w:tcPr>
            <w:tcW w:w="0" w:type="dxa"/>
            <w:vAlign w:val="bottom"/>
          </w:tcPr>
          <w:p>
            <w:pPr>
              <w:spacing w:after="0"/>
              <w:rPr>
                <w:sz w:val="1"/>
                <w:szCs w:val="1"/>
                <w:color w:val="auto"/>
              </w:rPr>
            </w:pPr>
          </w:p>
        </w:tc>
      </w:tr>
      <w:tr>
        <w:trPr>
          <w:trHeight w:val="226"/>
        </w:trPr>
        <w:tc>
          <w:tcPr>
            <w:tcW w:w="540" w:type="dxa"/>
            <w:vAlign w:val="bottom"/>
            <w:gridSpan w:val="2"/>
            <w:vMerge w:val="restart"/>
          </w:tcPr>
          <w:p>
            <w:pPr>
              <w:spacing w:after="0"/>
              <w:rPr>
                <w:sz w:val="20"/>
                <w:szCs w:val="20"/>
                <w:color w:val="auto"/>
              </w:rPr>
            </w:pPr>
            <w:r>
              <w:rPr>
                <w:rFonts w:ascii="Arial" w:cs="Arial" w:eastAsia="Arial" w:hAnsi="Arial"/>
                <w:sz w:val="20"/>
                <w:szCs w:val="20"/>
                <w:color w:val="auto"/>
                <w:w w:val="88"/>
              </w:rPr>
              <w:t>Name:</w:t>
            </w:r>
          </w:p>
        </w:tc>
        <w:tc>
          <w:tcPr>
            <w:tcW w:w="4040" w:type="dxa"/>
            <w:vAlign w:val="bottom"/>
            <w:tcBorders>
              <w:bottom w:val="single" w:sz="8" w:color="auto"/>
            </w:tcBorders>
          </w:tcPr>
          <w:p>
            <w:pPr>
              <w:spacing w:after="0"/>
              <w:rPr>
                <w:sz w:val="19"/>
                <w:szCs w:val="19"/>
                <w:color w:val="auto"/>
              </w:rPr>
            </w:pPr>
          </w:p>
        </w:tc>
        <w:tc>
          <w:tcPr>
            <w:tcW w:w="46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 w:type="dxa"/>
            <w:vAlign w:val="bottom"/>
            <w:gridSpan w:val="2"/>
            <w:vMerge w:val="continue"/>
          </w:tcPr>
          <w:p>
            <w:pPr>
              <w:spacing w:after="0"/>
              <w:rPr>
                <w:sz w:val="21"/>
                <w:szCs w:val="21"/>
                <w:color w:val="auto"/>
              </w:rPr>
            </w:pPr>
          </w:p>
        </w:tc>
        <w:tc>
          <w:tcPr>
            <w:tcW w:w="4040" w:type="dxa"/>
            <w:vAlign w:val="bottom"/>
          </w:tcPr>
          <w:p>
            <w:pPr>
              <w:ind w:left="40"/>
              <w:spacing w:after="0"/>
              <w:rPr>
                <w:sz w:val="20"/>
                <w:szCs w:val="20"/>
                <w:color w:val="auto"/>
              </w:rPr>
            </w:pPr>
            <w:r>
              <w:rPr>
                <w:rFonts w:ascii="Arial" w:cs="Arial" w:eastAsia="Arial" w:hAnsi="Arial"/>
                <w:sz w:val="20"/>
                <w:szCs w:val="20"/>
                <w:color w:val="auto"/>
              </w:rPr>
              <w:t>Aviv Efrat</w:t>
            </w:r>
          </w:p>
        </w:tc>
        <w:tc>
          <w:tcPr>
            <w:tcW w:w="4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upperLetter"/>
      <w:start w:val="1"/>
    </w:lvl>
  </w:abstractNum>
  <w:abstractNum w:abstractNumId="3">
    <w:nsid w:val="70A64E2A"/>
    <w:multiLevelType w:val="hybridMultilevel"/>
    <w:lvl w:ilvl="0">
      <w:lvlJc w:val="left"/>
      <w:lvlText w:val="%1."/>
      <w:numFmt w:val="decimal"/>
      <w:start w:val="1"/>
    </w:lvl>
    <w:lvl w:ilvl="1">
      <w:lvlJc w:val="left"/>
      <w:lvlText w:val="%2."/>
      <w:numFmt w:val="upperLetter"/>
      <w:start w:val="1"/>
    </w:lvl>
  </w:abstractNum>
  <w:abstractNum w:abstractNumId="4">
    <w:nsid w:val="6A2342EC"/>
    <w:multiLevelType w:val="hybridMultilevel"/>
    <w:lvl w:ilvl="0">
      <w:lvlJc w:val="left"/>
      <w:lvlText w:val="%1."/>
      <w:numFmt w:val="upperLetter"/>
      <w:start w:val="8"/>
    </w:lvl>
  </w:abstractNum>
  <w:abstractNum w:abstractNumId="5">
    <w:nsid w:val="2A487CB0"/>
    <w:multiLevelType w:val="hybridMultilevel"/>
    <w:lvl w:ilvl="0">
      <w:lvlJc w:val="left"/>
      <w:lvlText w:val="%1"/>
      <w:numFmt w:val="decimal"/>
      <w:start w:val="1"/>
    </w:lvl>
    <w:lvl w:ilvl="1">
      <w:lvlJc w:val="left"/>
      <w:lvlText w:val="%2."/>
      <w:numFmt w:val="decimal"/>
      <w:start w:val="1"/>
    </w:lvl>
  </w:abstractNum>
  <w:abstractNum w:abstractNumId="6">
    <w:nsid w:val="1D4ED43B"/>
    <w:multiLevelType w:val="hybridMultilevel"/>
    <w:lvl w:ilvl="0">
      <w:lvlJc w:val="left"/>
      <w:lvlText w:val="%1."/>
      <w:numFmt w:val="decimal"/>
      <w:start w:val="3"/>
    </w:lvl>
    <w:lvl w:ilvl="1">
      <w:lvlJc w:val="left"/>
      <w:lvlText w:val="%2"/>
      <w:numFmt w:val="decimal"/>
      <w:start w:val="1"/>
    </w:lvl>
  </w:abstractNum>
  <w:abstractNum w:abstractNumId="7">
    <w:nsid w:val="725A06F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8">
    <w:nsid w:val="2CD89A32"/>
    <w:multiLevelType w:val="hybridMultilevel"/>
    <w:lvl w:ilvl="0">
      <w:lvlJc w:val="left"/>
      <w:lvlText w:val="%1."/>
      <w:numFmt w:val="decimal"/>
      <w:start w:val="6"/>
    </w:lvl>
    <w:lvl w:ilvl="1">
      <w:lvlJc w:val="left"/>
      <w:lvlText w:val="%2."/>
      <w:numFmt w:val="lowerLetter"/>
      <w:start w:val="1"/>
    </w:lvl>
  </w:abstractNum>
  <w:abstractNum w:abstractNumId="9">
    <w:nsid w:val="57E4CCAF"/>
    <w:multiLevelType w:val="hybridMultilevel"/>
    <w:lvl w:ilvl="0">
      <w:lvlJc w:val="left"/>
      <w:lvlText w:val="%1."/>
      <w:numFmt w:val="lowerLetter"/>
      <w:start w:val="5"/>
    </w:lvl>
  </w:abstractNum>
  <w:abstractNum w:abstractNumId="10">
    <w:nsid w:val="7A6D8D3C"/>
    <w:multiLevelType w:val="hybridMultilevel"/>
    <w:lvl w:ilvl="0">
      <w:lvlJc w:val="left"/>
      <w:lvlText w:val="%1."/>
      <w:numFmt w:val="decimal"/>
      <w:start w:val="7"/>
    </w:lvl>
  </w:abstractNum>
  <w:abstractNum w:abstractNumId="11">
    <w:nsid w:val="4B588F54"/>
    <w:multiLevelType w:val="hybridMultilevel"/>
    <w:lvl w:ilvl="0">
      <w:lvlJc w:val="left"/>
      <w:lvlText w:val="%1."/>
      <w:numFmt w:val="decimal"/>
      <w:start w:val="9"/>
    </w:lvl>
  </w:abstractNum>
  <w:abstractNum w:abstractNumId="12">
    <w:nsid w:val="542289EC"/>
    <w:multiLevelType w:val="hybridMultilevel"/>
    <w:lvl w:ilvl="0">
      <w:lvlJc w:val="left"/>
      <w:lvlText w:val="%1."/>
      <w:numFmt w:val="lowerLetter"/>
      <w:start w:val="1"/>
    </w:lvl>
    <w:lvl w:ilvl="1">
      <w:lvlJc w:val="left"/>
      <w:lvlText w:val="%2."/>
      <w:numFmt w:val="lowerRoman"/>
      <w:start w:val="1"/>
    </w:lvl>
  </w:abstractNum>
  <w:abstractNum w:abstractNumId="13">
    <w:nsid w:val="6DE91B18"/>
    <w:multiLevelType w:val="hybridMultilevel"/>
    <w:lvl w:ilvl="0">
      <w:lvlJc w:val="left"/>
      <w:lvlText w:val="%1."/>
      <w:numFmt w:val="lowerLetter"/>
      <w:start w:val="2"/>
    </w:lvl>
  </w:abstractNum>
  <w:abstractNum w:abstractNumId="14">
    <w:nsid w:val="38437FDB"/>
    <w:multiLevelType w:val="hybridMultilevel"/>
    <w:lvl w:ilvl="0">
      <w:lvlJc w:val="left"/>
      <w:lvlText w:val="%1."/>
      <w:numFmt w:val="lowerRoman"/>
      <w:start w:val="1"/>
    </w:lvl>
  </w:abstractNum>
  <w:abstractNum w:abstractNumId="15">
    <w:nsid w:val="7644A45C"/>
    <w:multiLevelType w:val="hybridMultilevel"/>
    <w:lvl w:ilvl="0">
      <w:lvlJc w:val="left"/>
      <w:lvlText w:val="%1."/>
      <w:numFmt w:val="lowerLetter"/>
      <w:start w:val="3"/>
    </w:lvl>
  </w:abstractNum>
  <w:abstractNum w:abstractNumId="16">
    <w:nsid w:val="32FFF902"/>
    <w:multiLevelType w:val="hybridMultilevel"/>
    <w:lvl w:ilvl="0">
      <w:lvlJc w:val="left"/>
      <w:lvlText w:val="%1."/>
      <w:numFmt w:val="lowerLetter"/>
      <w:start w:val="4"/>
    </w:lvl>
  </w:abstractNum>
  <w:abstractNum w:abstractNumId="17">
    <w:nsid w:val="684A481A"/>
    <w:multiLevelType w:val="hybridMultilevel"/>
    <w:lvl w:ilvl="0">
      <w:lvlJc w:val="left"/>
      <w:lvlText w:val="%1."/>
      <w:numFmt w:val="decimal"/>
      <w:start w:val="11"/>
    </w:lvl>
    <w:lvl w:ilvl="1">
      <w:lvlJc w:val="left"/>
      <w:lvlText w:val="%2."/>
      <w:numFmt w:val="lowerLetter"/>
      <w:start w:val="1"/>
    </w:lvl>
  </w:abstractNum>
  <w:abstractNum w:abstractNumId="18">
    <w:nsid w:val="579478FE"/>
    <w:multiLevelType w:val="hybridMultilevel"/>
    <w:lvl w:ilvl="0">
      <w:lvlJc w:val="left"/>
      <w:lvlText w:val="%1."/>
      <w:numFmt w:val="decimal"/>
      <w:start w:val="12"/>
    </w:lvl>
    <w:lvl w:ilvl="1">
      <w:lvlJc w:val="left"/>
      <w:lvlText w:val="%2."/>
      <w:numFmt w:val="lowerLetter"/>
      <w:start w:val="1"/>
    </w:lvl>
  </w:abstractNum>
  <w:abstractNum w:abstractNumId="19">
    <w:nsid w:val="749ABB43"/>
    <w:multiLevelType w:val="hybridMultilevel"/>
    <w:lvl w:ilvl="0">
      <w:lvlJc w:val="left"/>
      <w:lvlText w:val="%1."/>
      <w:numFmt w:val="decimal"/>
      <w:start w:val="13"/>
    </w:lvl>
  </w:abstractNum>
  <w:abstractNum w:abstractNumId="20">
    <w:nsid w:val="3DC240FB"/>
    <w:multiLevelType w:val="hybridMultilevel"/>
    <w:lvl w:ilvl="0">
      <w:lvlJc w:val="left"/>
      <w:lvlText w:val="%1."/>
      <w:numFmt w:val="decimal"/>
      <w:start w:val="17"/>
    </w:lvl>
  </w:abstractNum>
  <w:abstractNum w:abstractNumId="21">
    <w:nsid w:val="1BA026FA"/>
    <w:multiLevelType w:val="hybridMultilevel"/>
    <w:lvl w:ilvl="0">
      <w:lvlJc w:val="left"/>
      <w:lvlText w:val="%1."/>
      <w:numFmt w:val="upperLetter"/>
      <w:start w:val="9"/>
    </w:lvl>
  </w:abstractNum>
  <w:abstractNum w:abstractNumId="22">
    <w:nsid w:val="79A1DEAA"/>
    <w:multiLevelType w:val="hybridMultilevel"/>
    <w:lvl w:ilvl="0">
      <w:lvlJc w:val="left"/>
      <w:lvlText w:val="%1."/>
      <w:numFmt w:val="upperLetter"/>
      <w:start w:val="1"/>
    </w:lvl>
  </w:abstractNum>
  <w:abstractNum w:abstractNumId="23">
    <w:nsid w:val="75C6C33A"/>
    <w:multiLevelType w:val="hybridMultilevel"/>
    <w:lvl w:ilvl="0">
      <w:lvlJc w:val="left"/>
      <w:lvlText w:val="%1."/>
      <w:numFmt w:val="upperLetter"/>
      <w:start w:val="2"/>
    </w:lvl>
  </w:abstractNum>
  <w:abstractNum w:abstractNumId="24">
    <w:nsid w:val="12E685FB"/>
    <w:multiLevelType w:val="hybridMultilevel"/>
    <w:lvl w:ilvl="0">
      <w:lvlJc w:val="left"/>
      <w:lvlText w:val="%1."/>
      <w:numFmt w:val="upperLetter"/>
      <w:start w:val="3"/>
    </w:lvl>
  </w:abstractNum>
  <w:abstractNum w:abstractNumId="25">
    <w:nsid w:val="70C6A529"/>
    <w:multiLevelType w:val="hybridMultilevel"/>
    <w:lvl w:ilvl="0">
      <w:lvlJc w:val="left"/>
      <w:lvlText w:val="%1."/>
      <w:numFmt w:val="upperLetter"/>
      <w:start w:val="4"/>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upperLetter"/>
      <w:start w:val="5"/>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upperLetter"/>
      <w:start w:val="6"/>
    </w:lvl>
  </w:abstractNum>
  <w:abstractNum w:abstractNumId="31">
    <w:nsid w:val="275AC79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upperLetter"/>
      <w:start w:val="8"/>
    </w:lvl>
  </w:abstractNum>
  <w:abstractNum w:abstractNumId="34">
    <w:nsid w:val="180115BE"/>
    <w:multiLevelType w:val="hybridMultilevel"/>
    <w:lvl w:ilvl="0">
      <w:lvlJc w:val="left"/>
      <w:lvlText w:val="%1."/>
      <w:numFmt w:val="upperLetter"/>
      <w:start w:val="9"/>
    </w:lvl>
  </w:abstractNum>
  <w:abstractNum w:abstractNumId="35">
    <w:nsid w:val="235BA861"/>
    <w:multiLevelType w:val="hybridMultilevel"/>
    <w:lvl w:ilvl="0">
      <w:lvlJc w:val="left"/>
      <w:lvlText w:val="%1"/>
      <w:numFmt w:val="upperLetter"/>
      <w:start w:val="1"/>
    </w:lvl>
    <w:lvl w:ilvl="1">
      <w:lvlJc w:val="left"/>
      <w:lvlText w:val="%2."/>
      <w:numFmt w:val="lowerLetter"/>
      <w:start w:val="1"/>
    </w:lvl>
  </w:abstractNum>
  <w:abstractNum w:abstractNumId="36">
    <w:nsid w:val="47398C89"/>
    <w:multiLevelType w:val="hybridMultilevel"/>
    <w:lvl w:ilvl="0">
      <w:lvlJc w:val="left"/>
      <w:lvlText w:val="%1."/>
      <w:numFmt w:val="upperLetter"/>
      <w:start w:val="11"/>
    </w:lvl>
  </w:abstractNum>
  <w:abstractNum w:abstractNumId="37">
    <w:nsid w:val="354FE9F9"/>
    <w:multiLevelType w:val="hybridMultilevel"/>
    <w:lvl w:ilvl="0">
      <w:lvlJc w:val="left"/>
      <w:lvlText w:val="%1."/>
      <w:numFmt w:val="upperLetter"/>
      <w:start w:val="35"/>
    </w:lvl>
    <w:lvl w:ilvl="1">
      <w:lvlJc w:val="left"/>
      <w:lvlText w:val="%2."/>
      <w:numFmt w:val="upperLetter"/>
      <w:start w:val="1"/>
    </w:lvl>
  </w:abstractNum>
  <w:abstractNum w:abstractNumId="38">
    <w:nsid w:val="15B5AF5C"/>
    <w:multiLevelType w:val="hybridMultilevel"/>
    <w:lvl w:ilvl="0">
      <w:lvlJc w:val="left"/>
      <w:lvlText w:val="%1."/>
      <w:numFmt w:val="upperLetter"/>
      <w:start w:val="3"/>
    </w:lvl>
    <w:lvl w:ilvl="1">
      <w:lvlJc w:val="left"/>
      <w:lvlText w:val="%2."/>
      <w:numFmt w:val="lowerLetter"/>
      <w:start w:val="1"/>
    </w:lvl>
  </w:abstractNum>
  <w:abstractNum w:abstractNumId="39">
    <w:nsid w:val="741226BB"/>
    <w:multiLevelType w:val="hybridMultilevel"/>
    <w:lvl w:ilvl="0">
      <w:lvlJc w:val="left"/>
      <w:lvlText w:val="%1."/>
      <w:numFmt w:val="upperLetter"/>
      <w:start w:val="14"/>
    </w:lvl>
    <w:lvl w:ilvl="1">
      <w:lvlJc w:val="left"/>
      <w:lvlText w:val="%2."/>
      <w:numFmt w:val="lowerLetter"/>
      <w:start w:val="1"/>
    </w:lvl>
    <w:lvl w:ilvl="2">
      <w:lvlJc w:val="left"/>
      <w:lvlText w:val="(%3)"/>
      <w:numFmt w:val="decimal"/>
      <w:start w:val="2"/>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upperLetter"/>
      <w:start w:val="16"/>
    </w:lvl>
    <w:lvl w:ilvl="1">
      <w:lvlJc w:val="left"/>
      <w:lvlText w:val="%2."/>
      <w:numFmt w:val="lowerLetter"/>
      <w:start w:val="1"/>
    </w:lvl>
    <w:lvl w:ilvl="2">
      <w:lvlJc w:val="left"/>
      <w:lvlText w:val="(%3)"/>
      <w:numFmt w:val="decimal"/>
      <w:start w:val="1"/>
    </w:lvl>
  </w:abstractNum>
  <w:abstractNum w:abstractNumId="42">
    <w:nsid w:val="3F6AB60F"/>
    <w:multiLevelType w:val="hybridMultilevel"/>
    <w:lvl w:ilvl="0">
      <w:lvlJc w:val="left"/>
      <w:lvlText w:val="%1."/>
      <w:numFmt w:val="upperLetter"/>
      <w:start w:val="20"/>
    </w:lvl>
    <w:lvl w:ilvl="1">
      <w:lvlJc w:val="left"/>
      <w:lvlText w:val="%2."/>
      <w:numFmt w:val="lowerLetter"/>
      <w:start w:val="1"/>
    </w:lvl>
  </w:abstractNum>
  <w:abstractNum w:abstractNumId="43">
    <w:nsid w:val="61574095"/>
    <w:multiLevelType w:val="hybridMultilevel"/>
    <w:lvl w:ilvl="0">
      <w:lvlJc w:val="left"/>
      <w:lvlText w:val="%1."/>
      <w:numFmt w:val="upperLetter"/>
      <w:start w:val="22"/>
    </w:lvl>
    <w:lvl w:ilvl="1">
      <w:lvlJc w:val="left"/>
      <w:lvlText w:val="%2."/>
      <w:numFmt w:val="lowerLetter"/>
      <w:start w:val="1"/>
    </w:lvl>
  </w:abstractNum>
  <w:abstractNum w:abstractNumId="44">
    <w:nsid w:val="7E0C57B1"/>
    <w:multiLevelType w:val="hybridMultilevel"/>
    <w:lvl w:ilvl="0">
      <w:lvlJc w:val="left"/>
      <w:lvlText w:val="%1."/>
      <w:numFmt w:val="upperLetter"/>
      <w:start w:val="27"/>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abstractNum>
  <w:abstractNum w:abstractNumId="47">
    <w:nsid w:val="310C50B3"/>
    <w:multiLevelType w:val="hybridMultilevel"/>
    <w:lvl w:ilvl="0">
      <w:lvlJc w:val="left"/>
      <w:lvlText w:val="%1"/>
      <w:numFmt w:val="upperLetter"/>
      <w:start w:val="1"/>
    </w:lvl>
    <w:lvl w:ilvl="1">
      <w:lvlJc w:val="left"/>
      <w:lvlText w:val="%2."/>
      <w:numFmt w:val="upperLetter"/>
      <w:start w:val="30"/>
    </w:lvl>
    <w:lvl w:ilvl="2">
      <w:lvlJc w:val="left"/>
      <w:lvlText w:val="%3."/>
      <w:numFmt w:val="lowerLetter"/>
      <w:start w:val="1"/>
    </w:lvl>
  </w:abstractNum>
  <w:abstractNum w:abstractNumId="48">
    <w:nsid w:val="5FF87E0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upperLetter"/>
      <w:start w:val="1"/>
    </w:lvl>
    <w:lvl w:ilvl="1">
      <w:lvlJc w:val="left"/>
      <w:lvlText w:val="%2."/>
      <w:numFmt w:val="decimal"/>
      <w:start w:val="6"/>
    </w:lvl>
    <w:lvl w:ilvl="2">
      <w:lvlJc w:val="left"/>
      <w:lvlText w:val="(%3)"/>
      <w:numFmt w:val="decimal"/>
      <w:start w:val="1"/>
    </w:lvl>
  </w:abstractNum>
  <w:abstractNum w:abstractNumId="51">
    <w:nsid w:val="1DBABF00"/>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52">
    <w:nsid w:val="4AD084E9"/>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
    </w:lvl>
  </w:abstractNum>
  <w:abstractNum w:abstractNumId="53">
    <w:nsid w:val="1F48EAA1"/>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54">
    <w:nsid w:val="1381823A"/>
    <w:multiLevelType w:val="hybridMultilevel"/>
    <w:lvl w:ilvl="0">
      <w:lvlJc w:val="left"/>
      <w:lvlText w:val="%1"/>
      <w:numFmt w:val="upperLetter"/>
      <w:start w:val="1"/>
    </w:lvl>
    <w:lvl w:ilvl="1">
      <w:lvlJc w:val="left"/>
      <w:lvlText w:val="%2."/>
      <w:numFmt w:val="lowerLetter"/>
      <w:start w:val="1"/>
    </w:lvl>
  </w:abstractNum>
  <w:abstractNum w:abstractNumId="55">
    <w:nsid w:val="5DB70AE5"/>
    <w:multiLevelType w:val="hybridMultilevel"/>
    <w:lvl w:ilvl="0">
      <w:lvlJc w:val="left"/>
      <w:lvlText w:val="%1."/>
      <w:numFmt w:val="upperLetter"/>
      <w:start w:val="6"/>
    </w:lvl>
    <w:lvl w:ilvl="1">
      <w:lvlJc w:val="left"/>
      <w:lvlText w:val="%2"/>
      <w:numFmt w:val="lowerLetter"/>
      <w:start w:val="1"/>
    </w:lvl>
  </w:abstractNum>
  <w:abstractNum w:abstractNumId="56">
    <w:nsid w:val="100F8FCA"/>
    <w:multiLevelType w:val="hybridMultilevel"/>
    <w:lvl w:ilvl="0">
      <w:lvlJc w:val="left"/>
      <w:lvlText w:val="%1."/>
      <w:numFmt w:val="upperLetter"/>
      <w:start w:val="7"/>
    </w:lvl>
  </w:abstractNum>
  <w:abstractNum w:abstractNumId="57">
    <w:nsid w:val="6590700B"/>
    <w:multiLevelType w:val="hybridMultilevel"/>
    <w:lvl w:ilvl="0">
      <w:lvlJc w:val="left"/>
      <w:lvlText w:val="%1"/>
      <w:numFmt w:val="upperLetter"/>
      <w:start w:val="1"/>
    </w:lvl>
    <w:lvl w:ilvl="1">
      <w:lvlJc w:val="left"/>
      <w:lvlText w:val="%2."/>
      <w:numFmt w:val="lowerLetter"/>
      <w:start w:val="1"/>
    </w:lvl>
  </w:abstractNum>
  <w:abstractNum w:abstractNumId="58">
    <w:nsid w:val="15014ACB"/>
    <w:multiLevelType w:val="hybridMultilevel"/>
    <w:lvl w:ilvl="0">
      <w:lvlJc w:val="left"/>
      <w:lvlText w:val="%1."/>
      <w:numFmt w:val="upperLetter"/>
      <w:start w:val="8"/>
    </w:lvl>
    <w:lvl w:ilvl="1">
      <w:lvlJc w:val="left"/>
      <w:lvlText w:val="%2"/>
      <w:numFmt w:val="lowerLetter"/>
      <w:start w:val="1"/>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upperLetter"/>
      <w:start w:val="9"/>
    </w:lvl>
  </w:abstractNum>
  <w:abstractNum w:abstractNumId="61">
    <w:nsid w:val="799D0247"/>
    <w:multiLevelType w:val="hybridMultilevel"/>
    <w:lvl w:ilvl="0">
      <w:lvlJc w:val="left"/>
      <w:lvlText w:val="%1."/>
      <w:numFmt w:val="upperLetter"/>
      <w:start w:val="1"/>
    </w:lvl>
  </w:abstractNum>
  <w:abstractNum w:abstractNumId="62">
    <w:nsid w:val="6B94764"/>
    <w:multiLevelType w:val="hybridMultilevel"/>
    <w:lvl w:ilvl="0">
      <w:lvlJc w:val="left"/>
      <w:lvlText w:val="%1."/>
      <w:numFmt w:val="upperLetter"/>
      <w:start w:val="2"/>
    </w:lvl>
  </w:abstractNum>
  <w:abstractNum w:abstractNumId="63">
    <w:nsid w:val="42C296BD"/>
    <w:multiLevelType w:val="hybridMultilevel"/>
    <w:lvl w:ilvl="0">
      <w:lvlJc w:val="left"/>
      <w:lvlText w:val="%1."/>
      <w:numFmt w:val="upperLetter"/>
      <w:start w:val="3"/>
    </w:lvl>
  </w:abstractNum>
  <w:abstractNum w:abstractNumId="64">
    <w:nsid w:val="168E121F"/>
    <w:multiLevelType w:val="hybridMultilevel"/>
    <w:lvl w:ilvl="0">
      <w:lvlJc w:val="left"/>
      <w:lvlText w:val="%1."/>
      <w:numFmt w:val="upperLetter"/>
      <w:start w:val="4"/>
    </w:lvl>
  </w:abstractNum>
  <w:abstractNum w:abstractNumId="65">
    <w:nsid w:val="1EBA5D23"/>
    <w:multiLevelType w:val="hybridMultilevel"/>
    <w:lvl w:ilvl="0">
      <w:lvlJc w:val="left"/>
      <w:lvlText w:val="%1."/>
      <w:numFmt w:val="upperLetter"/>
      <w:start w:val="5"/>
    </w:lvl>
    <w:lvl w:ilvl="1">
      <w:lvlJc w:val="left"/>
      <w:lvlText w:val="(%2)"/>
      <w:numFmt w:val="lowerLetter"/>
      <w:start w:val="1"/>
    </w:lvl>
  </w:abstractNum>
  <w:abstractNum w:abstractNumId="66">
    <w:nsid w:val="661E3F1E"/>
    <w:multiLevelType w:val="hybridMultilevel"/>
    <w:lvl w:ilvl="0">
      <w:lvlJc w:val="left"/>
      <w:lvlText w:val="%1."/>
      <w:numFmt w:val="upperLetter"/>
      <w:start w:val="6"/>
    </w:lvl>
    <w:lvl w:ilvl="1">
      <w:lvlJc w:val="left"/>
      <w:lvlText w:val="(%2)"/>
      <w:numFmt w:val="decimal"/>
      <w:start w:val="1"/>
    </w:lvl>
  </w:abstractNum>
  <w:abstractNum w:abstractNumId="67">
    <w:nsid w:val="5DC79EA8"/>
    <w:multiLevelType w:val="hybridMultilevel"/>
    <w:lvl w:ilvl="0">
      <w:lvlJc w:val="left"/>
      <w:lvlText w:val="%1."/>
      <w:numFmt w:val="upperLetter"/>
      <w:start w:val="7"/>
    </w:lvl>
  </w:abstractNum>
  <w:abstractNum w:abstractNumId="68">
    <w:nsid w:val="540A471C"/>
    <w:multiLevelType w:val="hybridMultilevel"/>
    <w:lvl w:ilvl="0">
      <w:lvlJc w:val="left"/>
      <w:lvlText w:val="%1."/>
      <w:numFmt w:val="upperLetter"/>
      <w:start w:val="8"/>
    </w:lvl>
    <w:lvl w:ilvl="1">
      <w:lvlJc w:val="left"/>
      <w:lvlText w:val="(%2)"/>
      <w:numFmt w:val="decimal"/>
      <w:start w:val="1"/>
    </w:lvl>
  </w:abstractNum>
  <w:abstractNum w:abstractNumId="69">
    <w:nsid w:val="7BD3EE7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0">
    <w:nsid w:val="51D9C56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1">
    <w:nsid w:val="613EFDC5"/>
    <w:multiLevelType w:val="hybridMultilevel"/>
    <w:lvl w:ilvl="0">
      <w:lvlJc w:val="left"/>
      <w:lvlText w:val="%1"/>
      <w:numFmt w:val="upperLetter"/>
      <w:start w:val="1"/>
    </w:lvl>
    <w:lvl w:ilvl="1">
      <w:lvlJc w:val="left"/>
      <w:lvlText w:val="(%2)"/>
      <w:numFmt w:val="decimal"/>
      <w:start w:val="1"/>
    </w:lvl>
  </w:abstractNum>
  <w:abstractNum w:abstractNumId="72">
    <w:nsid w:val="BF72B14"/>
    <w:multiLevelType w:val="hybridMultilevel"/>
    <w:lvl w:ilvl="0">
      <w:lvlJc w:val="left"/>
      <w:lvlText w:val="%1"/>
      <w:numFmt w:val="upperLetter"/>
      <w:start w:val="1"/>
    </w:lvl>
    <w:lvl w:ilvl="1">
      <w:lvlJc w:val="left"/>
      <w:lvlText w:val="(%2)"/>
      <w:numFmt w:val="decimal"/>
      <w:start w:val="1"/>
    </w:lvl>
  </w:abstractNum>
  <w:abstractNum w:abstractNumId="73">
    <w:nsid w:val="11447B73"/>
    <w:multiLevelType w:val="hybridMultilevel"/>
    <w:lvl w:ilvl="0">
      <w:lvlJc w:val="left"/>
      <w:lvlText w:val="%1."/>
      <w:numFmt w:val="upperLetter"/>
      <w:start w:val="11"/>
    </w:lvl>
    <w:lvl w:ilvl="1">
      <w:lvlJc w:val="left"/>
      <w:lvlText w:val="%2"/>
      <w:numFmt w:val="decimal"/>
      <w:start w:val="1"/>
    </w:lvl>
  </w:abstractNum>
  <w:abstractNum w:abstractNumId="74">
    <w:nsid w:val="42963E5A"/>
    <w:multiLevelType w:val="hybridMultilevel"/>
    <w:lvl w:ilvl="0">
      <w:lvlJc w:val="left"/>
      <w:lvlText w:val="%1."/>
      <w:numFmt w:val="upperLetter"/>
      <w:start w:val="12"/>
    </w:lvl>
  </w:abstractNum>
  <w:abstractNum w:abstractNumId="75">
    <w:nsid w:val="A0382C5"/>
    <w:multiLevelType w:val="hybridMultilevel"/>
    <w:lvl w:ilvl="0">
      <w:lvlJc w:val="left"/>
      <w:lvlText w:val="%1."/>
      <w:numFmt w:val="upperLetter"/>
      <w:start w:val="13"/>
    </w:lvl>
  </w:abstractNum>
  <w:abstractNum w:abstractNumId="76">
    <w:nsid w:val="8F2B15E"/>
    <w:multiLevelType w:val="hybridMultilevel"/>
    <w:lvl w:ilvl="0">
      <w:lvlJc w:val="left"/>
      <w:lvlText w:val="%1."/>
      <w:numFmt w:val="upperLetter"/>
      <w:start w:val="14"/>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emdash "/>
      <w:numFmt w:val="bullet"/>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2019-12-08T00:04:36Z</dcterms:created>
  <dcterms:modified xsi:type="dcterms:W3CDTF">2019-12-08T00:04:36Z</dcterms:modified>
</cp:coreProperties>
</file>