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November 14, 2012</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right="40"/>
        <w:spacing w:after="0"/>
        <w:rPr>
          <w:sz w:val="20"/>
          <w:szCs w:val="20"/>
          <w:color w:val="auto"/>
        </w:rPr>
      </w:pPr>
      <w:r>
        <w:rPr>
          <w:rFonts w:ascii="Arial" w:cs="Arial" w:eastAsia="Arial" w:hAnsi="Arial"/>
          <w:sz w:val="22"/>
          <w:szCs w:val="22"/>
          <w:color w:val="auto"/>
        </w:rPr>
        <w:t>On November 14, 2012, PennantPark Floating Rate Capital Ltd. issued a press release announcing its financial results for the quarter and fiscal year ended September 30, 2012. A copy of the press release is furnished as Exhibit 99.1 to this report pursuant to Item 2.02 on Form 8-K and Regulation FD.</w:t>
      </w:r>
    </w:p>
    <w:p>
      <w:pPr>
        <w:spacing w:after="0" w:line="213"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under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November 14, 2012</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ectPr>
          <w:pgSz w:w="11900" w:h="16838" w:orient="portrait"/>
          <w:cols w:equalWidth="0" w:num="1">
            <w:col w:w="11200"/>
          </w:cols>
          <w:pgMar w:left="320" w:top="828" w:right="379" w:bottom="0" w:gutter="0" w:footer="0" w:header="0"/>
        </w:sectPr>
      </w:pPr>
    </w:p>
    <w:bookmarkStart w:id="1" w:name="page2"/>
    <w:bookmarkEnd w:id="1"/>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80" w:type="dxa"/>
            <w:vAlign w:val="bottom"/>
          </w:tcPr>
          <w:p>
            <w:pPr>
              <w:spacing w:after="0"/>
              <w:rPr>
                <w:sz w:val="20"/>
                <w:szCs w:val="20"/>
                <w:color w:val="auto"/>
              </w:rPr>
            </w:pPr>
            <w:r>
              <w:rPr>
                <w:rFonts w:ascii="Arial" w:cs="Arial" w:eastAsia="Arial" w:hAnsi="Arial"/>
                <w:sz w:val="22"/>
                <w:szCs w:val="22"/>
                <w:color w:val="auto"/>
              </w:rPr>
              <w:t>Dated: November 14, 2012</w:t>
            </w:r>
          </w:p>
        </w:tc>
        <w:tc>
          <w:tcPr>
            <w:tcW w:w="6640" w:type="dxa"/>
            <w:vAlign w:val="bottom"/>
            <w:gridSpan w:val="3"/>
          </w:tcPr>
          <w:p>
            <w:pPr>
              <w:ind w:left="164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980" w:type="dxa"/>
            <w:vAlign w:val="bottom"/>
          </w:tcPr>
          <w:p>
            <w:pPr>
              <w:spacing w:after="0"/>
              <w:rPr>
                <w:sz w:val="24"/>
                <w:szCs w:val="24"/>
                <w:color w:val="auto"/>
              </w:rPr>
            </w:pPr>
          </w:p>
        </w:tc>
        <w:tc>
          <w:tcPr>
            <w:tcW w:w="6640" w:type="dxa"/>
            <w:vAlign w:val="bottom"/>
            <w:gridSpan w:val="3"/>
          </w:tcPr>
          <w:p>
            <w:pPr>
              <w:ind w:left="1640"/>
              <w:spacing w:after="0"/>
              <w:rPr>
                <w:sz w:val="20"/>
                <w:szCs w:val="20"/>
                <w:color w:val="auto"/>
              </w:rPr>
            </w:pPr>
            <w:r>
              <w:rPr>
                <w:rFonts w:ascii="Arial" w:cs="Arial" w:eastAsia="Arial" w:hAnsi="Arial"/>
                <w:sz w:val="22"/>
                <w:szCs w:val="22"/>
                <w:color w:val="auto"/>
              </w:rPr>
              <w:t>By: /s/ Aviv Efrat</w:t>
            </w:r>
          </w:p>
        </w:tc>
      </w:tr>
      <w:tr>
        <w:trPr>
          <w:trHeight w:val="20"/>
        </w:trPr>
        <w:tc>
          <w:tcPr>
            <w:tcW w:w="3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980" w:type="dxa"/>
            <w:vAlign w:val="bottom"/>
          </w:tcPr>
          <w:p>
            <w:pPr>
              <w:spacing w:after="0"/>
              <w:rPr>
                <w:sz w:val="21"/>
                <w:szCs w:val="21"/>
                <w:color w:val="auto"/>
              </w:rPr>
            </w:pPr>
          </w:p>
        </w:tc>
        <w:tc>
          <w:tcPr>
            <w:tcW w:w="6640" w:type="dxa"/>
            <w:vAlign w:val="bottom"/>
            <w:gridSpan w:val="3"/>
          </w:tcPr>
          <w:p>
            <w:pPr>
              <w:ind w:left="18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80" w:type="dxa"/>
            <w:vAlign w:val="bottom"/>
          </w:tcPr>
          <w:p>
            <w:pPr>
              <w:spacing w:after="0"/>
              <w:rPr>
                <w:sz w:val="23"/>
                <w:szCs w:val="23"/>
                <w:color w:val="auto"/>
              </w:rPr>
            </w:pPr>
          </w:p>
        </w:tc>
        <w:tc>
          <w:tcPr>
            <w:tcW w:w="6640" w:type="dxa"/>
            <w:vAlign w:val="bottom"/>
            <w:gridSpan w:val="3"/>
          </w:tcPr>
          <w:p>
            <w:pPr>
              <w:ind w:left="190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9"/>
              </w:rPr>
              <w:t>November 14, 2012</w:t>
            </w: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ind w:right="120"/>
        <w:spacing w:after="0" w:line="257" w:lineRule="auto"/>
        <w:rPr>
          <w:sz w:val="20"/>
          <w:szCs w:val="20"/>
          <w:color w:val="auto"/>
        </w:rPr>
      </w:pPr>
      <w:r>
        <w:rPr>
          <w:rFonts w:ascii="Arial" w:cs="Arial" w:eastAsia="Arial" w:hAnsi="Arial"/>
          <w:sz w:val="22"/>
          <w:szCs w:val="22"/>
          <w:b w:val="1"/>
          <w:bCs w:val="1"/>
          <w:color w:val="auto"/>
        </w:rPr>
        <w:t>PennantPark Floating Rate Capital Ltd. Announces Financial Results for the Quarter and Fiscal Year Ended September 30, 2012</w:t>
      </w:r>
    </w:p>
    <w:p>
      <w:pPr>
        <w:spacing w:after="0" w:line="167"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NEW YORK, NY -- (Marketwire - November 14, 2012) - PennantPark Floating Rate Capital Ltd. (NASDAQ: PFLT) announced today financial results for its quarter and fiscal year ended September 30, 2012.</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HIGHLIGHTS</w:t>
      </w:r>
    </w:p>
    <w:p>
      <w:pPr>
        <w:spacing w:after="0" w:line="238" w:lineRule="auto"/>
        <w:rPr>
          <w:sz w:val="20"/>
          <w:szCs w:val="20"/>
          <w:color w:val="auto"/>
        </w:rPr>
      </w:pPr>
      <w:r>
        <w:rPr>
          <w:rFonts w:ascii="Arial" w:cs="Arial" w:eastAsia="Arial" w:hAnsi="Arial"/>
          <w:sz w:val="22"/>
          <w:szCs w:val="22"/>
          <w:color w:val="auto"/>
        </w:rPr>
        <w:t>Fiscal year ended September 30, 2012</w:t>
      </w:r>
    </w:p>
    <w:p>
      <w:pPr>
        <w:spacing w:after="0"/>
        <w:rPr>
          <w:sz w:val="20"/>
          <w:szCs w:val="20"/>
          <w:color w:val="auto"/>
        </w:rPr>
      </w:pPr>
      <w:r>
        <w:rPr>
          <w:rFonts w:ascii="Arial" w:cs="Arial" w:eastAsia="Arial" w:hAnsi="Arial"/>
          <w:sz w:val="22"/>
          <w:szCs w:val="22"/>
          <w:color w:val="auto"/>
        </w:rPr>
        <w:t>($ in millions, except per share amounts)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gridSpan w:val="2"/>
          </w:tcPr>
          <w:p>
            <w:pPr>
              <w:spacing w:after="0"/>
              <w:rPr>
                <w:sz w:val="20"/>
                <w:szCs w:val="20"/>
                <w:color w:val="auto"/>
              </w:rPr>
            </w:pPr>
            <w:r>
              <w:rPr>
                <w:rFonts w:ascii="Courier New" w:cs="Courier New" w:eastAsia="Courier New" w:hAnsi="Courier New"/>
                <w:sz w:val="18"/>
                <w:szCs w:val="18"/>
                <w:color w:val="auto"/>
              </w:rPr>
              <w:t>Assets and Liabilities:</w:t>
            </w: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171.8</w:t>
            </w: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Net assets</w:t>
            </w:r>
          </w:p>
        </w:tc>
        <w:tc>
          <w:tcPr>
            <w:tcW w:w="358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95.7</w:t>
            </w: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value per share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13.98</w:t>
            </w: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Credit Facility Drawn (cost $75.5)</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75.1</w:t>
            </w: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405"/>
        </w:trPr>
        <w:tc>
          <w:tcPr>
            <w:tcW w:w="4860" w:type="dxa"/>
            <w:vAlign w:val="bottom"/>
            <w:gridSpan w:val="2"/>
          </w:tcPr>
          <w:p>
            <w:pPr>
              <w:spacing w:after="0"/>
              <w:rPr>
                <w:sz w:val="20"/>
                <w:szCs w:val="20"/>
                <w:color w:val="auto"/>
              </w:rPr>
            </w:pPr>
            <w:r>
              <w:rPr>
                <w:rFonts w:ascii="Courier New" w:cs="Courier New" w:eastAsia="Courier New" w:hAnsi="Courier New"/>
                <w:sz w:val="18"/>
                <w:szCs w:val="18"/>
                <w:color w:val="auto"/>
              </w:rPr>
              <w:t>Yield on debt investments at year-end</w:t>
            </w:r>
          </w:p>
        </w:tc>
        <w:tc>
          <w:tcPr>
            <w:tcW w:w="3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8.6%</w:t>
            </w: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05"/>
        </w:trPr>
        <w:tc>
          <w:tcPr>
            <w:tcW w:w="4860" w:type="dxa"/>
            <w:vAlign w:val="bottom"/>
            <w:gridSpan w:val="2"/>
          </w:tcPr>
          <w:p>
            <w:pPr>
              <w:spacing w:after="0"/>
              <w:rPr>
                <w:sz w:val="20"/>
                <w:szCs w:val="20"/>
                <w:color w:val="auto"/>
              </w:rPr>
            </w:pPr>
            <w:r>
              <w:rPr>
                <w:rFonts w:ascii="Courier New" w:cs="Courier New" w:eastAsia="Courier New" w:hAnsi="Courier New"/>
                <w:sz w:val="18"/>
                <w:szCs w:val="18"/>
                <w:color w:val="auto"/>
              </w:rPr>
              <w:t>Operating Results:</w:t>
            </w:r>
          </w:p>
        </w:tc>
        <w:tc>
          <w:tcPr>
            <w:tcW w:w="360" w:type="dxa"/>
            <w:vAlign w:val="bottom"/>
          </w:tcPr>
          <w:p>
            <w:pPr>
              <w:spacing w:after="0"/>
              <w:rPr>
                <w:sz w:val="24"/>
                <w:szCs w:val="24"/>
                <w:color w:val="auto"/>
              </w:rPr>
            </w:pP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9"/>
              </w:rPr>
              <w:t>Year Ended</w:t>
            </w:r>
          </w:p>
        </w:tc>
        <w:tc>
          <w:tcPr>
            <w:tcW w:w="14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Quarter Ended</w:t>
            </w:r>
          </w:p>
        </w:tc>
      </w:tr>
      <w:tr>
        <w:trPr>
          <w:trHeight w:val="203"/>
        </w:trPr>
        <w:tc>
          <w:tcPr>
            <w:tcW w:w="12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7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6.3</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4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Core net investment income per share (1)</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0.96</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0.27</w:t>
            </w:r>
          </w:p>
        </w:tc>
      </w:tr>
      <w:tr>
        <w:trPr>
          <w:trHeight w:val="203"/>
        </w:trPr>
        <w:tc>
          <w:tcPr>
            <w:tcW w:w="4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Capital gain incentive fee accrued but not</w:t>
            </w: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paid per</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0.04</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0.04</w:t>
            </w:r>
          </w:p>
        </w:tc>
      </w:tr>
      <w:tr>
        <w:trPr>
          <w:trHeight w:val="203"/>
        </w:trPr>
        <w:tc>
          <w:tcPr>
            <w:tcW w:w="4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GAAP net investment income per share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0.92</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0.23</w:t>
            </w:r>
          </w:p>
        </w:tc>
      </w:tr>
      <w:tr>
        <w:trPr>
          <w:trHeight w:val="203"/>
        </w:trPr>
        <w:tc>
          <w:tcPr>
            <w:tcW w:w="4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0.91</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0.24</w:t>
            </w:r>
          </w:p>
        </w:tc>
      </w:tr>
      <w:tr>
        <w:trPr>
          <w:trHeight w:val="405"/>
        </w:trPr>
        <w:tc>
          <w:tcPr>
            <w:tcW w:w="4860" w:type="dxa"/>
            <w:vAlign w:val="bottom"/>
            <w:gridSpan w:val="2"/>
          </w:tcPr>
          <w:p>
            <w:pPr>
              <w:spacing w:after="0"/>
              <w:rPr>
                <w:sz w:val="20"/>
                <w:szCs w:val="20"/>
                <w:color w:val="auto"/>
              </w:rPr>
            </w:pPr>
            <w:r>
              <w:rPr>
                <w:rFonts w:ascii="Courier New" w:cs="Courier New" w:eastAsia="Courier New" w:hAnsi="Courier New"/>
                <w:sz w:val="18"/>
                <w:szCs w:val="18"/>
                <w:color w:val="auto"/>
              </w:rPr>
              <w:t>Portfolio Activity:</w:t>
            </w: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of investments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128.7</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28.8</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repayments of investments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71.5</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w:t>
            </w:r>
          </w:p>
        </w:tc>
      </w:tr>
      <w:tr>
        <w:trPr>
          <w:trHeight w:val="405"/>
        </w:trPr>
        <w:tc>
          <w:tcPr>
            <w:tcW w:w="12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3580" w:type="dxa"/>
            <w:vAlign w:val="bottom"/>
          </w:tcPr>
          <w:p>
            <w:pPr>
              <w:spacing w:after="0"/>
              <w:rPr>
                <w:sz w:val="20"/>
                <w:szCs w:val="20"/>
                <w:color w:val="auto"/>
              </w:rPr>
            </w:pPr>
            <w:r>
              <w:rPr>
                <w:rFonts w:ascii="Courier New" w:cs="Courier New" w:eastAsia="Courier New" w:hAnsi="Courier New"/>
                <w:sz w:val="18"/>
                <w:szCs w:val="18"/>
                <w:color w:val="auto"/>
              </w:rPr>
              <w:t>new portfolio companies invested</w:t>
            </w:r>
          </w:p>
        </w:tc>
        <w:tc>
          <w:tcPr>
            <w:tcW w:w="360" w:type="dxa"/>
            <w:vAlign w:val="bottom"/>
          </w:tcPr>
          <w:p>
            <w:pPr>
              <w:spacing w:after="0"/>
              <w:rPr>
                <w:sz w:val="24"/>
                <w:szCs w:val="24"/>
                <w:color w:val="auto"/>
              </w:rPr>
            </w:pPr>
          </w:p>
        </w:tc>
        <w:tc>
          <w:tcPr>
            <w:tcW w:w="1360" w:type="dxa"/>
            <w:vAlign w:val="bottom"/>
          </w:tcPr>
          <w:p>
            <w:pPr>
              <w:jc w:val="right"/>
              <w:ind w:right="52"/>
              <w:spacing w:after="0"/>
              <w:rPr>
                <w:sz w:val="20"/>
                <w:szCs w:val="20"/>
                <w:color w:val="auto"/>
              </w:rPr>
            </w:pPr>
            <w:r>
              <w:rPr>
                <w:rFonts w:ascii="Courier New" w:cs="Courier New" w:eastAsia="Courier New" w:hAnsi="Courier New"/>
                <w:sz w:val="18"/>
                <w:szCs w:val="18"/>
                <w:color w:val="auto"/>
              </w:rPr>
              <w:t>47</w:t>
            </w:r>
          </w:p>
        </w:tc>
        <w:tc>
          <w:tcPr>
            <w:tcW w:w="5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existing portfolio companies</w:t>
            </w: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2"/>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invested</w:t>
            </w:r>
          </w:p>
        </w:tc>
        <w:tc>
          <w:tcPr>
            <w:tcW w:w="3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w:t>
            </w:r>
          </w:p>
        </w:tc>
        <w:tc>
          <w:tcPr>
            <w:tcW w:w="58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portfolio companies at end of</w:t>
            </w: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8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year/quarter</w:t>
            </w:r>
          </w:p>
        </w:tc>
        <w:tc>
          <w:tcPr>
            <w:tcW w:w="360" w:type="dxa"/>
            <w:vAlign w:val="bottom"/>
          </w:tcPr>
          <w:p>
            <w:pPr>
              <w:spacing w:after="0"/>
              <w:rPr>
                <w:sz w:val="17"/>
                <w:szCs w:val="17"/>
                <w:color w:val="auto"/>
              </w:rPr>
            </w:pP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61</w:t>
            </w:r>
          </w:p>
        </w:tc>
        <w:tc>
          <w:tcPr>
            <w:tcW w:w="58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w:t>
            </w:r>
          </w:p>
        </w:tc>
      </w:tr>
    </w:tbl>
    <w:p>
      <w:pPr>
        <w:spacing w:after="0" w:line="399" w:lineRule="exact"/>
        <w:rPr>
          <w:sz w:val="20"/>
          <w:szCs w:val="20"/>
          <w:color w:val="auto"/>
        </w:rPr>
      </w:pPr>
    </w:p>
    <w:p>
      <w:pPr>
        <w:ind w:right="120" w:firstLine="8"/>
        <w:spacing w:after="0" w:line="249" w:lineRule="auto"/>
        <w:tabs>
          <w:tab w:leader="none" w:pos="306" w:val="left"/>
        </w:tabs>
        <w:numPr>
          <w:ilvl w:val="0"/>
          <w:numId w:val="2"/>
        </w:numPr>
        <w:rPr>
          <w:rFonts w:ascii="Arial" w:cs="Arial" w:eastAsia="Arial" w:hAnsi="Arial"/>
          <w:sz w:val="21"/>
          <w:szCs w:val="21"/>
          <w:color w:val="auto"/>
        </w:rPr>
      </w:pPr>
      <w:r>
        <w:rPr>
          <w:rFonts w:ascii="Arial" w:cs="Arial" w:eastAsia="Arial" w:hAnsi="Arial"/>
          <w:sz w:val="21"/>
          <w:szCs w:val="21"/>
          <w:color w:val="auto"/>
        </w:rPr>
        <w:t>Core net investment income is a non-GAAP financial measure. The Company believes that core net investment income provides useful information to investors and management because it reflects the Company's financial performance excluding the charges related to performance based incentive fee on net unrealized gains accrued under GAAP but not payable unless such net unrealized gains are realized. The presentation of this additional information is not meant to be considered in isolation or as a substitute for financial results prepared in accordance with GAAP.</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11:00 A.M. ET ON NOVEMBER 15, 2012</w:t>
      </w:r>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PennantPark Floating Rate Capital Ltd. ("we," "our," "us" or "Company") will host a conference call at 11:00 a.m. (Eastern Time) on Thursday, November 15, 2012 to discuss its financial results. All interested parties are welcome to participate. You can access the conference call by dialing (888) 437-9445 approximately 5-10 minutes prior to the call. International callers should dial (719) 325-2455. All callers should reference PennantPark Floating Rate Capital Ltd. An archived replay of the call will be available through November 29, 2012 by calling (888) 203-1112. International callers please dial (719) 457-0820. For all phone replays, please reference conference ID #4565013.</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ind w:right="100"/>
        <w:spacing w:after="0" w:line="279" w:lineRule="auto"/>
        <w:rPr>
          <w:sz w:val="20"/>
          <w:szCs w:val="20"/>
          <w:color w:val="auto"/>
        </w:rPr>
      </w:pPr>
      <w:r>
        <w:rPr>
          <w:rFonts w:ascii="Arial" w:cs="Arial" w:eastAsia="Arial" w:hAnsi="Arial"/>
          <w:sz w:val="19"/>
          <w:szCs w:val="19"/>
          <w:color w:val="auto"/>
        </w:rPr>
        <w:t>As of September 30, 2012, our portfolio totaled $171.8 million and consisted of $150.2 million of senior secured loans, $12.0 million of second lien secured debt and $9.6 million of subordinated debt and preferred and common equity investments. Our portfolio consisted of 85% floating rate investments (including 81% with a London Interbank Offered Rate, or LIBOR, or prime floor) and 15% fixed-rate investments. Our overall portfolio consisted of 61 companies with an average investment size of $2.8 million, had a weighted average yield on debt investments of 8.6%, and was invested 87% in senior secured loans, 7% in second lien secured debt and 6% in subordinated debt and preferred and common equity investments.</w:t>
      </w:r>
    </w:p>
    <w:p>
      <w:pPr>
        <w:spacing w:after="0" w:line="150" w:lineRule="exact"/>
        <w:rPr>
          <w:sz w:val="20"/>
          <w:szCs w:val="20"/>
          <w:color w:val="auto"/>
        </w:rPr>
      </w:pPr>
    </w:p>
    <w:p>
      <w:pPr>
        <w:ind w:right="220"/>
        <w:spacing w:after="0" w:line="248" w:lineRule="auto"/>
        <w:rPr>
          <w:sz w:val="20"/>
          <w:szCs w:val="20"/>
          <w:color w:val="auto"/>
        </w:rPr>
      </w:pPr>
      <w:r>
        <w:rPr>
          <w:rFonts w:ascii="Arial" w:cs="Arial" w:eastAsia="Arial" w:hAnsi="Arial"/>
          <w:sz w:val="21"/>
          <w:szCs w:val="21"/>
          <w:color w:val="auto"/>
        </w:rPr>
        <w:t>As of September 30, 2011, our portfolio totaled $110.7 million and consisted of $91.4 million of senior secured loans, $12.2 million of second lien secured debt and $7.1 million of subordinated debt and preferred and common equity investments. Our portfolio consisted of 84% floating rate investments (including 78% with a LIBOR or prime floor) and 16% fixed-rate investments. Our overall portfolio consisted of 38 companies with an average investment size of $2.9 million, had a weighted average yield on debt investments of 8.0%, and was invested 83% in senior secured loans, 11% in second lien secured debt and 6% in subordinated debt and preferred and common equity investments.</w:t>
      </w:r>
    </w:p>
    <w:p>
      <w:pPr>
        <w:spacing w:after="0" w:line="177" w:lineRule="exact"/>
        <w:rPr>
          <w:sz w:val="20"/>
          <w:szCs w:val="20"/>
          <w:color w:val="auto"/>
        </w:rPr>
      </w:pPr>
    </w:p>
    <w:p>
      <w:pPr>
        <w:jc w:val="both"/>
        <w:ind w:right="280"/>
        <w:spacing w:after="0" w:line="297" w:lineRule="auto"/>
        <w:rPr>
          <w:sz w:val="20"/>
          <w:szCs w:val="20"/>
          <w:color w:val="auto"/>
        </w:rPr>
      </w:pPr>
      <w:r>
        <w:rPr>
          <w:rFonts w:ascii="Arial" w:cs="Arial" w:eastAsia="Arial" w:hAnsi="Arial"/>
          <w:sz w:val="19"/>
          <w:szCs w:val="19"/>
          <w:color w:val="auto"/>
        </w:rPr>
        <w:t>For the three months ended September 30, 2012, we purchased $28.8 million in 11 new and three existing portfolio companies with a weighted average yield on debt investments of 8.4%. Sales and repayments of investments totaled $14.5 million for the same period. This compares to the three months ended September 30, 2011, in which we purchased $32.7 million in 12 new</w:t>
      </w:r>
    </w:p>
    <w:p>
      <w:pPr>
        <w:sectPr>
          <w:pgSz w:w="11900" w:h="16838" w:orient="portrait"/>
          <w:cols w:equalWidth="0" w:num="1">
            <w:col w:w="11220"/>
          </w:cols>
          <w:pgMar w:left="320" w:top="111" w:right="359" w:bottom="0" w:gutter="0" w:footer="0" w:header="0"/>
        </w:sectPr>
      </w:pPr>
    </w:p>
    <w:bookmarkStart w:id="3" w:name="page4"/>
    <w:bookmarkEnd w:id="3"/>
    <w:p>
      <w:pPr>
        <w:ind w:right="480"/>
        <w:spacing w:after="0" w:line="251" w:lineRule="auto"/>
        <w:rPr>
          <w:sz w:val="20"/>
          <w:szCs w:val="20"/>
          <w:color w:val="auto"/>
        </w:rPr>
      </w:pPr>
      <w:r>
        <w:rPr>
          <w:rFonts w:ascii="Arial" w:cs="Arial" w:eastAsia="Arial" w:hAnsi="Arial"/>
          <w:sz w:val="22"/>
          <w:szCs w:val="22"/>
          <w:color w:val="auto"/>
        </w:rPr>
        <w:t>portfolio companies with a weighted average yield on debt investments of 8.2%. Sales and repayment of investments for the same period totaled $5.4 million.</w:t>
      </w:r>
    </w:p>
    <w:p>
      <w:pPr>
        <w:spacing w:after="0" w:line="173" w:lineRule="exact"/>
        <w:rPr>
          <w:sz w:val="20"/>
          <w:szCs w:val="20"/>
          <w:color w:val="auto"/>
        </w:rPr>
      </w:pPr>
    </w:p>
    <w:p>
      <w:pPr>
        <w:jc w:val="both"/>
        <w:ind w:right="320"/>
        <w:spacing w:after="0" w:line="249" w:lineRule="auto"/>
        <w:rPr>
          <w:sz w:val="20"/>
          <w:szCs w:val="20"/>
          <w:color w:val="auto"/>
        </w:rPr>
      </w:pPr>
      <w:r>
        <w:rPr>
          <w:rFonts w:ascii="Arial" w:cs="Arial" w:eastAsia="Arial" w:hAnsi="Arial"/>
          <w:sz w:val="21"/>
          <w:szCs w:val="21"/>
          <w:color w:val="auto"/>
        </w:rPr>
        <w:t>For the fiscal year ended September 30, 2012, we purchased $128.7 million in 47 new and seven existing portfolio companies with a weighted average yield on debt investments of 8.9%. Sales and repayments of investments totaled $71.5 million for the same period. This compares to the period March 4, 2011 (Commencement of Operations) to September 30, 2011, in which we invested $147.5 million in 50 new portfolio companies with a weighted average yield on debt investments of 7.6%. Sales and repayments of investments for the same period totaled $33.2 million.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Set forth below are the results of operations for the three months and fiscal year ended September 30, 2012 and the period from March 4, 2011 (Commencement of Operations) to September 30, 2011.</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Investment income for the three months ended September 30, 2012 and 2011 was $3.5 million and $2.0 million, respectively, and was attributable to $2.9 million and $1.5 million from senior secured loans, $0.2 million and $0.4 million from second lien secured debt investments and $0.4 million and $0.1 million from subordinated debt investments, respectively.</w:t>
      </w:r>
    </w:p>
    <w:p>
      <w:pPr>
        <w:spacing w:after="0" w:line="134"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Investment income for the year ended September 30, 2012 and the period from March 4, 2011 (Commencement of Operations) to September 30, 2011 was $12.1 million and $2.9 million, respectively, and was attributable to $9.9 million and $2.3 million from senior secured loans, $1.0 million and $0.5 million from second lien secured debt investments and $1.2 million and $0.1 million from subordinated debt investments, respectively. The increase in interest income over the prior year is due to both a full year of operation and the increased size of our portfolio.</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ind w:right="320"/>
        <w:spacing w:after="0" w:line="236" w:lineRule="auto"/>
        <w:rPr>
          <w:sz w:val="20"/>
          <w:szCs w:val="20"/>
          <w:color w:val="auto"/>
        </w:rPr>
      </w:pPr>
      <w:r>
        <w:rPr>
          <w:rFonts w:ascii="Arial" w:cs="Arial" w:eastAsia="Arial" w:hAnsi="Arial"/>
          <w:sz w:val="22"/>
          <w:szCs w:val="22"/>
          <w:color w:val="auto"/>
        </w:rPr>
        <w:t>Expenses for the three months ended September 30, 2012 and 2011 totaled $1.9 million and $0.8 million, respectively. Base management fees totaled $0.4 million and $0.3 million, performance-based incentive fees totaled $0.5 million (including $0.3 million accrued under GAAP and not to be paid) and zero, our senior secured revolving credit facility, or the Credit Facility, expenses totaled $0.5 million and $0.2 million, and general and administrative expenses totaled $0.5 million and $0.3 million, respectively, for the same periods.</w:t>
      </w:r>
    </w:p>
    <w:p>
      <w:pPr>
        <w:spacing w:after="0" w:line="187"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Expenses for the year ended September 30, 2012 and the period from March 4, 2011 (Commencement of Operations) to September 30, 2011 totaled $5.8 million and $2.6 million, respectively. Base management fees totaled $1.5 million and $0.4 million, performance-based incentive fees totaled $0.6 million (including $0.3 million accrued under GAAP and not to be paid unless the net unrealized capital gains are realized) and zero, Credit Facility expenses totaled $1.8 million (including $0.3 million of non-recurring amendment expenses) and $1.5 million (including $1.4 million of non-recurring debt-issuance costs), and general and administrative expenses totaled $1.9 million and $0.7 million, respectively, for the same periods. We expect our Credit Facility expenses and management fees to continue to increase as a result of growth in our portfolio. Additionally, general and administrative costs increased over the prior year due to a full year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jc w:val="both"/>
        <w:ind w:right="380"/>
        <w:spacing w:after="0"/>
        <w:rPr>
          <w:sz w:val="20"/>
          <w:szCs w:val="20"/>
          <w:color w:val="auto"/>
        </w:rPr>
      </w:pPr>
      <w:r>
        <w:rPr>
          <w:rFonts w:ascii="Arial" w:cs="Arial" w:eastAsia="Arial" w:hAnsi="Arial"/>
          <w:sz w:val="22"/>
          <w:szCs w:val="22"/>
          <w:color w:val="auto"/>
        </w:rPr>
        <w:t>GAAP net investment income totaled $1.5 million and $1.2 million, or $0.23 and $0.18 per share, for the three months ended September 30, 2012 and 2011, respectively. Core net investment income totaled $1.8 million, or $0.27 per share, for the three months ended September 30, 2012.</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GAAP net investment income totaled $6.3 million and $0.3 million, or $0.92 and $0.05 per share, for the year ended September 30, 2012 and the period from March 4, 2011 (Commencement of Operations) to September 30, 2011. Core net investment income totaled $6.6 million, or $0.96 per share, for the year ended September 30, 2012.</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ind w:right="360"/>
        <w:spacing w:after="0" w:line="328" w:lineRule="auto"/>
        <w:rPr>
          <w:sz w:val="20"/>
          <w:szCs w:val="20"/>
          <w:color w:val="auto"/>
        </w:rPr>
      </w:pPr>
      <w:r>
        <w:rPr>
          <w:rFonts w:ascii="Arial" w:cs="Arial" w:eastAsia="Arial" w:hAnsi="Arial"/>
          <w:sz w:val="19"/>
          <w:szCs w:val="19"/>
          <w:color w:val="auto"/>
        </w:rPr>
        <w:t>Sales and repayments of investments for the three months ended September 30, 2012 and 2011 totaled $14.5 million and $5.4 million, respectively, and realized gains totaled $0.3 million and less than $0.1 million, respectively, for the same periods.</w:t>
      </w:r>
    </w:p>
    <w:p>
      <w:pPr>
        <w:spacing w:after="0" w:line="105"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Sales and repayments of investments for the year ended September 30, 2012 and the period from March 4, 2011 (Commencement of Operations) to September 30, 2011 totaled $71.5 million and $33.2 million, respectively, and realized gains totaled $0.9 million and $0.3 million, respectively, for the same periods. The increase in sales and repayment of investments was due to shorter-term investment opportunities.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and Credit Facility</w:t>
      </w:r>
    </w:p>
    <w:p>
      <w:pPr>
        <w:spacing w:after="0" w:line="212"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For the three months ended September 30, 2012 and 2011, we reported unrealized appreciation (depreciation) on investments of $2.0 million and $(4.0) million, respectively. Net change in unrealized appreciation on our Credit Facility totaled $0.1 million and zero, respectively, for the same periods.</w:t>
      </w:r>
    </w:p>
    <w:p>
      <w:pPr>
        <w:sectPr>
          <w:pgSz w:w="11900" w:h="16838" w:orient="portrait"/>
          <w:cols w:equalWidth="0" w:num="1">
            <w:col w:w="11220"/>
          </w:cols>
          <w:pgMar w:left="320" w:top="118" w:right="359" w:bottom="60" w:gutter="0" w:footer="0" w:header="0"/>
        </w:sectPr>
      </w:pPr>
    </w:p>
    <w:bookmarkStart w:id="4" w:name="page5"/>
    <w:bookmarkEnd w:id="4"/>
    <w:p>
      <w:pPr>
        <w:ind w:right="100"/>
        <w:spacing w:after="0" w:line="236" w:lineRule="auto"/>
        <w:rPr>
          <w:sz w:val="20"/>
          <w:szCs w:val="20"/>
          <w:color w:val="auto"/>
        </w:rPr>
      </w:pPr>
      <w:r>
        <w:rPr>
          <w:rFonts w:ascii="Arial" w:cs="Arial" w:eastAsia="Arial" w:hAnsi="Arial"/>
          <w:sz w:val="22"/>
          <w:szCs w:val="22"/>
          <w:color w:val="auto"/>
        </w:rPr>
        <w:t>For the fiscal year ended September 30, 2012 and the period from March 4, 2011 (Commencement of Operations) to September 30, 2011, we reported unrealized appreciation (depreciation) on investments of $4.4 million and ($4.1) million, respectively. Net change in unrealized depreciation on our Credit Facility totaled $0.4 million and zero, respectively, for the same periods. Net change in unrealized appreciation on investments over the prior year was the result of changes in the overall leveraged finance markets.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Increase or Decrease in Net Assets Resulting from Operations</w:t>
      </w:r>
    </w:p>
    <w:p>
      <w:pPr>
        <w:spacing w:after="0" w:line="212"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color w:val="auto"/>
        </w:rPr>
        <w:t>Net increase (decrease) in net assets resulting from operations totaled $4.0 million and $(2.8) million, or $0.58 and $(0.41) per share, for the three months ended September 30, 2012 and 2011, respectively.</w:t>
      </w:r>
    </w:p>
    <w:p>
      <w:pPr>
        <w:spacing w:after="0" w:line="175" w:lineRule="exact"/>
        <w:rPr>
          <w:sz w:val="20"/>
          <w:szCs w:val="20"/>
          <w:color w:val="auto"/>
        </w:rPr>
      </w:pPr>
    </w:p>
    <w:p>
      <w:pPr>
        <w:jc w:val="both"/>
        <w:ind w:right="160"/>
        <w:spacing w:after="0"/>
        <w:rPr>
          <w:sz w:val="20"/>
          <w:szCs w:val="20"/>
          <w:color w:val="auto"/>
        </w:rPr>
      </w:pPr>
      <w:r>
        <w:rPr>
          <w:rFonts w:ascii="Arial" w:cs="Arial" w:eastAsia="Arial" w:hAnsi="Arial"/>
          <w:sz w:val="22"/>
          <w:szCs w:val="22"/>
          <w:color w:val="auto"/>
        </w:rPr>
        <w:t>Net increase (decrease) in net assets resulting from operations totaled $12.0 million and $(3.5) million, or $1.75 and $(0.51) per share, for the year ended September 30, 2012 and the period from March 4, 2011 (Commencement of Operations) to September 30, 2011,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220"/>
        <w:spacing w:after="0" w:line="236" w:lineRule="auto"/>
        <w:rPr>
          <w:sz w:val="20"/>
          <w:szCs w:val="20"/>
          <w:color w:val="auto"/>
        </w:rPr>
      </w:pPr>
      <w:r>
        <w:rPr>
          <w:rFonts w:ascii="Arial" w:cs="Arial" w:eastAsia="Arial" w:hAnsi="Arial"/>
          <w:sz w:val="22"/>
          <w:szCs w:val="22"/>
          <w:color w:val="auto"/>
        </w:rPr>
        <w:t>Our liquidity and capital resources are derived from proceeds of our initial public offering,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87"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On September 30, 2012 and 2011, there was $75.5 million and $24.7 million, respectively, in outstanding borrowings under our Credit Facility, with a weighted average interest rate of 2.47% and 2.53%, exclusive of the fee on undrawn commitments of 0.375% and 0.500%, respectively.</w:t>
      </w:r>
    </w:p>
    <w:p>
      <w:pPr>
        <w:spacing w:after="0" w:line="186" w:lineRule="exact"/>
        <w:rPr>
          <w:sz w:val="20"/>
          <w:szCs w:val="20"/>
          <w:color w:val="auto"/>
        </w:rPr>
      </w:pPr>
    </w:p>
    <w:p>
      <w:pPr>
        <w:ind w:right="300"/>
        <w:spacing w:after="0"/>
        <w:rPr>
          <w:sz w:val="20"/>
          <w:szCs w:val="20"/>
          <w:color w:val="auto"/>
        </w:rPr>
      </w:pPr>
      <w:r>
        <w:rPr>
          <w:rFonts w:ascii="Arial" w:cs="Arial" w:eastAsia="Arial" w:hAnsi="Arial"/>
          <w:sz w:val="22"/>
          <w:szCs w:val="22"/>
          <w:color w:val="auto"/>
        </w:rPr>
        <w:t>Our operating activities used cash of $47.8 million for the fiscal year ended September 30, 2012, and our financing activities provided net cash proceeds of $44.7 million for the same period. Our operating activities used cash primarily for net investing that was provided from net draws under the Credit Facility.</w:t>
      </w:r>
    </w:p>
    <w:p>
      <w:pPr>
        <w:spacing w:after="0" w:line="18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Our operating activities used cash of $113.7 million for the period from March 4, 2011 (Commencement of Operations) to September 30, 2011, and our financing activities provided net cash proceeds of $120.7 million for the same period. Our operating activities used cash primarily for investing that was provided primarily from proceeds from our initial public offering of common stock and draws under our Credit Facility.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ind w:right="100"/>
        <w:spacing w:after="0" w:line="246" w:lineRule="auto"/>
        <w:rPr>
          <w:sz w:val="20"/>
          <w:szCs w:val="20"/>
          <w:color w:val="auto"/>
        </w:rPr>
      </w:pPr>
      <w:r>
        <w:rPr>
          <w:rFonts w:ascii="Arial" w:cs="Arial" w:eastAsia="Arial" w:hAnsi="Arial"/>
          <w:sz w:val="21"/>
          <w:szCs w:val="21"/>
          <w:color w:val="auto"/>
        </w:rPr>
        <w:t>During the fiscal year ended September 30, 2012 and the period from March 4, 2011 (Commencement of Operations) to September 30, 2011, we declared distributions of $0.91 and $0.25 per share, respectively, for total distributions of $6.2 million and $1.7 million, respectively. For the three months ended September 30, 2012 and 2011, we declared distributions of $0.24 and $0.20 per share, respectively, for total distributions of $1.6 million and $1.4 million, respectively. Distributions are paid from taxable earnings and may include a return of capital and/or capital gains. The specific tax characteristics of the distributions will be reported to stockholders on Form 1099-DIV after the end of the calendar year and in our periodic reports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color w:val="auto"/>
        </w:rPr>
        <w:t>The Company makes available on its website its report on Form 10-K filed with the Securities and Exchange Commission and stockholders may find the report on its website at www.pennantpark.com.</w:t>
      </w:r>
    </w:p>
    <w:p>
      <w:pPr>
        <w:spacing w:after="0" w:line="396" w:lineRule="exact"/>
        <w:rPr>
          <w:sz w:val="20"/>
          <w:szCs w:val="20"/>
          <w:color w:val="auto"/>
        </w:rPr>
      </w:pPr>
    </w:p>
    <w:p>
      <w:pPr>
        <w:jc w:val="center"/>
        <w:ind w:right="3280"/>
        <w:spacing w:after="0"/>
        <w:rPr>
          <w:sz w:val="20"/>
          <w:szCs w:val="20"/>
          <w:color w:val="auto"/>
        </w:rPr>
      </w:pPr>
      <w:r>
        <w:rPr>
          <w:rFonts w:ascii="Courier New" w:cs="Courier New" w:eastAsia="Courier New" w:hAnsi="Courier New"/>
          <w:sz w:val="18"/>
          <w:szCs w:val="18"/>
          <w:color w:val="auto"/>
        </w:rPr>
        <w:t>PENNANTPARK FLOATING RATE CAPITAL LTD. AND SUBSIDIARY</w:t>
      </w:r>
    </w:p>
    <w:p>
      <w:pPr>
        <w:jc w:val="center"/>
        <w:ind w:right="3280"/>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spacing w:after="0"/>
              <w:rPr>
                <w:sz w:val="17"/>
                <w:szCs w:val="17"/>
                <w:color w:val="auto"/>
              </w:rPr>
            </w:pPr>
          </w:p>
        </w:tc>
        <w:tc>
          <w:tcPr>
            <w:tcW w:w="278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rPr>
              <w:t>September 30,</w:t>
            </w:r>
          </w:p>
        </w:tc>
      </w:tr>
      <w:tr>
        <w:trPr>
          <w:trHeight w:val="203"/>
        </w:trPr>
        <w:tc>
          <w:tcPr>
            <w:tcW w:w="5120" w:type="dxa"/>
            <w:vAlign w:val="bottom"/>
          </w:tcPr>
          <w:p>
            <w:pPr>
              <w:spacing w:after="0"/>
              <w:rPr>
                <w:sz w:val="17"/>
                <w:szCs w:val="17"/>
                <w:color w:val="auto"/>
              </w:rPr>
            </w:pPr>
          </w:p>
        </w:tc>
        <w:tc>
          <w:tcPr>
            <w:tcW w:w="2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512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2012</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2011</w:t>
            </w:r>
          </w:p>
        </w:tc>
      </w:tr>
      <w:tr>
        <w:trPr>
          <w:trHeight w:val="203"/>
        </w:trPr>
        <w:tc>
          <w:tcPr>
            <w:tcW w:w="512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4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4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2"/>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Non-controlled, non-affiliated investments, at</w:t>
            </w:r>
          </w:p>
        </w:tc>
        <w:tc>
          <w:tcPr>
            <w:tcW w:w="14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fair value (cost--$171,578,009 and</w:t>
            </w:r>
          </w:p>
        </w:tc>
        <w:tc>
          <w:tcPr>
            <w:tcW w:w="14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2"/>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$114,829,621, respectively)</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$171,834,400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$110,724,241</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equivalents</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3,845,803</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6,987,450</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1,388,867</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732,695</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 for investments sold</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986,278</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2,467,500</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311,313</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163,374</w:t>
            </w:r>
          </w:p>
        </w:tc>
      </w:tr>
      <w:tr>
        <w:trPr>
          <w:trHeight w:val="202"/>
        </w:trPr>
        <w:tc>
          <w:tcPr>
            <w:tcW w:w="512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178,366,661</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121,075,260</w:t>
            </w:r>
          </w:p>
        </w:tc>
      </w:tr>
      <w:tr>
        <w:trPr>
          <w:trHeight w:val="203"/>
        </w:trPr>
        <w:tc>
          <w:tcPr>
            <w:tcW w:w="512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14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2"/>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548,053</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479,547</w:t>
            </w:r>
          </w:p>
        </w:tc>
      </w:tr>
    </w:tbl>
    <w:p>
      <w:pPr>
        <w:sectPr>
          <w:pgSz w:w="11900" w:h="16838" w:orient="portrait"/>
          <w:cols w:equalWidth="0" w:num="1">
            <w:col w:w="11200"/>
          </w:cols>
          <w:pgMar w:left="320" w:top="118" w:right="37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Payable for investments purchased</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3,357,500</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990,000</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Unfunded investments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2,323,250</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Credit Facility payable (cost--$75,500,000 and</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$24,650,000, respectively)</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75,122,500</w:t>
            </w:r>
          </w:p>
        </w:tc>
        <w:tc>
          <w:tcPr>
            <w:tcW w:w="300" w:type="dxa"/>
            <w:vAlign w:val="bottom"/>
          </w:tcPr>
          <w:p>
            <w:pPr>
              <w:spacing w:after="0"/>
              <w:rPr>
                <w:sz w:val="17"/>
                <w:szCs w:val="17"/>
                <w:color w:val="auto"/>
              </w:rPr>
            </w:pP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24,650,000</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 on Credit Facility</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161,550</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150,246</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payable</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424,747</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266,432</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Performance-based incentive fees payable</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506,314</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447,120</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143,680</w:t>
            </w:r>
          </w:p>
        </w:tc>
      </w:tr>
      <w:tr>
        <w:trPr>
          <w:trHeight w:val="202"/>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sales load</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2,055,000</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82,622,784</w:t>
            </w:r>
          </w:p>
        </w:tc>
        <w:tc>
          <w:tcPr>
            <w:tcW w:w="300" w:type="dxa"/>
            <w:vAlign w:val="bottom"/>
          </w:tcPr>
          <w:p>
            <w:pPr>
              <w:spacing w:after="0"/>
              <w:rPr>
                <w:sz w:val="17"/>
                <w:szCs w:val="17"/>
                <w:color w:val="auto"/>
              </w:rPr>
            </w:pP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29,003,155</w:t>
            </w:r>
          </w:p>
        </w:tc>
      </w:tr>
      <w:tr>
        <w:trPr>
          <w:trHeight w:val="203"/>
        </w:trPr>
        <w:tc>
          <w:tcPr>
            <w:tcW w:w="4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Common stock, 6,850,667 shares are issued and</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outstanding. Par value $0.001 per share and</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100,000,000 shares authorized.</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6,851</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6,851</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 in excess of par value</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95,192,222</w:t>
            </w:r>
          </w:p>
        </w:tc>
        <w:tc>
          <w:tcPr>
            <w:tcW w:w="300" w:type="dxa"/>
            <w:vAlign w:val="bottom"/>
          </w:tcPr>
          <w:p>
            <w:pPr>
              <w:spacing w:after="0"/>
              <w:rPr>
                <w:sz w:val="17"/>
                <w:szCs w:val="17"/>
                <w:color w:val="auto"/>
              </w:rPr>
            </w:pP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97,251,174</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Distributions in excess of net investment income</w:t>
            </w:r>
          </w:p>
        </w:tc>
        <w:tc>
          <w:tcPr>
            <w:tcW w:w="160" w:type="dxa"/>
            <w:vAlign w:val="bottom"/>
          </w:tcPr>
          <w:p>
            <w:pPr>
              <w:spacing w:after="0"/>
              <w:rPr>
                <w:sz w:val="17"/>
                <w:szCs w:val="17"/>
                <w:color w:val="auto"/>
              </w:rPr>
            </w:pP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(1,313,000)</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(1,392,528)</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Accumulated net realized gain on investments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1,223,913</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311,988</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unrealized appreciation (depreciation) on</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256,391</w:t>
            </w:r>
          </w:p>
        </w:tc>
        <w:tc>
          <w:tcPr>
            <w:tcW w:w="300" w:type="dxa"/>
            <w:vAlign w:val="bottom"/>
          </w:tcPr>
          <w:p>
            <w:pPr>
              <w:spacing w:after="0"/>
              <w:rPr>
                <w:sz w:val="17"/>
                <w:szCs w:val="17"/>
                <w:color w:val="auto"/>
              </w:rPr>
            </w:pP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(4,105,380)</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unrealized appreciation on Credit Facility</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377,500</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net assets</w:t>
            </w:r>
          </w:p>
        </w:tc>
        <w:tc>
          <w:tcPr>
            <w:tcW w:w="48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$ 95,743,877</w:t>
            </w:r>
          </w:p>
        </w:tc>
        <w:tc>
          <w:tcPr>
            <w:tcW w:w="158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$ 92,072,105</w:t>
            </w:r>
          </w:p>
        </w:tc>
      </w:tr>
      <w:tr>
        <w:trPr>
          <w:trHeight w:val="203"/>
        </w:trPr>
        <w:tc>
          <w:tcPr>
            <w:tcW w:w="4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48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$178,366,661</w:t>
            </w:r>
          </w:p>
        </w:tc>
        <w:tc>
          <w:tcPr>
            <w:tcW w:w="158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$121,075,260</w:t>
            </w:r>
          </w:p>
        </w:tc>
      </w:tr>
      <w:tr>
        <w:trPr>
          <w:trHeight w:val="203"/>
        </w:trPr>
        <w:tc>
          <w:tcPr>
            <w:tcW w:w="4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4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13.98</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13.44</w:t>
            </w:r>
          </w:p>
        </w:tc>
      </w:tr>
      <w:tr>
        <w:trPr>
          <w:trHeight w:val="203"/>
        </w:trPr>
        <w:tc>
          <w:tcPr>
            <w:tcW w:w="4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74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PENNANTPARK FLOATING RATE CAPITAL LTD. AND SUBSIDIARY</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6440" w:type="dxa"/>
            <w:vAlign w:val="bottom"/>
            <w:gridSpan w:val="4"/>
          </w:tcPr>
          <w:p>
            <w:pPr>
              <w:jc w:val="right"/>
              <w:ind w:right="452"/>
              <w:spacing w:after="0" w:line="203" w:lineRule="exact"/>
              <w:rPr>
                <w:sz w:val="20"/>
                <w:szCs w:val="20"/>
                <w:color w:val="auto"/>
              </w:rPr>
            </w:pPr>
            <w:r>
              <w:rPr>
                <w:rFonts w:ascii="Courier New" w:cs="Courier New" w:eastAsia="Courier New" w:hAnsi="Courier New"/>
                <w:sz w:val="18"/>
                <w:szCs w:val="18"/>
                <w:color w:val="auto"/>
              </w:rPr>
              <w:t>CONSOLIDATED STATEMENTS OF OPERATIONS</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4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gridSpan w:val="3"/>
          </w:tcPr>
          <w:p>
            <w:pPr>
              <w:spacing w:after="0"/>
              <w:rPr>
                <w:sz w:val="20"/>
                <w:szCs w:val="20"/>
                <w:color w:val="auto"/>
              </w:rPr>
            </w:pPr>
            <w:r>
              <w:rPr>
                <w:rFonts w:ascii="Courier New" w:cs="Courier New" w:eastAsia="Courier New" w:hAnsi="Courier New"/>
                <w:sz w:val="18"/>
                <w:szCs w:val="18"/>
                <w:color w:val="auto"/>
              </w:rPr>
              <w:t>For the period</w:t>
            </w:r>
          </w:p>
        </w:tc>
      </w:tr>
      <w:tr>
        <w:trPr>
          <w:trHeight w:val="203"/>
        </w:trPr>
        <w:tc>
          <w:tcPr>
            <w:tcW w:w="4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from March 4,</w:t>
            </w:r>
          </w:p>
        </w:tc>
      </w:tr>
      <w:tr>
        <w:trPr>
          <w:trHeight w:val="203"/>
        </w:trPr>
        <w:tc>
          <w:tcPr>
            <w:tcW w:w="4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2011</w:t>
            </w:r>
          </w:p>
        </w:tc>
      </w:tr>
      <w:tr>
        <w:trPr>
          <w:trHeight w:val="203"/>
        </w:trPr>
        <w:tc>
          <w:tcPr>
            <w:tcW w:w="4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(Commencement</w:t>
            </w:r>
          </w:p>
        </w:tc>
      </w:tr>
      <w:tr>
        <w:trPr>
          <w:trHeight w:val="203"/>
        </w:trPr>
        <w:tc>
          <w:tcPr>
            <w:tcW w:w="4640" w:type="dxa"/>
            <w:vAlign w:val="bottom"/>
          </w:tcPr>
          <w:p>
            <w:pPr>
              <w:spacing w:after="0"/>
              <w:rPr>
                <w:sz w:val="17"/>
                <w:szCs w:val="17"/>
                <w:color w:val="auto"/>
              </w:rPr>
            </w:pPr>
          </w:p>
        </w:tc>
        <w:tc>
          <w:tcPr>
            <w:tcW w:w="1800" w:type="dxa"/>
            <w:vAlign w:val="bottom"/>
            <w:gridSpan w:val="3"/>
          </w:tcPr>
          <w:p>
            <w:pPr>
              <w:jc w:val="right"/>
              <w:ind w:right="452"/>
              <w:spacing w:after="0" w:line="203" w:lineRule="exact"/>
              <w:rPr>
                <w:sz w:val="20"/>
                <w:szCs w:val="20"/>
                <w:color w:val="auto"/>
              </w:rPr>
            </w:pPr>
            <w:r>
              <w:rPr>
                <w:rFonts w:ascii="Courier New" w:cs="Courier New" w:eastAsia="Courier New" w:hAnsi="Courier New"/>
                <w:sz w:val="18"/>
                <w:szCs w:val="18"/>
                <w:color w:val="auto"/>
              </w:rPr>
              <w:t>Year Ended</w:t>
            </w:r>
          </w:p>
        </w:tc>
        <w:tc>
          <w:tcPr>
            <w:tcW w:w="1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of Operations)</w:t>
            </w:r>
          </w:p>
        </w:tc>
      </w:tr>
      <w:tr>
        <w:trPr>
          <w:trHeight w:val="203"/>
        </w:trPr>
        <w:tc>
          <w:tcPr>
            <w:tcW w:w="4640" w:type="dxa"/>
            <w:vAlign w:val="bottom"/>
          </w:tcPr>
          <w:p>
            <w:pPr>
              <w:spacing w:after="0"/>
              <w:rPr>
                <w:sz w:val="17"/>
                <w:szCs w:val="17"/>
                <w:color w:val="auto"/>
              </w:rPr>
            </w:pPr>
          </w:p>
        </w:tc>
        <w:tc>
          <w:tcPr>
            <w:tcW w:w="180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September 30,</w:t>
            </w:r>
          </w:p>
        </w:tc>
        <w:tc>
          <w:tcPr>
            <w:tcW w:w="158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to September</w:t>
            </w:r>
          </w:p>
        </w:tc>
      </w:tr>
      <w:tr>
        <w:trPr>
          <w:trHeight w:val="203"/>
        </w:trPr>
        <w:tc>
          <w:tcPr>
            <w:tcW w:w="4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2"/>
              </w:rPr>
              <w:t>2012</w:t>
            </w:r>
          </w:p>
        </w:tc>
        <w:tc>
          <w:tcPr>
            <w:tcW w:w="30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30,</w:t>
            </w:r>
          </w:p>
        </w:tc>
        <w:tc>
          <w:tcPr>
            <w:tcW w:w="9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2011</w:t>
            </w:r>
          </w:p>
        </w:tc>
      </w:tr>
      <w:tr>
        <w:trPr>
          <w:trHeight w:val="203"/>
        </w:trPr>
        <w:tc>
          <w:tcPr>
            <w:tcW w:w="4640" w:type="dxa"/>
            <w:vAlign w:val="bottom"/>
          </w:tcPr>
          <w:p>
            <w:pPr>
              <w:spacing w:after="0"/>
              <w:rPr>
                <w:sz w:val="17"/>
                <w:szCs w:val="17"/>
                <w:color w:val="auto"/>
              </w:rPr>
            </w:pPr>
          </w:p>
        </w:tc>
        <w:tc>
          <w:tcPr>
            <w:tcW w:w="3380" w:type="dxa"/>
            <w:vAlign w:val="bottom"/>
            <w:gridSpan w:val="6"/>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 non-affiliated</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11,856,483 $</w:t>
            </w:r>
          </w:p>
        </w:tc>
        <w:tc>
          <w:tcPr>
            <w:tcW w:w="300" w:type="dxa"/>
            <w:vAlign w:val="bottom"/>
          </w:tcPr>
          <w:p>
            <w:pPr>
              <w:spacing w:after="0"/>
              <w:rPr>
                <w:sz w:val="17"/>
                <w:szCs w:val="17"/>
                <w:color w:val="auto"/>
              </w:rPr>
            </w:pP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2,946,599</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242,065</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3380" w:type="dxa"/>
            <w:vAlign w:val="bottom"/>
            <w:gridSpan w:val="6"/>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2"/>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income</w:t>
            </w:r>
          </w:p>
        </w:tc>
        <w:tc>
          <w:tcPr>
            <w:tcW w:w="480" w:type="dxa"/>
            <w:vAlign w:val="bottom"/>
          </w:tcPr>
          <w:p>
            <w:pPr>
              <w:spacing w:after="0"/>
              <w:rPr>
                <w:sz w:val="17"/>
                <w:szCs w:val="17"/>
                <w:color w:val="auto"/>
              </w:rPr>
            </w:pPr>
          </w:p>
        </w:tc>
        <w:tc>
          <w:tcPr>
            <w:tcW w:w="1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12,098,548</w:t>
            </w:r>
          </w:p>
        </w:tc>
        <w:tc>
          <w:tcPr>
            <w:tcW w:w="300" w:type="dxa"/>
            <w:vAlign w:val="bottom"/>
          </w:tcPr>
          <w:p>
            <w:pPr>
              <w:spacing w:after="0"/>
              <w:rPr>
                <w:sz w:val="17"/>
                <w:szCs w:val="17"/>
                <w:color w:val="auto"/>
              </w:rPr>
            </w:pP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2,946,599</w:t>
            </w:r>
          </w:p>
        </w:tc>
      </w:tr>
      <w:tr>
        <w:trPr>
          <w:trHeight w:val="203"/>
        </w:trPr>
        <w:tc>
          <w:tcPr>
            <w:tcW w:w="4640" w:type="dxa"/>
            <w:vAlign w:val="bottom"/>
          </w:tcPr>
          <w:p>
            <w:pPr>
              <w:spacing w:after="0"/>
              <w:rPr>
                <w:sz w:val="17"/>
                <w:szCs w:val="17"/>
                <w:color w:val="auto"/>
              </w:rPr>
            </w:pPr>
          </w:p>
        </w:tc>
        <w:tc>
          <w:tcPr>
            <w:tcW w:w="3380" w:type="dxa"/>
            <w:vAlign w:val="bottom"/>
            <w:gridSpan w:val="6"/>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1,494,616</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365,433</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Performance-based incentive fees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564,540</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 expenses on the Credit</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Facility</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1,482,339</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155,913</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 services expenses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583,613</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182,995</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Other general and administrative expenses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1,310,084</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556,076</w:t>
            </w:r>
          </w:p>
        </w:tc>
      </w:tr>
      <w:tr>
        <w:trPr>
          <w:trHeight w:val="203"/>
        </w:trPr>
        <w:tc>
          <w:tcPr>
            <w:tcW w:w="4640" w:type="dxa"/>
            <w:vAlign w:val="bottom"/>
          </w:tcPr>
          <w:p>
            <w:pPr>
              <w:spacing w:after="0"/>
              <w:rPr>
                <w:sz w:val="17"/>
                <w:szCs w:val="17"/>
                <w:color w:val="auto"/>
              </w:rPr>
            </w:pPr>
          </w:p>
        </w:tc>
        <w:tc>
          <w:tcPr>
            <w:tcW w:w="3380" w:type="dxa"/>
            <w:vAlign w:val="bottom"/>
            <w:gridSpan w:val="6"/>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Expenses before Credit Facility costs and</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excise tax expense</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5,435,192</w:t>
            </w:r>
          </w:p>
        </w:tc>
        <w:tc>
          <w:tcPr>
            <w:tcW w:w="300" w:type="dxa"/>
            <w:vAlign w:val="bottom"/>
          </w:tcPr>
          <w:p>
            <w:pPr>
              <w:spacing w:after="0"/>
              <w:rPr>
                <w:sz w:val="17"/>
                <w:szCs w:val="17"/>
                <w:color w:val="auto"/>
              </w:rPr>
            </w:pP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1,260,417</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 issuance costs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311,648</w:t>
            </w:r>
          </w:p>
        </w:tc>
        <w:tc>
          <w:tcPr>
            <w:tcW w:w="300" w:type="dxa"/>
            <w:vAlign w:val="bottom"/>
          </w:tcPr>
          <w:p>
            <w:pPr>
              <w:spacing w:after="0"/>
              <w:rPr>
                <w:sz w:val="17"/>
                <w:szCs w:val="17"/>
                <w:color w:val="auto"/>
              </w:rPr>
            </w:pP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1,366,043</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Excise tax</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42,027</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3380" w:type="dxa"/>
            <w:vAlign w:val="bottom"/>
            <w:gridSpan w:val="6"/>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expenses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5,788,867</w:t>
            </w:r>
          </w:p>
        </w:tc>
        <w:tc>
          <w:tcPr>
            <w:tcW w:w="300" w:type="dxa"/>
            <w:vAlign w:val="bottom"/>
          </w:tcPr>
          <w:p>
            <w:pPr>
              <w:spacing w:after="0"/>
              <w:rPr>
                <w:sz w:val="17"/>
                <w:szCs w:val="17"/>
                <w:color w:val="auto"/>
              </w:rPr>
            </w:pP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2,626,460</w:t>
            </w:r>
          </w:p>
        </w:tc>
      </w:tr>
      <w:tr>
        <w:trPr>
          <w:trHeight w:val="203"/>
        </w:trPr>
        <w:tc>
          <w:tcPr>
            <w:tcW w:w="4640" w:type="dxa"/>
            <w:vAlign w:val="bottom"/>
          </w:tcPr>
          <w:p>
            <w:pPr>
              <w:spacing w:after="0"/>
              <w:rPr>
                <w:sz w:val="17"/>
                <w:szCs w:val="17"/>
                <w:color w:val="auto"/>
              </w:rPr>
            </w:pPr>
          </w:p>
        </w:tc>
        <w:tc>
          <w:tcPr>
            <w:tcW w:w="3380" w:type="dxa"/>
            <w:vAlign w:val="bottom"/>
            <w:gridSpan w:val="6"/>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6,309,681</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320,139</w:t>
            </w:r>
          </w:p>
        </w:tc>
      </w:tr>
      <w:tr>
        <w:trPr>
          <w:trHeight w:val="203"/>
        </w:trPr>
        <w:tc>
          <w:tcPr>
            <w:tcW w:w="4640" w:type="dxa"/>
            <w:vAlign w:val="bottom"/>
          </w:tcPr>
          <w:p>
            <w:pPr>
              <w:spacing w:after="0"/>
              <w:rPr>
                <w:sz w:val="17"/>
                <w:szCs w:val="17"/>
                <w:color w:val="auto"/>
              </w:rPr>
            </w:pPr>
          </w:p>
        </w:tc>
        <w:tc>
          <w:tcPr>
            <w:tcW w:w="3380" w:type="dxa"/>
            <w:vAlign w:val="bottom"/>
            <w:gridSpan w:val="6"/>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and unrealized gain (loss) on</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2"/>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Credit Facility:</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2"/>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gain on non-controlled, non-</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 investments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911,925</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311,988</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unrealized appreciation</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2"/>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on:</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4,361,772</w:t>
            </w:r>
          </w:p>
        </w:tc>
        <w:tc>
          <w:tcPr>
            <w:tcW w:w="300" w:type="dxa"/>
            <w:vAlign w:val="bottom"/>
          </w:tcPr>
          <w:p>
            <w:pPr>
              <w:spacing w:after="0"/>
              <w:rPr>
                <w:sz w:val="17"/>
                <w:szCs w:val="17"/>
                <w:color w:val="auto"/>
              </w:rPr>
            </w:pP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(4,105,380)</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 appreciation</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377,500</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3380" w:type="dxa"/>
            <w:vAlign w:val="bottom"/>
            <w:gridSpan w:val="6"/>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2"/>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 unrealized appreciation</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(depreciation) on investments and Credit</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Facility</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4,739,272</w:t>
            </w:r>
          </w:p>
        </w:tc>
        <w:tc>
          <w:tcPr>
            <w:tcW w:w="300" w:type="dxa"/>
            <w:vAlign w:val="bottom"/>
          </w:tcPr>
          <w:p>
            <w:pPr>
              <w:spacing w:after="0"/>
              <w:rPr>
                <w:sz w:val="17"/>
                <w:szCs w:val="17"/>
                <w:color w:val="auto"/>
              </w:rPr>
            </w:pP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(4,105,380)</w:t>
            </w:r>
          </w:p>
        </w:tc>
      </w:tr>
      <w:tr>
        <w:trPr>
          <w:trHeight w:val="203"/>
        </w:trPr>
        <w:tc>
          <w:tcPr>
            <w:tcW w:w="4640" w:type="dxa"/>
            <w:vAlign w:val="bottom"/>
          </w:tcPr>
          <w:p>
            <w:pPr>
              <w:spacing w:after="0"/>
              <w:rPr>
                <w:sz w:val="17"/>
                <w:szCs w:val="17"/>
                <w:color w:val="auto"/>
              </w:rPr>
            </w:pPr>
          </w:p>
        </w:tc>
        <w:tc>
          <w:tcPr>
            <w:tcW w:w="3380" w:type="dxa"/>
            <w:vAlign w:val="bottom"/>
            <w:gridSpan w:val="6"/>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 ---------------</w:t>
            </w:r>
          </w:p>
        </w:tc>
      </w:tr>
    </w:tbl>
    <w:p>
      <w:pPr>
        <w:sectPr>
          <w:pgSz w:w="11900" w:h="16838" w:orient="portrait"/>
          <w:cols w:equalWidth="0" w:num="1">
            <w:col w:w="10139"/>
          </w:cols>
          <w:pgMar w:left="320" w:top="136"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Net realized and unrealized gain (loss)</w:t>
            </w: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from investments and Credit Facility</w:t>
            </w:r>
          </w:p>
        </w:tc>
        <w:tc>
          <w:tcPr>
            <w:tcW w:w="78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5,651,197</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(3,793,392)</w:t>
            </w:r>
          </w:p>
        </w:tc>
      </w:tr>
      <w:tr>
        <w:trPr>
          <w:trHeight w:val="203"/>
        </w:trPr>
        <w:tc>
          <w:tcPr>
            <w:tcW w:w="438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 in net assets</w:t>
            </w: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resulting from operations</w:t>
            </w:r>
          </w:p>
        </w:tc>
        <w:tc>
          <w:tcPr>
            <w:tcW w:w="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11,960,878</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(3,473,253)</w:t>
            </w:r>
          </w:p>
        </w:tc>
      </w:tr>
      <w:tr>
        <w:trPr>
          <w:trHeight w:val="203"/>
        </w:trPr>
        <w:tc>
          <w:tcPr>
            <w:tcW w:w="438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 in net assets</w:t>
            </w: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resulting from operations per common share $</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(0.51)</w:t>
            </w:r>
          </w:p>
        </w:tc>
      </w:tr>
      <w:tr>
        <w:trPr>
          <w:trHeight w:val="203"/>
        </w:trPr>
        <w:tc>
          <w:tcPr>
            <w:tcW w:w="438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 income per common share</w:t>
            </w:r>
          </w:p>
        </w:tc>
        <w:tc>
          <w:tcPr>
            <w:tcW w:w="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0.92</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0.05</w:t>
            </w:r>
          </w:p>
        </w:tc>
      </w:tr>
      <w:tr>
        <w:trPr>
          <w:trHeight w:val="202"/>
        </w:trPr>
        <w:tc>
          <w:tcPr>
            <w:tcW w:w="438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ind w:right="56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50"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You should not place undue influence on such forward-looking statements as such statements speak only as of the date on which they are made. We do not undertake to update our forward-looking statements unless required by law.</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7"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1200"/>
      </w:cols>
      <w:pgMar w:left="320" w:top="13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2020-05-05T12:04:25Z</dcterms:created>
  <dcterms:modified xsi:type="dcterms:W3CDTF">2020-05-05T12:04:25Z</dcterms:modified>
</cp:coreProperties>
</file>