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September 2,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September 2, 2021,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w:t>
      </w:r>
      <w:hyperlink w:anchor="page4">
        <w:r>
          <w:rPr>
            <w:rFonts w:ascii="Arial" w:cs="Arial" w:eastAsia="Arial" w:hAnsi="Arial"/>
            <w:sz w:val="16"/>
            <w:szCs w:val="16"/>
            <w:u w:val="single" w:color="auto"/>
            <w:color w:val="0000EE"/>
          </w:rPr>
          <w:t>ress Release of PennantPark Floating Rate Capital Ltd. Dated September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620" w:type="dxa"/>
            <w:vAlign w:val="bottom"/>
          </w:tcPr>
          <w:p>
            <w:pPr>
              <w:spacing w:after="0"/>
              <w:rPr>
                <w:sz w:val="20"/>
                <w:szCs w:val="20"/>
                <w:color w:val="auto"/>
              </w:rPr>
            </w:pPr>
            <w:r>
              <w:rPr>
                <w:rFonts w:ascii="Arial" w:cs="Arial" w:eastAsia="Arial" w:hAnsi="Arial"/>
                <w:sz w:val="18"/>
                <w:szCs w:val="18"/>
                <w:color w:val="auto"/>
              </w:rPr>
              <w:t>Date: September 2, 2021</w:t>
            </w:r>
          </w:p>
        </w:tc>
        <w:tc>
          <w:tcPr>
            <w:tcW w:w="4940" w:type="dxa"/>
            <w:vAlign w:val="bottom"/>
            <w:gridSpan w:val="3"/>
          </w:tcPr>
          <w:p>
            <w:pPr>
              <w:ind w:left="1840"/>
              <w:spacing w:after="0"/>
              <w:rPr>
                <w:sz w:val="20"/>
                <w:szCs w:val="20"/>
                <w:color w:val="auto"/>
              </w:rPr>
            </w:pPr>
            <w:r>
              <w:rPr>
                <w:rFonts w:ascii="Arial" w:cs="Arial" w:eastAsia="Arial" w:hAnsi="Arial"/>
                <w:sz w:val="18"/>
                <w:szCs w:val="18"/>
                <w:color w:val="auto"/>
              </w:rPr>
              <w:t>By: /s/ Richard Cheung</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NEW YORK, Sept. 02, 2021 (GLOBE NEWSWIRE) -- PennantPark Floating Rate Capital Ltd. (the "Company") (NASDAQ: PFLT) (TASE: PFLT) declares its monthly distribution for September 2021 of $0.095 per share, payable on October 1, 2021 to stockholders of record as of September 17,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2021-09-02T15:08:44Z</dcterms:created>
  <dcterms:modified xsi:type="dcterms:W3CDTF">2021-09-02T15:08:44Z</dcterms:modified>
</cp:coreProperties>
</file>