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 No. 333-268813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83185</wp:posOffset>
            </wp:positionV>
            <wp:extent cx="203200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00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Up to $250 million</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166370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5" w:lineRule="exact"/>
        <w:rPr>
          <w:sz w:val="24"/>
          <w:szCs w:val="24"/>
          <w:color w:val="auto"/>
        </w:rPr>
      </w:pPr>
    </w:p>
    <w:p>
      <w:pPr>
        <w:ind w:right="100"/>
        <w:spacing w:after="0" w:line="244" w:lineRule="auto"/>
        <w:rPr>
          <w:sz w:val="20"/>
          <w:szCs w:val="20"/>
          <w:color w:val="auto"/>
        </w:rPr>
      </w:pPr>
      <w:r>
        <w:rPr>
          <w:rFonts w:ascii="Arial" w:cs="Arial" w:eastAsia="Arial" w:hAnsi="Arial"/>
          <w:sz w:val="13"/>
          <w:szCs w:val="13"/>
          <w:color w:val="auto"/>
        </w:rPr>
        <w:t>PennantPark Floating Rate Capital Ltd. (“we”, “our”, or “us”) has entered into separate amended and restated equity distribution agreements, each dated August 11, 2023, with Citizens JMP Securities, LLC, Raymond James &amp; Associates, Inc. and Truist Securities, Inc., each, a sales agent, relating to the shares of our common stock offered by this prospectus supplement and the accompanying prospectus. The amended and restated equity distribution agreements provide that we may offer and sell shares of our common stock having an aggregate offering price of up to $250 million (which amount includes all of the shares of our common stock previously sold pursuant to the equity distribution agreements dated March 31, 2023) from time to time through the sales agents. Sales of our common stock, if any, under this prospectus supplement and the accompanying prospectus may be made in negotiated transactions or transactions that are deemed to be “at the market,” as defined in Rule 415 under the Securities Act of 1933, as amended, or the Securities Act, including sales made directly on The New York Stock Exchange, or NYSE, or any similar securities exchange or sales made to or through a market maker other than on a securities exchange, at prices related to the prevailing market prices or at negotiated prices. See “</w:t>
      </w:r>
      <w:r>
        <w:rPr>
          <w:rFonts w:ascii="Arial" w:cs="Arial" w:eastAsia="Arial" w:hAnsi="Arial"/>
          <w:sz w:val="13"/>
          <w:szCs w:val="13"/>
          <w:u w:val="single" w:color="auto"/>
          <w:color w:val="0000EE"/>
        </w:rPr>
        <w:t>Plan of</w:t>
      </w:r>
      <w:r>
        <w:rPr>
          <w:rFonts w:ascii="Arial" w:cs="Arial" w:eastAsia="Arial" w:hAnsi="Arial"/>
          <w:sz w:val="13"/>
          <w:szCs w:val="13"/>
          <w:color w:val="auto"/>
        </w:rPr>
        <w:t xml:space="preserve"> </w:t>
      </w:r>
      <w:r>
        <w:rPr>
          <w:rFonts w:ascii="Arial" w:cs="Arial" w:eastAsia="Arial" w:hAnsi="Arial"/>
          <w:sz w:val="13"/>
          <w:szCs w:val="13"/>
          <w:u w:val="single" w:color="auto"/>
          <w:color w:val="0000EE"/>
        </w:rPr>
        <w:t>Distribution</w:t>
      </w:r>
      <w:r>
        <w:rPr>
          <w:rFonts w:ascii="Arial" w:cs="Arial" w:eastAsia="Arial" w:hAnsi="Arial"/>
          <w:sz w:val="13"/>
          <w:szCs w:val="13"/>
          <w:color w:val="000000"/>
        </w:rPr>
        <w:t>.” From March 31, 2023 to August 11, 2023, we sold a total of 9,002,887 shares of common stock pursuant to the “at the market” offering. The total amount of capital raised as a</w:t>
      </w:r>
      <w:r>
        <w:rPr>
          <w:rFonts w:ascii="Arial" w:cs="Arial" w:eastAsia="Arial" w:hAnsi="Arial"/>
          <w:sz w:val="13"/>
          <w:szCs w:val="13"/>
          <w:color w:val="0000EE"/>
        </w:rPr>
        <w:t xml:space="preserve"> </w:t>
      </w:r>
      <w:r>
        <w:rPr>
          <w:rFonts w:ascii="Arial" w:cs="Arial" w:eastAsia="Arial" w:hAnsi="Arial"/>
          <w:sz w:val="13"/>
          <w:szCs w:val="13"/>
          <w:color w:val="000000"/>
        </w:rPr>
        <w:t>result of these sales of our common stock was approximately $99.3 million and net proceeds were approximately $98.8 million, after deducting the sales agents’ commissions and offering expenses and inclusive of reimbursement proceeds from PennantPark Investment Advisers, LLC (the “Investment Adviser”).</w:t>
      </w:r>
    </w:p>
    <w:p>
      <w:pPr>
        <w:spacing w:after="0" w:line="73" w:lineRule="exact"/>
        <w:rPr>
          <w:sz w:val="24"/>
          <w:szCs w:val="24"/>
          <w:color w:val="auto"/>
        </w:rPr>
      </w:pPr>
    </w:p>
    <w:p>
      <w:pPr>
        <w:ind w:right="60"/>
        <w:spacing w:after="0" w:line="248" w:lineRule="auto"/>
        <w:rPr>
          <w:sz w:val="20"/>
          <w:szCs w:val="20"/>
          <w:color w:val="auto"/>
        </w:rPr>
      </w:pPr>
      <w:r>
        <w:rPr>
          <w:rFonts w:ascii="Arial" w:cs="Arial" w:eastAsia="Arial" w:hAnsi="Arial"/>
          <w:sz w:val="13"/>
          <w:szCs w:val="13"/>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the Investment Adviser. PennantPark Investment Administration, LLC provides the administrative services necessary for us to operate.</w:t>
      </w:r>
    </w:p>
    <w:p>
      <w:pPr>
        <w:spacing w:after="0" w:line="72" w:lineRule="exact"/>
        <w:rPr>
          <w:sz w:val="24"/>
          <w:szCs w:val="24"/>
          <w:color w:val="auto"/>
        </w:rPr>
      </w:pPr>
    </w:p>
    <w:p>
      <w:pPr>
        <w:jc w:val="both"/>
        <w:ind w:right="140"/>
        <w:spacing w:after="0" w:line="238" w:lineRule="auto"/>
        <w:rPr>
          <w:sz w:val="20"/>
          <w:szCs w:val="20"/>
          <w:color w:val="auto"/>
        </w:rPr>
      </w:pPr>
      <w:r>
        <w:rPr>
          <w:rFonts w:ascii="Arial" w:cs="Arial" w:eastAsia="Arial" w:hAnsi="Arial"/>
          <w:sz w:val="14"/>
          <w:szCs w:val="14"/>
          <w:color w:val="auto"/>
        </w:rPr>
        <w:t>Our common stock is traded on the NYSE and The Tel Aviv Stock Exchange, or TASE, under the symbol “PFLT”. The last reported closing price for our common stock on the NYSE on August 10, 2023 was $10.82 per share. The net asset value, or NAV, of our common stock as of June 30, 2023 (the last date prior to the date of this prospectus supplement on which we published NAV) was $10.96 per share.</w:t>
      </w:r>
    </w:p>
    <w:p>
      <w:pPr>
        <w:spacing w:after="0" w:line="75" w:lineRule="exact"/>
        <w:rPr>
          <w:sz w:val="24"/>
          <w:szCs w:val="24"/>
          <w:color w:val="auto"/>
        </w:rPr>
      </w:pPr>
    </w:p>
    <w:p>
      <w:pPr>
        <w:ind w:right="220"/>
        <w:spacing w:after="0" w:line="244" w:lineRule="auto"/>
        <w:rPr>
          <w:sz w:val="20"/>
          <w:szCs w:val="20"/>
          <w:color w:val="auto"/>
        </w:rPr>
      </w:pPr>
      <w:r>
        <w:rPr>
          <w:rFonts w:ascii="Arial" w:cs="Arial" w:eastAsia="Arial" w:hAnsi="Arial"/>
          <w:sz w:val="13"/>
          <w:szCs w:val="13"/>
          <w:color w:val="auto"/>
        </w:rPr>
        <w:t>Under the terms of the amended and restated equity distribution agreements, each sales agent will receive a commission from us of up to 2.0% of the gross sales price of any shares of common stock sold through such sales agent under the applicable amended and restated equity distribution agreement. The sales agents are not required to sell any specific number or dollar amount of common stock but will use their commercially reasonable efforts consistent with their respective sales and trading practices to sell the shares of our common stock offered by this prospectus supplement and the accompanying prospectus. We may also sell shares of common stock to a sales agent, as principal for its own account, at a price agreed upon at the time of sale. If we sell shares to a sales agent as principal, we will enter into a separate agreement with such sales agent, setting forth the terms of such transaction, and we will describe such agreement in a separate prospectus supplement. See “</w:t>
      </w:r>
      <w:r>
        <w:rPr>
          <w:rFonts w:ascii="Arial" w:cs="Arial" w:eastAsia="Arial" w:hAnsi="Arial"/>
          <w:sz w:val="13"/>
          <w:szCs w:val="13"/>
          <w:u w:val="single" w:color="auto"/>
          <w:color w:val="0000EE"/>
        </w:rPr>
        <w:t>Plan of Distribution</w:t>
      </w:r>
      <w:r>
        <w:rPr>
          <w:rFonts w:ascii="Arial" w:cs="Arial" w:eastAsia="Arial" w:hAnsi="Arial"/>
          <w:sz w:val="13"/>
          <w:szCs w:val="13"/>
          <w:color w:val="auto"/>
        </w:rPr>
        <w:t>” beginning on page S-13 of this prospectus supplement. The sales price per share of our common stock offered by this prospectus supplement and the accompanying prospectus, less commissions payable under the applicable amended and restated equity distribution agreement and discounts, if any, will not be less than the NAV per share of our common stock at the time of such sale. The Investment Adviser may, from time to time, in its sole discretion, pay some or all of the commissions payable under the amended and restated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1080770</wp:posOffset>
            </wp:positionH>
            <wp:positionV relativeFrom="paragraph">
              <wp:posOffset>-395605</wp:posOffset>
            </wp:positionV>
            <wp:extent cx="725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 cy="8890"/>
                    </a:xfrm>
                    <a:prstGeom prst="rect">
                      <a:avLst/>
                    </a:prstGeom>
                    <a:noFill/>
                  </pic:spPr>
                </pic:pic>
              </a:graphicData>
            </a:graphic>
          </wp:anchor>
        </w:drawing>
      </w:r>
    </w:p>
    <w:p>
      <w:pPr>
        <w:spacing w:after="0" w:line="53" w:lineRule="exact"/>
        <w:rPr>
          <w:sz w:val="24"/>
          <w:szCs w:val="24"/>
          <w:color w:val="auto"/>
        </w:rPr>
      </w:pPr>
    </w:p>
    <w:p>
      <w:pPr>
        <w:ind w:right="180"/>
        <w:spacing w:after="0" w:line="247" w:lineRule="auto"/>
        <w:rPr>
          <w:sz w:val="20"/>
          <w:szCs w:val="20"/>
          <w:color w:val="auto"/>
        </w:rPr>
      </w:pPr>
      <w:r>
        <w:rPr>
          <w:rFonts w:ascii="Arial" w:cs="Arial" w:eastAsia="Arial" w:hAnsi="Arial"/>
          <w:sz w:val="13"/>
          <w:szCs w:val="13"/>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Florida 33139, by calling us collect at (786) 297-9500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Except for the documents incorporated by reference into this prospectus supplement and the accompanying prospectus, the information on our website is not part of this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133985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8" w:lineRule="exact"/>
        <w:rPr>
          <w:sz w:val="24"/>
          <w:szCs w:val="24"/>
          <w:color w:val="auto"/>
        </w:rPr>
      </w:pPr>
    </w:p>
    <w:p>
      <w:pPr>
        <w:jc w:val="both"/>
        <w:ind w:right="100"/>
        <w:spacing w:after="0" w:line="299" w:lineRule="auto"/>
        <w:rPr>
          <w:sz w:val="20"/>
          <w:szCs w:val="20"/>
          <w:color w:val="auto"/>
        </w:rPr>
      </w:pPr>
      <w:r>
        <w:rPr>
          <w:rFonts w:ascii="Arial" w:cs="Arial" w:eastAsia="Arial" w:hAnsi="Arial"/>
          <w:sz w:val="15"/>
          <w:szCs w:val="15"/>
          <w:b w:val="1"/>
          <w:bCs w:val="1"/>
          <w:color w:val="auto"/>
        </w:rPr>
        <w:t>Investing in our common stock involves a high degree of risk, including the risk of leverage. Before buying any shares of our common stock, you should read the discussion of the material risks of investing in us described in the section titled “</w:t>
      </w:r>
      <w:r>
        <w:rPr>
          <w:rFonts w:ascii="Arial" w:cs="Arial" w:eastAsia="Arial" w:hAnsi="Arial"/>
          <w:sz w:val="15"/>
          <w:szCs w:val="15"/>
          <w:b w:val="1"/>
          <w:bCs w:val="1"/>
          <w:u w:val="single" w:color="auto"/>
          <w:color w:val="0000EE"/>
        </w:rPr>
        <w:t>Risk Factors</w:t>
      </w:r>
      <w:r>
        <w:rPr>
          <w:rFonts w:ascii="Arial" w:cs="Arial" w:eastAsia="Arial" w:hAnsi="Arial"/>
          <w:sz w:val="15"/>
          <w:szCs w:val="15"/>
          <w:b w:val="1"/>
          <w:bCs w:val="1"/>
          <w:color w:val="auto"/>
        </w:rPr>
        <w:t>” on page S-10 of this prospectus supplement and in our most recent Annual Report on Form 10-K, our most recent Quarterly Reports on Form 10-Q and under similar headings in other documents that are filed with the SEC on or after the date hereof and incorporated by reference into this prospectus supplement and the accompanying prospectus.</w:t>
      </w:r>
    </w:p>
    <w:p>
      <w:pPr>
        <w:spacing w:after="0" w:line="50" w:lineRule="exact"/>
        <w:rPr>
          <w:sz w:val="24"/>
          <w:szCs w:val="24"/>
          <w:color w:val="auto"/>
        </w:rPr>
      </w:pPr>
    </w:p>
    <w:p>
      <w:pPr>
        <w:ind w:right="220"/>
        <w:spacing w:after="0" w:line="258" w:lineRule="auto"/>
        <w:rPr>
          <w:sz w:val="20"/>
          <w:szCs w:val="20"/>
          <w:color w:val="auto"/>
        </w:rPr>
      </w:pPr>
      <w:r>
        <w:rPr>
          <w:rFonts w:ascii="Arial" w:cs="Arial" w:eastAsia="Arial" w:hAnsi="Arial"/>
          <w:sz w:val="14"/>
          <w:szCs w:val="14"/>
          <w:b w:val="1"/>
          <w:bCs w:val="1"/>
          <w:color w:val="auto"/>
        </w:rPr>
        <w:t>Shares of closed-end investment companies, including BDCs, frequently trade at a discount to their NAV. If our shares trade at a discount to our NAV, it may increase the risk of loss for purchasers in this offering.</w:t>
      </w:r>
    </w:p>
    <w:p>
      <w:pPr>
        <w:spacing w:after="0" w:line="59"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128905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520" w:type="dxa"/>
            <w:vAlign w:val="bottom"/>
            <w:gridSpan w:val="13"/>
          </w:tcPr>
          <w:p>
            <w:pPr>
              <w:spacing w:after="0"/>
              <w:rPr>
                <w:sz w:val="20"/>
                <w:szCs w:val="20"/>
                <w:color w:val="auto"/>
              </w:rPr>
            </w:pPr>
            <w:r>
              <w:rPr>
                <w:rFonts w:ascii="Arial" w:cs="Arial" w:eastAsia="Arial" w:hAnsi="Arial"/>
                <w:sz w:val="16"/>
                <w:szCs w:val="16"/>
                <w:b w:val="1"/>
                <w:bCs w:val="1"/>
                <w:color w:val="auto"/>
              </w:rPr>
              <w:t>JMP Securities</w:t>
            </w:r>
          </w:p>
        </w:tc>
        <w:tc>
          <w:tcPr>
            <w:tcW w:w="1280" w:type="dxa"/>
            <w:vAlign w:val="bottom"/>
          </w:tcPr>
          <w:p>
            <w:pPr>
              <w:spacing w:after="0"/>
              <w:rPr>
                <w:sz w:val="17"/>
                <w:szCs w:val="17"/>
                <w:color w:val="auto"/>
              </w:rPr>
            </w:pPr>
          </w:p>
        </w:tc>
        <w:tc>
          <w:tcPr>
            <w:tcW w:w="39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Raymond James</w:t>
            </w: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Truist Securities</w:t>
            </w:r>
          </w:p>
        </w:tc>
        <w:tc>
          <w:tcPr>
            <w:tcW w:w="0" w:type="dxa"/>
            <w:vAlign w:val="bottom"/>
          </w:tcPr>
          <w:p>
            <w:pPr>
              <w:spacing w:after="0"/>
              <w:rPr>
                <w:sz w:val="1"/>
                <w:szCs w:val="1"/>
                <w:color w:val="auto"/>
              </w:rPr>
            </w:pPr>
          </w:p>
        </w:tc>
      </w:tr>
      <w:tr>
        <w:trPr>
          <w:trHeight w:val="102"/>
        </w:trPr>
        <w:tc>
          <w:tcPr>
            <w:tcW w:w="3520" w:type="dxa"/>
            <w:vAlign w:val="bottom"/>
            <w:gridSpan w:val="13"/>
          </w:tcPr>
          <w:p>
            <w:pPr>
              <w:ind w:left="180"/>
              <w:spacing w:after="0"/>
              <w:rPr>
                <w:sz w:val="20"/>
                <w:szCs w:val="20"/>
                <w:color w:val="auto"/>
              </w:rPr>
            </w:pPr>
            <w:r>
              <w:rPr>
                <w:rFonts w:ascii="Arial" w:cs="Arial" w:eastAsia="Arial" w:hAnsi="Arial"/>
                <w:sz w:val="8"/>
                <w:szCs w:val="8"/>
                <w:color w:val="auto"/>
              </w:rPr>
              <w:t>A CITIZENS COMPANY</w:t>
            </w:r>
          </w:p>
        </w:tc>
        <w:tc>
          <w:tcPr>
            <w:tcW w:w="128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40" w:type="dxa"/>
            <w:vAlign w:val="bottom"/>
            <w:gridSpan w:val="2"/>
          </w:tcPr>
          <w:p>
            <w:pPr>
              <w:jc w:val="center"/>
              <w:ind w:right="959"/>
              <w:spacing w:after="0"/>
              <w:rPr>
                <w:sz w:val="20"/>
                <w:szCs w:val="20"/>
                <w:color w:val="auto"/>
              </w:rPr>
            </w:pPr>
            <w:r>
              <w:rPr>
                <w:rFonts w:ascii="Arial" w:cs="Arial" w:eastAsia="Arial" w:hAnsi="Arial"/>
                <w:sz w:val="14"/>
                <w:szCs w:val="14"/>
                <w:b w:val="1"/>
                <w:bCs w:val="1"/>
                <w:color w:val="auto"/>
                <w:w w:val="90"/>
              </w:rPr>
              <w:t>The date of this prospectus supplement is August 11, 2023.</w:t>
            </w: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80" w:type="dxa"/>
            <w:vAlign w:val="bottom"/>
            <w:tcBorders>
              <w:bottom w:val="single" w:sz="8" w:color="EEEEEE"/>
            </w:tcBorders>
          </w:tcPr>
          <w:p>
            <w:pPr>
              <w:spacing w:after="0"/>
              <w:rPr>
                <w:sz w:val="2"/>
                <w:szCs w:val="2"/>
                <w:color w:val="auto"/>
              </w:rPr>
            </w:pPr>
          </w:p>
        </w:tc>
        <w:tc>
          <w:tcPr>
            <w:tcW w:w="18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200" w:type="dxa"/>
            <w:vAlign w:val="bottom"/>
            <w:tcBorders>
              <w:bottom w:val="single" w:sz="8" w:color="EEEEEE"/>
            </w:tcBorders>
          </w:tcPr>
          <w:p>
            <w:pPr>
              <w:spacing w:after="0"/>
              <w:rPr>
                <w:sz w:val="2"/>
                <w:szCs w:val="2"/>
                <w:color w:val="auto"/>
              </w:rPr>
            </w:pPr>
          </w:p>
        </w:tc>
        <w:tc>
          <w:tcPr>
            <w:tcW w:w="60" w:type="dxa"/>
            <w:vAlign w:val="bottom"/>
            <w:tcBorders>
              <w:bottom w:val="single" w:sz="8" w:color="EEEEEE"/>
            </w:tcBorders>
          </w:tcPr>
          <w:p>
            <w:pPr>
              <w:spacing w:after="0"/>
              <w:rPr>
                <w:sz w:val="2"/>
                <w:szCs w:val="2"/>
                <w:color w:val="auto"/>
              </w:rPr>
            </w:pPr>
          </w:p>
        </w:tc>
        <w:tc>
          <w:tcPr>
            <w:tcW w:w="220" w:type="dxa"/>
            <w:vAlign w:val="bottom"/>
            <w:tcBorders>
              <w:bottom w:val="single" w:sz="8" w:color="EEEEEE"/>
            </w:tcBorders>
          </w:tcPr>
          <w:p>
            <w:pPr>
              <w:spacing w:after="0"/>
              <w:rPr>
                <w:sz w:val="2"/>
                <w:szCs w:val="2"/>
                <w:color w:val="auto"/>
              </w:rPr>
            </w:pPr>
          </w:p>
        </w:tc>
        <w:tc>
          <w:tcPr>
            <w:tcW w:w="40" w:type="dxa"/>
            <w:vAlign w:val="bottom"/>
            <w:tcBorders>
              <w:bottom w:val="single" w:sz="8" w:color="EEEEEE"/>
            </w:tcBorders>
          </w:tcPr>
          <w:p>
            <w:pPr>
              <w:spacing w:after="0"/>
              <w:rPr>
                <w:sz w:val="2"/>
                <w:szCs w:val="2"/>
                <w:color w:val="auto"/>
              </w:rPr>
            </w:pPr>
          </w:p>
        </w:tc>
        <w:tc>
          <w:tcPr>
            <w:tcW w:w="180" w:type="dxa"/>
            <w:vAlign w:val="bottom"/>
            <w:tcBorders>
              <w:bottom w:val="single" w:sz="8" w:color="EEEEEE"/>
            </w:tcBorders>
          </w:tcPr>
          <w:p>
            <w:pPr>
              <w:spacing w:after="0"/>
              <w:rPr>
                <w:sz w:val="2"/>
                <w:szCs w:val="2"/>
                <w:color w:val="auto"/>
              </w:rPr>
            </w:pPr>
          </w:p>
        </w:tc>
        <w:tc>
          <w:tcPr>
            <w:tcW w:w="5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80" w:type="dxa"/>
            <w:vAlign w:val="bottom"/>
            <w:tcBorders>
              <w:bottom w:val="single" w:sz="8" w:color="EEEEEE"/>
            </w:tcBorders>
          </w:tcPr>
          <w:p>
            <w:pPr>
              <w:spacing w:after="0"/>
              <w:rPr>
                <w:sz w:val="2"/>
                <w:szCs w:val="2"/>
                <w:color w:val="auto"/>
              </w:rPr>
            </w:pPr>
          </w:p>
        </w:tc>
        <w:tc>
          <w:tcPr>
            <w:tcW w:w="1280" w:type="dxa"/>
            <w:vAlign w:val="bottom"/>
            <w:tcBorders>
              <w:bottom w:val="single" w:sz="8" w:color="EEEEEE"/>
            </w:tcBorders>
          </w:tcPr>
          <w:p>
            <w:pPr>
              <w:spacing w:after="0"/>
              <w:rPr>
                <w:sz w:val="2"/>
                <w:szCs w:val="2"/>
                <w:color w:val="auto"/>
              </w:rPr>
            </w:pPr>
          </w:p>
        </w:tc>
        <w:tc>
          <w:tcPr>
            <w:tcW w:w="3960" w:type="dxa"/>
            <w:vAlign w:val="bottom"/>
            <w:tcBorders>
              <w:bottom w:val="single" w:sz="8" w:color="EEEEEE"/>
            </w:tcBorders>
          </w:tcPr>
          <w:p>
            <w:pPr>
              <w:spacing w:after="0"/>
              <w:rPr>
                <w:sz w:val="2"/>
                <w:szCs w:val="2"/>
                <w:color w:val="auto"/>
              </w:rPr>
            </w:pPr>
          </w:p>
        </w:tc>
        <w:tc>
          <w:tcPr>
            <w:tcW w:w="250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2"/>
          </w:tcPr>
          <w:p>
            <w:pPr>
              <w:jc w:val="center"/>
              <w:ind w:right="959"/>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gridSpan w:val="2"/>
          </w:tcPr>
          <w:p>
            <w:pPr>
              <w:jc w:val="center"/>
              <w:ind w:right="939"/>
              <w:spacing w:after="0"/>
              <w:rPr>
                <w:sz w:val="20"/>
                <w:szCs w:val="20"/>
                <w:color w:val="auto"/>
              </w:rPr>
            </w:pPr>
            <w:r>
              <w:rPr>
                <w:rFonts w:ascii="Arial" w:cs="Arial" w:eastAsia="Arial" w:hAnsi="Arial"/>
                <w:sz w:val="18"/>
                <w:szCs w:val="18"/>
                <w:b w:val="1"/>
                <w:bCs w:val="1"/>
                <w:color w:val="auto"/>
                <w:w w:val="97"/>
              </w:rPr>
              <w:t>PROSPECTUS SUPPLEMENT</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8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TABLE OF CONTENTS</w:t>
            </w:r>
          </w:p>
        </w:tc>
        <w:tc>
          <w:tcPr>
            <w:tcW w:w="16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S-i</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ABOUT THIS PROSPECTUS SUPPLEMENT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PROSPECTUS SUPPLEMENT SUMMARY</w:t>
            </w:r>
          </w:p>
        </w:tc>
        <w:tc>
          <w:tcPr>
            <w:tcW w:w="2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520" w:type="dxa"/>
            <w:vAlign w:val="bottom"/>
            <w:gridSpan w:val="13"/>
          </w:tcPr>
          <w:p>
            <w:pPr>
              <w:spacing w:after="0" w:line="196" w:lineRule="exact"/>
              <w:rPr>
                <w:sz w:val="20"/>
                <w:szCs w:val="20"/>
                <w:color w:val="auto"/>
              </w:rPr>
            </w:pPr>
            <w:r>
              <w:rPr>
                <w:rFonts w:ascii="Arial" w:cs="Arial" w:eastAsia="Arial" w:hAnsi="Arial"/>
                <w:sz w:val="18"/>
                <w:szCs w:val="18"/>
                <w:color w:val="0000EE"/>
              </w:rPr>
              <w:t>THE OFFERING</w:t>
            </w: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6"/>
              </w:rPr>
              <w:t>UPDATE TO “AT THE MARKET” OFFERING</w:t>
            </w: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3520" w:type="dxa"/>
            <w:vAlign w:val="bottom"/>
            <w:gridSpan w:val="13"/>
          </w:tcPr>
          <w:p>
            <w:pPr>
              <w:spacing w:after="0" w:line="196" w:lineRule="exact"/>
              <w:rPr>
                <w:sz w:val="20"/>
                <w:szCs w:val="20"/>
                <w:color w:val="auto"/>
              </w:rPr>
            </w:pPr>
            <w:r>
              <w:rPr>
                <w:rFonts w:ascii="Arial" w:cs="Arial" w:eastAsia="Arial" w:hAnsi="Arial"/>
                <w:sz w:val="18"/>
                <w:szCs w:val="18"/>
                <w:color w:val="0000EE"/>
              </w:rPr>
              <w:t>FEES AND EXPENSES</w:t>
            </w: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500" w:type="dxa"/>
            <w:vAlign w:val="bottom"/>
            <w:tcBorders>
              <w:top w:val="single" w:sz="8" w:color="0000EE"/>
            </w:tcBorders>
            <w:gridSpan w:val="3"/>
          </w:tcPr>
          <w:p>
            <w:pPr>
              <w:spacing w:after="0"/>
              <w:rPr>
                <w:sz w:val="17"/>
                <w:szCs w:val="17"/>
                <w:color w:val="auto"/>
              </w:rPr>
            </w:pPr>
          </w:p>
        </w:tc>
        <w:tc>
          <w:tcPr>
            <w:tcW w:w="174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FORWARD-LOOKING STATEMENTS</w:t>
            </w:r>
          </w:p>
        </w:tc>
        <w:tc>
          <w:tcPr>
            <w:tcW w:w="5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52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146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LEGAL MATTERS</w:t>
            </w:r>
          </w:p>
        </w:tc>
        <w:tc>
          <w:tcPr>
            <w:tcW w:w="206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8760" w:type="dxa"/>
            <w:vAlign w:val="bottom"/>
            <w:gridSpan w:val="15"/>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INDEPENDENT AUDITOR</w:t>
            </w:r>
          </w:p>
        </w:tc>
        <w:tc>
          <w:tcPr>
            <w:tcW w:w="1420" w:type="dxa"/>
            <w:vAlign w:val="bottom"/>
            <w:tcBorders>
              <w:top w:val="single" w:sz="8" w:color="0000EE"/>
            </w:tcBorders>
            <w:gridSpan w:val="6"/>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3520" w:type="dxa"/>
            <w:vAlign w:val="bottom"/>
            <w:gridSpan w:val="13"/>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540" w:type="dxa"/>
            <w:vAlign w:val="bottom"/>
            <w:tcBorders>
              <w:top w:val="single" w:sz="8" w:color="0000EE"/>
            </w:tcBorders>
          </w:tcPr>
          <w:p>
            <w:pPr>
              <w:spacing w:after="0"/>
              <w:rPr>
                <w:sz w:val="17"/>
                <w:szCs w:val="17"/>
                <w:color w:val="auto"/>
              </w:rPr>
            </w:pPr>
          </w:p>
        </w:tc>
        <w:tc>
          <w:tcPr>
            <w:tcW w:w="70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-2592070</wp:posOffset>
            </wp:positionV>
            <wp:extent cx="33655"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-2592070</wp:posOffset>
            </wp:positionV>
            <wp:extent cx="3429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205"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PROSPECTUS</w:t>
      </w:r>
    </w:p>
    <w:p>
      <w:pPr>
        <w:sectPr>
          <w:pgSz w:w="11900" w:h="16860" w:orient="portrait"/>
          <w:cols w:equalWidth="0" w:num="1">
            <w:col w:w="11260"/>
          </w:cols>
          <w:pgMar w:left="320" w:top="229" w:right="319" w:bottom="0" w:gutter="0" w:footer="0" w:header="0"/>
        </w:sectPr>
      </w:pPr>
    </w:p>
    <w:p>
      <w:pPr>
        <w:spacing w:after="0" w:line="21" w:lineRule="exact"/>
        <w:rPr>
          <w:sz w:val="24"/>
          <w:szCs w:val="24"/>
          <w:color w:val="auto"/>
        </w:rPr>
      </w:pPr>
    </w:p>
    <w:p>
      <w:pPr>
        <w:ind w:left="1084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6854190</wp:posOffset>
            </wp:positionH>
            <wp:positionV relativeFrom="paragraph">
              <wp:posOffset>10795</wp:posOffset>
            </wp:positionV>
            <wp:extent cx="248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ectPr>
          <w:pgSz w:w="11900" w:h="16860" w:orient="portrait"/>
          <w:cols w:equalWidth="0" w:num="1">
            <w:col w:w="11260"/>
          </w:cols>
          <w:pgMar w:left="320" w:top="229"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2100" w:type="dxa"/>
            <w:vAlign w:val="bottom"/>
            <w:tcBorders>
              <w:bottom w:val="single" w:sz="8" w:color="0000EE"/>
            </w:tcBorders>
            <w:gridSpan w:val="7"/>
          </w:tcPr>
          <w:p>
            <w:pPr>
              <w:spacing w:after="0" w:line="189" w:lineRule="exact"/>
              <w:rPr>
                <w:sz w:val="20"/>
                <w:szCs w:val="20"/>
                <w:color w:val="auto"/>
              </w:rPr>
            </w:pPr>
            <w:r>
              <w:rPr>
                <w:rFonts w:ascii="Arial" w:cs="Arial" w:eastAsia="Arial" w:hAnsi="Arial"/>
                <w:sz w:val="18"/>
                <w:szCs w:val="18"/>
                <w:color w:val="0000EE"/>
                <w:w w:val="94"/>
              </w:rPr>
              <w:t>PROSPECTUS SUMMARY</w:t>
            </w:r>
          </w:p>
        </w:tc>
        <w:tc>
          <w:tcPr>
            <w:tcW w:w="8700" w:type="dxa"/>
            <w:vAlign w:val="bottom"/>
            <w:gridSpan w:val="18"/>
          </w:tcPr>
          <w:p>
            <w:pPr>
              <w:spacing w:after="0"/>
              <w:rPr>
                <w:sz w:val="16"/>
                <w:szCs w:val="16"/>
                <w:color w:val="auto"/>
              </w:rPr>
            </w:pP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w:t>
            </w: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FEES AND EXPENSES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FINANCIAL HIGHLIGHTS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840" w:type="dxa"/>
            <w:vAlign w:val="bottom"/>
            <w:tcBorders>
              <w:top w:val="single" w:sz="8" w:color="0000EE"/>
            </w:tcBorders>
            <w:gridSpan w:val="6"/>
          </w:tcPr>
          <w:p>
            <w:pPr>
              <w:spacing w:after="0"/>
              <w:rPr>
                <w:sz w:val="17"/>
                <w:szCs w:val="17"/>
                <w:color w:val="auto"/>
              </w:rPr>
            </w:pPr>
          </w:p>
        </w:tc>
        <w:tc>
          <w:tcPr>
            <w:tcW w:w="87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9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FORWARD-LOOKING STATEMENTS</w:t>
            </w:r>
          </w:p>
        </w:tc>
        <w:tc>
          <w:tcPr>
            <w:tcW w:w="78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USE OF PROCEEDS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SENIOR SECURITIES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PRICE RANGE OF COMMON STOCK</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SALES OF COMMON STOCK BELOW NET ASSET VALUE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DISTRIBUTIONS</w:t>
            </w:r>
          </w:p>
        </w:tc>
        <w:tc>
          <w:tcPr>
            <w:tcW w:w="61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PORTFOLIO COMPANIES</w:t>
            </w:r>
          </w:p>
        </w:tc>
        <w:tc>
          <w:tcPr>
            <w:tcW w:w="874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7"/>
              </w:rPr>
              <w:t>PORTFOLIO MANAGEMENT</w:t>
            </w:r>
          </w:p>
        </w:tc>
        <w:tc>
          <w:tcPr>
            <w:tcW w:w="84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3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DETERMINATION OF NET ASSET VALUE</w:t>
            </w:r>
          </w:p>
        </w:tc>
        <w:tc>
          <w:tcPr>
            <w:tcW w:w="74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3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DESCRIPTION OF OUR CAPITAL STOCK</w:t>
            </w:r>
          </w:p>
        </w:tc>
        <w:tc>
          <w:tcPr>
            <w:tcW w:w="75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5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3"/>
              </w:rPr>
              <w:t>DESCRIPTION OF OUR PREFERRED STOCK</w:t>
            </w:r>
          </w:p>
        </w:tc>
        <w:tc>
          <w:tcPr>
            <w:tcW w:w="72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DESCRIPTION OF OUR WARRANTS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4"/>
              </w:rPr>
              <w:t>DESCRIPTION OF OUR SUBSCRIPTION RIGHTS</w:t>
            </w:r>
          </w:p>
        </w:tc>
        <w:tc>
          <w:tcPr>
            <w:tcW w:w="69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4"/>
              </w:rPr>
              <w:t>DESCRIPTION OF OUR DEBT SECURITIES</w:t>
            </w:r>
          </w:p>
        </w:tc>
        <w:tc>
          <w:tcPr>
            <w:tcW w:w="73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BROKERAGE ALLOCATIONS AND OTHER PRACTICES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0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2800" w:type="dxa"/>
            <w:vAlign w:val="bottom"/>
            <w:tcBorders>
              <w:top w:val="single" w:sz="8" w:color="0000EE"/>
            </w:tcBorders>
            <w:gridSpan w:val="17"/>
          </w:tcPr>
          <w:p>
            <w:pPr>
              <w:spacing w:after="0"/>
              <w:rPr>
                <w:sz w:val="17"/>
                <w:szCs w:val="17"/>
                <w:color w:val="auto"/>
              </w:rPr>
            </w:pPr>
          </w:p>
        </w:tc>
        <w:tc>
          <w:tcPr>
            <w:tcW w:w="59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592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SUB-ADMINISTRATOR, CUSTODIAN, TRANSFER AGENT AND TRUSTEE</w:t>
            </w:r>
          </w:p>
        </w:tc>
        <w:tc>
          <w:tcPr>
            <w:tcW w:w="48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4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934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48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INDEPENDENT REGISTERED PUBLIC ACCOUNTING FIRM</w:t>
            </w:r>
          </w:p>
        </w:tc>
        <w:tc>
          <w:tcPr>
            <w:tcW w:w="60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6"/>
              </w:rPr>
              <w:t>INDEPENDENT AUDITORS</w:t>
            </w:r>
          </w:p>
        </w:tc>
        <w:tc>
          <w:tcPr>
            <w:tcW w:w="860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0800" w:type="dxa"/>
            <w:vAlign w:val="bottom"/>
            <w:gridSpan w:val="25"/>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540" w:type="dxa"/>
            <w:vAlign w:val="bottom"/>
            <w:tcBorders>
              <w:top w:val="single" w:sz="8" w:color="0000EE"/>
            </w:tcBorders>
            <w:gridSpan w:val="2"/>
          </w:tcPr>
          <w:p>
            <w:pPr>
              <w:spacing w:after="0"/>
              <w:rPr>
                <w:sz w:val="17"/>
                <w:szCs w:val="17"/>
                <w:color w:val="auto"/>
              </w:rPr>
            </w:pPr>
          </w:p>
        </w:tc>
        <w:tc>
          <w:tcPr>
            <w:tcW w:w="79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SALES AGENT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SALES AGENTS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2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775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75325"/>
                    </a:xfrm>
                    <a:prstGeom prst="rect">
                      <a:avLst/>
                    </a:prstGeom>
                    <a:noFill/>
                  </pic:spPr>
                </pic:pic>
              </a:graphicData>
            </a:graphic>
          </wp:anchor>
        </w:drawing>
        <w:t>PROSPECTUS SUPPLEMENT SUMMARY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most recent Quarterly Reports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28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References to our portfolio, our investments, the Credit Facility and our business include investments we make through our subsidiaries.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20"/>
          </w:cols>
          <w:pgMar w:left="500" w:top="688" w:right="579" w:bottom="1440" w:gutter="0" w:footer="0" w:header="0"/>
        </w:sectPr>
      </w:pPr>
    </w:p>
    <w:bookmarkStart w:id="3" w:name="page4"/>
    <w:bookmarkEnd w:id="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432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432425"/>
                    </a:xfrm>
                    <a:prstGeom prst="rect">
                      <a:avLst/>
                    </a:prstGeom>
                    <a:noFill/>
                  </pic:spPr>
                </pic:pic>
              </a:graphicData>
            </a:graphic>
          </wp:anchor>
        </w:drawing>
        <w:t>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entered into an investment advisory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$366 million. The Credit Facility is secured by all of the assets of Funding I. On July 31, 2023, the Credit Facility was amended to increase the Credit Facility’s commitment by $20 million due to the inclusion of a new lender to the facility. The additional commitment increases the Credit Facility’s total commitment amount to $386 million.</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60"/>
          </w:cols>
          <w:pgMar w:left="500" w:top="692" w:right="539" w:bottom="1440" w:gutter="0" w:footer="0" w:header="0"/>
        </w:sectPr>
      </w:pPr>
    </w:p>
    <w:bookmarkStart w:id="4" w:name="page5"/>
    <w:bookmarkEnd w:id="4"/>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20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20945"/>
                    </a:xfrm>
                    <a:prstGeom prst="rect">
                      <a:avLst/>
                    </a:prstGeom>
                    <a:noFill/>
                  </pic:spPr>
                </pic:pic>
              </a:graphicData>
            </a:graphic>
          </wp:anchor>
        </w:drawing>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$18.2 billion in 638 companies with more than 200 different financial sponsors, which includes investments by the Company totaling $5.2 billion in 464 companies as of June 30, 2023.</w:t>
      </w:r>
    </w:p>
    <w:p>
      <w:pPr>
        <w:spacing w:after="0" w:line="1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 Structure-There are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potential conflicts of interest which could impact our investment returns</w:t>
      </w:r>
      <w:r>
        <w:rPr>
          <w:rFonts w:ascii="Arial" w:cs="Arial" w:eastAsia="Arial" w:hAnsi="Arial"/>
          <w:sz w:val="18"/>
          <w:szCs w:val="18"/>
          <w:color w:val="auto"/>
        </w:rPr>
        <w:t>” in our most recent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Our administrative and principal executive offices are located at 1691 Michigan Avenue, Miami Beach, Florida 33139. Our phone number is (786) 297-9500,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supplement, and you should not consider information contained on our website to be part of this prospectus supplement.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860"/>
          </w:cols>
          <w:pgMar w:left="500" w:top="692"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904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904230"/>
                    </a:xfrm>
                    <a:prstGeom prst="rect">
                      <a:avLst/>
                    </a:prstGeom>
                    <a:noFill/>
                  </pic:spPr>
                </pic:pic>
              </a:graphicData>
            </a:graphic>
          </wp:anchor>
        </w:drawing>
        <w:t>THE OFFERING</w:t>
      </w:r>
    </w:p>
    <w:p>
      <w:pPr>
        <w:spacing w:after="0" w:line="229" w:lineRule="exact"/>
        <w:rPr>
          <w:sz w:val="20"/>
          <w:szCs w:val="20"/>
          <w:color w:val="auto"/>
        </w:rPr>
      </w:pPr>
    </w:p>
    <w:p>
      <w:pPr>
        <w:ind w:left="180" w:right="340"/>
        <w:spacing w:after="0" w:line="279" w:lineRule="auto"/>
        <w:rPr>
          <w:sz w:val="20"/>
          <w:szCs w:val="20"/>
          <w:color w:val="auto"/>
        </w:rPr>
      </w:pPr>
      <w:r>
        <w:rPr>
          <w:rFonts w:ascii="Arial" w:cs="Arial" w:eastAsia="Arial" w:hAnsi="Arial"/>
          <w:sz w:val="17"/>
          <w:szCs w:val="17"/>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 Capitalized terms used in this prospectus supplement and not otherwise defined shall have the meanings ascribed to them in the accompanying prospectus or in the amended and restated equity distribution agreements, as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rPr>
              <w:t>Common stock offered by the Company</w:t>
            </w: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Up to $250 million of our common stock</w:t>
            </w:r>
          </w:p>
        </w:tc>
      </w:tr>
      <w:tr>
        <w:trPr>
          <w:trHeight w:val="486"/>
        </w:trPr>
        <w:tc>
          <w:tcPr>
            <w:tcW w:w="4060" w:type="dxa"/>
            <w:vAlign w:val="bottom"/>
          </w:tcPr>
          <w:p>
            <w:pPr>
              <w:ind w:left="200"/>
              <w:spacing w:after="0"/>
              <w:rPr>
                <w:sz w:val="20"/>
                <w:szCs w:val="20"/>
                <w:color w:val="auto"/>
              </w:rPr>
            </w:pPr>
            <w:r>
              <w:rPr>
                <w:rFonts w:ascii="Arial" w:cs="Arial" w:eastAsia="Arial" w:hAnsi="Arial"/>
                <w:sz w:val="18"/>
                <w:szCs w:val="18"/>
                <w:color w:val="auto"/>
                <w:w w:val="96"/>
              </w:rPr>
              <w:t>Common stock outstanding as of August 11, 2023</w:t>
            </w:r>
          </w:p>
        </w:tc>
        <w:tc>
          <w:tcPr>
            <w:tcW w:w="1820" w:type="dxa"/>
            <w:vAlign w:val="bottom"/>
            <w:gridSpan w:val="2"/>
          </w:tcPr>
          <w:p>
            <w:pPr>
              <w:ind w:left="260"/>
              <w:spacing w:after="0"/>
              <w:rPr>
                <w:sz w:val="20"/>
                <w:szCs w:val="20"/>
                <w:color w:val="auto"/>
              </w:rPr>
            </w:pPr>
            <w:r>
              <w:rPr>
                <w:rFonts w:ascii="Arial" w:cs="Arial" w:eastAsia="Arial" w:hAnsi="Arial"/>
                <w:sz w:val="18"/>
                <w:szCs w:val="18"/>
                <w:color w:val="auto"/>
              </w:rPr>
              <w:t>58,734,702</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8"/>
        </w:trPr>
        <w:tc>
          <w:tcPr>
            <w:tcW w:w="4060" w:type="dxa"/>
            <w:vAlign w:val="bottom"/>
          </w:tcPr>
          <w:p>
            <w:pPr>
              <w:ind w:left="200"/>
              <w:spacing w:after="0"/>
              <w:rPr>
                <w:sz w:val="20"/>
                <w:szCs w:val="20"/>
                <w:color w:val="auto"/>
              </w:rPr>
            </w:pPr>
            <w:r>
              <w:rPr>
                <w:rFonts w:ascii="Arial" w:cs="Arial" w:eastAsia="Arial" w:hAnsi="Arial"/>
                <w:sz w:val="18"/>
                <w:szCs w:val="18"/>
                <w:color w:val="auto"/>
              </w:rPr>
              <w:t>Manner of offering</w:t>
            </w: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“At the market offering” that may be made from time to time through Citizens JMP</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7"/>
              </w:rPr>
              <w:t>Securities, LLC, Raymond James &amp; Associates, Inc. and Truist Securities, Inc., the sales</w:t>
            </w:r>
          </w:p>
        </w:tc>
      </w:tr>
      <w:tr>
        <w:trPr>
          <w:trHeight w:val="190"/>
        </w:trPr>
        <w:tc>
          <w:tcPr>
            <w:tcW w:w="4060" w:type="dxa"/>
            <w:vAlign w:val="bottom"/>
          </w:tcPr>
          <w:p>
            <w:pPr>
              <w:spacing w:after="0"/>
              <w:rPr>
                <w:sz w:val="16"/>
                <w:szCs w:val="16"/>
                <w:color w:val="auto"/>
              </w:rPr>
            </w:pPr>
          </w:p>
        </w:tc>
        <w:tc>
          <w:tcPr>
            <w:tcW w:w="7180" w:type="dxa"/>
            <w:vAlign w:val="bottom"/>
            <w:gridSpan w:val="5"/>
          </w:tcPr>
          <w:p>
            <w:pPr>
              <w:ind w:left="260"/>
              <w:spacing w:after="0" w:line="190" w:lineRule="exact"/>
              <w:rPr>
                <w:sz w:val="20"/>
                <w:szCs w:val="20"/>
                <w:color w:val="auto"/>
              </w:rPr>
            </w:pPr>
            <w:r>
              <w:rPr>
                <w:rFonts w:ascii="Arial" w:cs="Arial" w:eastAsia="Arial" w:hAnsi="Arial"/>
                <w:sz w:val="18"/>
                <w:szCs w:val="18"/>
                <w:color w:val="auto"/>
              </w:rPr>
              <w:t>agents, using commercially reasonable efforts. See “</w:t>
            </w:r>
            <w:r>
              <w:rPr>
                <w:rFonts w:ascii="Arial" w:cs="Arial" w:eastAsia="Arial" w:hAnsi="Arial"/>
                <w:sz w:val="18"/>
                <w:szCs w:val="18"/>
                <w:color w:val="0000EE"/>
              </w:rPr>
              <w:t>Plan of Distribution</w:t>
            </w:r>
            <w:r>
              <w:rPr>
                <w:rFonts w:ascii="Arial" w:cs="Arial" w:eastAsia="Arial" w:hAnsi="Arial"/>
                <w:sz w:val="18"/>
                <w:szCs w:val="18"/>
                <w:color w:val="auto"/>
              </w:rPr>
              <w:t>.”</w:t>
            </w:r>
          </w:p>
        </w:tc>
      </w:tr>
      <w:tr>
        <w:trPr>
          <w:trHeight w:val="479"/>
        </w:trPr>
        <w:tc>
          <w:tcPr>
            <w:tcW w:w="4060" w:type="dxa"/>
            <w:vAlign w:val="bottom"/>
          </w:tcPr>
          <w:p>
            <w:pPr>
              <w:ind w:left="200"/>
              <w:spacing w:after="0"/>
              <w:rPr>
                <w:sz w:val="20"/>
                <w:szCs w:val="20"/>
                <w:color w:val="auto"/>
              </w:rPr>
            </w:pPr>
            <w:r>
              <w:rPr>
                <w:rFonts w:ascii="Arial" w:cs="Arial" w:eastAsia="Arial" w:hAnsi="Arial"/>
                <w:sz w:val="18"/>
                <w:szCs w:val="18"/>
                <w:color w:val="auto"/>
              </w:rPr>
              <w:t>NYSE symbol</w:t>
            </w:r>
          </w:p>
        </w:tc>
        <w:tc>
          <w:tcPr>
            <w:tcW w:w="4040" w:type="dxa"/>
            <w:vAlign w:val="bottom"/>
            <w:gridSpan w:val="3"/>
          </w:tcPr>
          <w:p>
            <w:pPr>
              <w:ind w:left="260"/>
              <w:spacing w:after="0"/>
              <w:rPr>
                <w:sz w:val="20"/>
                <w:szCs w:val="20"/>
                <w:color w:val="auto"/>
              </w:rPr>
            </w:pPr>
            <w:r>
              <w:rPr>
                <w:rFonts w:ascii="Arial" w:cs="Arial" w:eastAsia="Arial" w:hAnsi="Arial"/>
                <w:sz w:val="18"/>
                <w:szCs w:val="18"/>
                <w:color w:val="auto"/>
              </w:rPr>
              <w:t>“PFLT”</w:t>
            </w:r>
          </w:p>
        </w:tc>
        <w:tc>
          <w:tcPr>
            <w:tcW w:w="14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r>
      <w:tr>
        <w:trPr>
          <w:trHeight w:val="458"/>
        </w:trPr>
        <w:tc>
          <w:tcPr>
            <w:tcW w:w="40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6"/>
              </w:rPr>
              <w:t>Common stock issued in this offering will be dual listed on the NYSE and the TASE under</w:t>
            </w:r>
          </w:p>
        </w:tc>
      </w:tr>
      <w:tr>
        <w:trPr>
          <w:trHeight w:val="230"/>
        </w:trPr>
        <w:tc>
          <w:tcPr>
            <w:tcW w:w="4060" w:type="dxa"/>
            <w:vAlign w:val="bottom"/>
          </w:tcPr>
          <w:p>
            <w:pPr>
              <w:spacing w:after="0"/>
              <w:rPr>
                <w:sz w:val="20"/>
                <w:szCs w:val="20"/>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the symbol “PFLT.”</w:t>
            </w:r>
          </w:p>
        </w:tc>
      </w:tr>
      <w:tr>
        <w:trPr>
          <w:trHeight w:val="445"/>
        </w:trPr>
        <w:tc>
          <w:tcPr>
            <w:tcW w:w="4060" w:type="dxa"/>
            <w:vAlign w:val="bottom"/>
          </w:tcPr>
          <w:p>
            <w:pPr>
              <w:spacing w:after="0"/>
              <w:rPr>
                <w:sz w:val="24"/>
                <w:szCs w:val="24"/>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6"/>
              </w:rPr>
              <w:t>If we sell shares of our common stock with an aggregate offering price of $250 million, we</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anticipate that our net proceeds, after deducting an assumed maximum sales agents’</w:t>
            </w:r>
          </w:p>
        </w:tc>
      </w:tr>
      <w:tr>
        <w:trPr>
          <w:trHeight w:val="230"/>
        </w:trPr>
        <w:tc>
          <w:tcPr>
            <w:tcW w:w="4060" w:type="dxa"/>
            <w:vAlign w:val="bottom"/>
          </w:tcPr>
          <w:p>
            <w:pPr>
              <w:spacing w:after="0"/>
              <w:rPr>
                <w:sz w:val="20"/>
                <w:szCs w:val="20"/>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6"/>
              </w:rPr>
              <w:t>commissions and estimated expenses payable by us, will be approximately $244.4 million.</w:t>
            </w:r>
          </w:p>
        </w:tc>
      </w:tr>
      <w:tr>
        <w:trPr>
          <w:trHeight w:val="445"/>
        </w:trPr>
        <w:tc>
          <w:tcPr>
            <w:tcW w:w="4060" w:type="dxa"/>
            <w:vAlign w:val="bottom"/>
          </w:tcPr>
          <w:p>
            <w:pPr>
              <w:spacing w:after="0"/>
              <w:rPr>
                <w:sz w:val="24"/>
                <w:szCs w:val="24"/>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8"/>
              </w:rPr>
              <w:t>We expect to use the net proceeds from this offering to invest in new or existing portfolio</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4"/>
              </w:rPr>
              <w:t>companies or for other general corporate or strategic purposes, including repaying amounts</w:t>
            </w:r>
          </w:p>
        </w:tc>
      </w:tr>
      <w:tr>
        <w:trPr>
          <w:trHeight w:val="230"/>
        </w:trPr>
        <w:tc>
          <w:tcPr>
            <w:tcW w:w="4060" w:type="dxa"/>
            <w:vAlign w:val="bottom"/>
          </w:tcPr>
          <w:p>
            <w:pPr>
              <w:spacing w:after="0"/>
              <w:rPr>
                <w:sz w:val="20"/>
                <w:szCs w:val="20"/>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outstanding under our existing indebtedness.</w:t>
            </w:r>
          </w:p>
        </w:tc>
      </w:tr>
      <w:tr>
        <w:trPr>
          <w:trHeight w:val="418"/>
        </w:trPr>
        <w:tc>
          <w:tcPr>
            <w:tcW w:w="4060" w:type="dxa"/>
            <w:vAlign w:val="bottom"/>
          </w:tcPr>
          <w:p>
            <w:pPr>
              <w:ind w:left="200"/>
              <w:spacing w:after="0"/>
              <w:rPr>
                <w:sz w:val="20"/>
                <w:szCs w:val="20"/>
                <w:color w:val="auto"/>
              </w:rPr>
            </w:pPr>
            <w:r>
              <w:rPr>
                <w:rFonts w:ascii="Arial" w:cs="Arial" w:eastAsia="Arial" w:hAnsi="Arial"/>
                <w:sz w:val="18"/>
                <w:szCs w:val="18"/>
                <w:color w:val="auto"/>
              </w:rPr>
              <w:t>Trading at a Discount</w:t>
            </w: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color w:val="0000EE"/>
              </w:rPr>
              <w:t>Use of Proceeds</w:t>
            </w:r>
            <w:r>
              <w:rPr>
                <w:rFonts w:ascii="Arial" w:cs="Arial" w:eastAsia="Arial" w:hAnsi="Arial"/>
                <w:sz w:val="18"/>
                <w:szCs w:val="18"/>
                <w:color w:val="auto"/>
              </w:rPr>
              <w:t>” for more information.</w:t>
            </w: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r>
      <w:tr>
        <w:trPr>
          <w:trHeight w:val="492"/>
        </w:trPr>
        <w:tc>
          <w:tcPr>
            <w:tcW w:w="4060" w:type="dxa"/>
            <w:vAlign w:val="bottom"/>
          </w:tcPr>
          <w:p>
            <w:pPr>
              <w:spacing w:after="0"/>
              <w:rPr>
                <w:sz w:val="24"/>
                <w:szCs w:val="24"/>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4"/>
              </w:rPr>
              <w:t>Shares of closed-end investment companies, including BDCs, frequently trade at a discount</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7"/>
              </w:rPr>
              <w:t>to their NAV. The risk that our shares may trade at a discount to our NAV is separate and</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7"/>
              </w:rPr>
              <w:t>distinct from the risk that our NAV per share may decline. We cannot predict whether our</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4"/>
              </w:rPr>
              <w:t>shares will trade above, at or below NAV. The Investment Adviser may, from time to time, in</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9"/>
              </w:rPr>
              <w:t>its sole discretion, pay some or all of the commissions payable under the amended and</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3"/>
              </w:rPr>
              <w:t>restated equity distribution agreements or make additional supplemental payments to ensure</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8"/>
              </w:rPr>
              <w:t>that the sales price per share of our common stock in connection with all of the offerings</w:t>
            </w:r>
          </w:p>
        </w:tc>
      </w:tr>
      <w:tr>
        <w:trPr>
          <w:trHeight w:val="216"/>
        </w:trPr>
        <w:tc>
          <w:tcPr>
            <w:tcW w:w="4060" w:type="dxa"/>
            <w:vAlign w:val="bottom"/>
          </w:tcPr>
          <w:p>
            <w:pPr>
              <w:spacing w:after="0"/>
              <w:rPr>
                <w:sz w:val="18"/>
                <w:szCs w:val="18"/>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w w:val="94"/>
              </w:rPr>
              <w:t>made hereunder will not be less than our current NAV per share. Any such payments made</w:t>
            </w:r>
          </w:p>
        </w:tc>
      </w:tr>
      <w:tr>
        <w:trPr>
          <w:trHeight w:val="230"/>
        </w:trPr>
        <w:tc>
          <w:tcPr>
            <w:tcW w:w="4060" w:type="dxa"/>
            <w:vAlign w:val="bottom"/>
          </w:tcPr>
          <w:p>
            <w:pPr>
              <w:spacing w:after="0"/>
              <w:rPr>
                <w:sz w:val="20"/>
                <w:szCs w:val="20"/>
                <w:color w:val="auto"/>
              </w:rPr>
            </w:pPr>
          </w:p>
        </w:tc>
        <w:tc>
          <w:tcPr>
            <w:tcW w:w="7180" w:type="dxa"/>
            <w:vAlign w:val="bottom"/>
            <w:gridSpan w:val="5"/>
          </w:tcPr>
          <w:p>
            <w:pPr>
              <w:ind w:left="260"/>
              <w:spacing w:after="0"/>
              <w:rPr>
                <w:sz w:val="20"/>
                <w:szCs w:val="20"/>
                <w:color w:val="auto"/>
              </w:rPr>
            </w:pPr>
            <w:r>
              <w:rPr>
                <w:rFonts w:ascii="Arial" w:cs="Arial" w:eastAsia="Arial" w:hAnsi="Arial"/>
                <w:sz w:val="18"/>
                <w:szCs w:val="18"/>
                <w:color w:val="auto"/>
              </w:rPr>
              <w:t>by the Investment Adviser will not be subject to reimbursement by us.</w:t>
            </w:r>
          </w:p>
        </w:tc>
      </w:tr>
      <w:tr>
        <w:trPr>
          <w:trHeight w:val="159"/>
        </w:trPr>
        <w:tc>
          <w:tcPr>
            <w:tcW w:w="40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361"/>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40" w:type="dxa"/>
            <w:vAlign w:val="bottom"/>
            <w:gridSpan w:val="4"/>
          </w:tcPr>
          <w:p>
            <w:pPr>
              <w:ind w:left="8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80"/>
        </w:trPr>
        <w:tc>
          <w:tcPr>
            <w:tcW w:w="34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 on Common Stock</w:t>
            </w:r>
          </w:p>
        </w:tc>
        <w:tc>
          <w:tcPr>
            <w:tcW w:w="7820" w:type="dxa"/>
            <w:vAlign w:val="bottom"/>
            <w:tcBorders>
              <w:top w:val="single" w:sz="8" w:color="auto"/>
              <w:right w:val="single" w:sz="8" w:color="auto"/>
            </w:tcBorders>
            <w:gridSpan w:val="3"/>
          </w:tcPr>
          <w:p>
            <w:pPr>
              <w:ind w:left="900"/>
              <w:spacing w:after="0"/>
              <w:rPr>
                <w:sz w:val="20"/>
                <w:szCs w:val="20"/>
                <w:color w:val="auto"/>
              </w:rPr>
            </w:pPr>
            <w:r>
              <w:rPr>
                <w:rFonts w:ascii="Arial" w:cs="Arial" w:eastAsia="Arial" w:hAnsi="Arial"/>
                <w:sz w:val="18"/>
                <w:szCs w:val="18"/>
                <w:color w:val="auto"/>
                <w:w w:val="96"/>
              </w:rPr>
              <w:t>The timing and amount of our monthly distributions to stockholders, if any, are determined</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7"/>
              </w:rPr>
              <w:t>by our board of directors. While we intend to make distributions on a monthly basis to our</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6"/>
              </w:rPr>
              <w:t>stockholders out of assets legally available for distribution, we may not be able to achieve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operating results that will allow us to make distributions at a specific level or to increase the</w:t>
            </w:r>
          </w:p>
        </w:tc>
      </w:tr>
      <w:tr>
        <w:trPr>
          <w:trHeight w:val="230"/>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amount of our distributions from time to time.</w:t>
            </w:r>
          </w:p>
        </w:tc>
      </w:tr>
      <w:tr>
        <w:trPr>
          <w:trHeight w:val="445"/>
        </w:trPr>
        <w:tc>
          <w:tcPr>
            <w:tcW w:w="3420" w:type="dxa"/>
            <w:vAlign w:val="bottom"/>
            <w:tcBorders>
              <w:left w:val="single" w:sz="8" w:color="auto"/>
            </w:tcBorders>
          </w:tcPr>
          <w:p>
            <w:pPr>
              <w:spacing w:after="0"/>
              <w:rPr>
                <w:sz w:val="24"/>
                <w:szCs w:val="24"/>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In addition, we may be limited in our ability to make distributions due to the asset coverage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requirements applicable to us as a BDC under the 1940 Act. If we do not distribute a certain</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percentage of our income annually, we will suffer adverse tax consequences, including the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possible loss of our ability to be subject to tax as a RIC. We cannot assure stockholders that</w:t>
            </w:r>
          </w:p>
        </w:tc>
      </w:tr>
      <w:tr>
        <w:trPr>
          <w:trHeight w:val="230"/>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they will receive any distributions.</w:t>
            </w:r>
          </w:p>
        </w:tc>
      </w:tr>
      <w:tr>
        <w:trPr>
          <w:trHeight w:val="445"/>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We have elected to be treated, and intend to qualify annually to maintain our election to be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7"/>
              </w:rPr>
              <w:t>treated, as a RIC under Subchapter M of the Code. To maintain our RIC tax election, we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must, among other requirements, meet certain annual source-of-income and quarterly asset</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diversification requirements. We also must annually distribute dividends for U.S. federal</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income tax purposes to our stockholders out of the assets legally available for distribution of</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2"/>
              </w:rPr>
              <w:t>an amount generally at least equal to 90% of the sum of our net ordinary income and realized</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net short-term capital gains in excess of realized net long-term capital losses, or investment</w:t>
            </w:r>
          </w:p>
        </w:tc>
      </w:tr>
      <w:tr>
        <w:trPr>
          <w:trHeight w:val="230"/>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7"/>
              </w:rPr>
              <w:t>company taxable income, determined without regard to any deduction for dividends paid.</w:t>
            </w:r>
          </w:p>
        </w:tc>
      </w:tr>
      <w:tr>
        <w:trPr>
          <w:trHeight w:val="418"/>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Investing in our common stock involves risks. See “</w:t>
            </w:r>
            <w:r>
              <w:rPr>
                <w:rFonts w:ascii="Arial" w:cs="Arial" w:eastAsia="Arial" w:hAnsi="Arial"/>
                <w:sz w:val="18"/>
                <w:szCs w:val="18"/>
                <w:color w:val="0000EE"/>
              </w:rPr>
              <w:t>Risk Factors</w:t>
            </w:r>
            <w:r>
              <w:rPr>
                <w:rFonts w:ascii="Arial" w:cs="Arial" w:eastAsia="Arial" w:hAnsi="Arial"/>
                <w:sz w:val="18"/>
                <w:szCs w:val="18"/>
                <w:color w:val="auto"/>
              </w:rPr>
              <w:t>” in this prospectus</w:t>
            </w:r>
          </w:p>
        </w:tc>
      </w:tr>
      <w:tr>
        <w:trPr>
          <w:trHeight w:val="20"/>
        </w:trPr>
        <w:tc>
          <w:tcPr>
            <w:tcW w:w="3420" w:type="dxa"/>
            <w:vAlign w:val="bottom"/>
            <w:tcBorders>
              <w:left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222"/>
        </w:trPr>
        <w:tc>
          <w:tcPr>
            <w:tcW w:w="342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supplement and in our most recent Annual Report on Form 10-K and our most recent</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Quarterly Reports on Form 10-Q, each of which is incorporated by reference into this</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prospectus supplement, and in any free writing prospectuses we have authorized for use in</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connection with this offering, and under similar headings in the documents that are filed with</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6"/>
              </w:rPr>
              <w:t>the SEC on or after the date hereof and are incorporated by reference into this prospectus</w:t>
            </w:r>
          </w:p>
        </w:tc>
      </w:tr>
      <w:tr>
        <w:trPr>
          <w:trHeight w:val="230"/>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supplement and the accompanying prospectus.</w:t>
            </w:r>
          </w:p>
        </w:tc>
      </w:tr>
      <w:tr>
        <w:trPr>
          <w:trHeight w:val="172"/>
        </w:trPr>
        <w:tc>
          <w:tcPr>
            <w:tcW w:w="3420" w:type="dxa"/>
            <w:vAlign w:val="bottom"/>
            <w:tcBorders>
              <w:left w:val="single" w:sz="8" w:color="auto"/>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r>
        <w:trPr>
          <w:trHeight w:val="361"/>
        </w:trPr>
        <w:tc>
          <w:tcPr>
            <w:tcW w:w="3420" w:type="dxa"/>
            <w:vAlign w:val="bottom"/>
          </w:tcPr>
          <w:p>
            <w:pPr>
              <w:spacing w:after="0"/>
              <w:rPr>
                <w:sz w:val="24"/>
                <w:szCs w:val="24"/>
                <w:color w:val="auto"/>
              </w:rPr>
            </w:pPr>
          </w:p>
        </w:tc>
        <w:tc>
          <w:tcPr>
            <w:tcW w:w="7820" w:type="dxa"/>
            <w:vAlign w:val="bottom"/>
            <w:gridSpan w:val="3"/>
          </w:tcPr>
          <w:p>
            <w:pPr>
              <w:ind w:left="20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240"/>
          </w:cols>
          <w:pgMar w:left="320" w:top="50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UPDATE TO “AT THE MARKET” OFFERING</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August 11, 2023, we entered into separate amended and restated equity distribution agreements with the sales agents, which increase the aggregate offering price of our common stock to be sold pursuant to the “at the market” offering to $250 million (which amount includes all of the shares of our common stock previously sold pursuant to the equity distribution agreements dated March 31, 2023).</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860" w:type="dxa"/>
            <w:vAlign w:val="bottom"/>
          </w:tcPr>
          <w:p>
            <w:pPr>
              <w:ind w:left="160"/>
              <w:spacing w:after="0"/>
              <w:rPr>
                <w:sz w:val="20"/>
                <w:szCs w:val="20"/>
                <w:color w:val="auto"/>
              </w:rPr>
            </w:pPr>
            <w:r>
              <w:rPr>
                <w:rFonts w:ascii="Arial" w:cs="Arial" w:eastAsia="Arial" w:hAnsi="Arial"/>
                <w:sz w:val="18"/>
                <w:szCs w:val="18"/>
                <w:color w:val="auto"/>
                <w:w w:val="93"/>
              </w:rPr>
              <w:t>2.00%(1)</w:t>
            </w: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0.24%(2)</w:t>
            </w:r>
          </w:p>
        </w:tc>
        <w:tc>
          <w:tcPr>
            <w:tcW w:w="1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stockholder expenses (as a percentage of offering price)</w:t>
            </w:r>
          </w:p>
        </w:tc>
        <w:tc>
          <w:tcPr>
            <w:tcW w:w="860" w:type="dxa"/>
            <w:vAlign w:val="bottom"/>
          </w:tcPr>
          <w:p>
            <w:pPr>
              <w:ind w:left="16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r>
      <w:tr>
        <w:trPr>
          <w:trHeight w:val="337"/>
        </w:trPr>
        <w:tc>
          <w:tcPr>
            <w:tcW w:w="774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Estimated annual expenses (as a percentage of average net assets attributable to common shares)(3)</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2.00 %(4)</w:t>
            </w:r>
          </w:p>
        </w:tc>
      </w:tr>
      <w:tr>
        <w:trPr>
          <w:trHeight w:val="24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3.26 %(5)</w:t>
            </w: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Interest on borrowed funds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7.05 %(6)</w:t>
            </w:r>
          </w:p>
        </w:tc>
      </w:tr>
      <w:tr>
        <w:trPr>
          <w:trHeight w:val="24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13.73 %(7)</w:t>
            </w: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1.24 %(8)</w:t>
            </w:r>
          </w:p>
        </w:tc>
      </w:tr>
      <w:tr>
        <w:trPr>
          <w:trHeight w:val="24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27.28 %(9)</w:t>
            </w:r>
          </w:p>
        </w:tc>
      </w:tr>
    </w:tbl>
    <w:p>
      <w:pPr>
        <w:spacing w:after="0" w:line="229" w:lineRule="exact"/>
        <w:rPr>
          <w:sz w:val="20"/>
          <w:szCs w:val="20"/>
          <w:color w:val="auto"/>
        </w:rPr>
      </w:pPr>
    </w:p>
    <w:p>
      <w:pPr>
        <w:ind w:left="460" w:right="1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maximum sales agents’ commission with respect to the shares of our common stock sold by us in this offering. There is no guarantee that there will be any sales of our common stock pursuant to this prospectus supplement and the accompanying prospectus.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percentage reflects estimated offering expenses payable by us of approximately $600,000 for the estimated duration of this offering.</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2023.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June 30, 2023.</w:t>
      </w:r>
    </w:p>
    <w:p>
      <w:pPr>
        <w:spacing w:after="0" w:line="130" w:lineRule="exact"/>
        <w:rPr>
          <w:rFonts w:ascii="Arial" w:cs="Arial" w:eastAsia="Arial" w:hAnsi="Arial"/>
          <w:sz w:val="18"/>
          <w:szCs w:val="18"/>
          <w:color w:val="auto"/>
        </w:rPr>
      </w:pPr>
    </w:p>
    <w:p>
      <w:pPr>
        <w:ind w:left="460" w:hanging="452"/>
        <w:spacing w:after="0" w:line="271"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quarter ended June 30, 2023,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513" w:right="339" w:bottom="1440" w:gutter="0" w:footer="0" w:header="0"/>
        </w:sectPr>
      </w:pPr>
    </w:p>
    <w:bookmarkStart w:id="8" w:name="page9"/>
    <w:bookmarkEnd w:id="8"/>
    <w:p>
      <w:pPr>
        <w:ind w:left="452"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quarter ended June 30, 2023. For more detailed information about the incentive fee, please see “Item 1. Business-Investment Management Agreement” and “Item 1. Business-Investment Advisory Fees” in our most recent Annual Report on Form 10-K.</w:t>
      </w:r>
    </w:p>
    <w:p>
      <w:pPr>
        <w:spacing w:after="0" w:line="63" w:lineRule="exact"/>
        <w:rPr>
          <w:sz w:val="20"/>
          <w:szCs w:val="20"/>
          <w:color w:val="auto"/>
        </w:rPr>
      </w:pPr>
    </w:p>
    <w:p>
      <w:pPr>
        <w:ind w:left="452" w:hanging="452"/>
        <w:spacing w:after="0" w:line="273"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June 30, 2023, we had $64.4 million in borrowings outstanding under our Credit Facility, and we had $76.2 million outstanding under our 2023 Notes, $185.0 million outstanding under our 2026 Notes and $228.0 million outstanding under the 2031 Asset-Backed Debt. We may use proceeds of this offering, if any,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83" w:lineRule="exact"/>
        <w:rPr>
          <w:rFonts w:ascii="Arial" w:cs="Arial" w:eastAsia="Arial" w:hAnsi="Arial"/>
          <w:sz w:val="17"/>
          <w:szCs w:val="17"/>
          <w:color w:val="auto"/>
        </w:rPr>
      </w:pPr>
    </w:p>
    <w:p>
      <w:pPr>
        <w:ind w:left="452" w:right="200" w:hanging="452"/>
        <w:spacing w:after="0" w:line="301"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June 30, 2023, annualized for a full year. Expenses for PSSL may fluctuate over time and may be substantially higher or lower in the future.</w:t>
      </w:r>
    </w:p>
    <w:p>
      <w:pPr>
        <w:spacing w:after="0" w:line="49" w:lineRule="exact"/>
        <w:rPr>
          <w:rFonts w:ascii="Arial" w:cs="Arial" w:eastAsia="Arial" w:hAnsi="Arial"/>
          <w:sz w:val="16"/>
          <w:szCs w:val="16"/>
          <w:color w:val="auto"/>
        </w:rPr>
      </w:pPr>
    </w:p>
    <w:p>
      <w:pPr>
        <w:ind w:left="452" w:right="20"/>
        <w:spacing w:after="0" w:line="257" w:lineRule="auto"/>
        <w:rPr>
          <w:rFonts w:ascii="Arial" w:cs="Arial" w:eastAsia="Arial" w:hAnsi="Arial"/>
          <w:sz w:val="16"/>
          <w:szCs w:val="16"/>
          <w:color w:val="auto"/>
        </w:rPr>
      </w:pPr>
      <w:r>
        <w:rPr>
          <w:rFonts w:ascii="Arial" w:cs="Arial" w:eastAsia="Arial" w:hAnsi="Arial"/>
          <w:sz w:val="18"/>
          <w:szCs w:val="18"/>
          <w:color w:val="auto"/>
        </w:rPr>
        <w:t>Our stockholders indirectly bear 23.08% of the expenses of our investment in PTSF. A management fee equal to 0.30% per annum of the gross assets of PTSF and its subsidiaries is charged by PennantPark Investment Advisers in connection with PTSF (which is waived by PennantPark Investment Advisers). For this chart, PTSF fees and operating expenses are based on our share of the actual fees and operating expenses of PTSF for the fiscal quarter ended June 30, 2023, annualized for a full year. Expenses for PTSF may fluctuate over time and may be substantially higher or lower in the future.</w:t>
      </w:r>
    </w:p>
    <w:p>
      <w:pPr>
        <w:spacing w:after="0" w:line="93" w:lineRule="exact"/>
        <w:rPr>
          <w:rFonts w:ascii="Arial" w:cs="Arial" w:eastAsia="Arial" w:hAnsi="Arial"/>
          <w:sz w:val="16"/>
          <w:szCs w:val="16"/>
          <w:color w:val="auto"/>
        </w:rPr>
      </w:pPr>
    </w:p>
    <w:p>
      <w:pPr>
        <w:ind w:left="452" w:right="140" w:hanging="452"/>
        <w:spacing w:after="0" w:line="259"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fiscal quarter ended June 30, 2023, annualized for a full year.</w:t>
      </w:r>
    </w:p>
    <w:p>
      <w:pPr>
        <w:spacing w:after="0" w:line="92" w:lineRule="exact"/>
        <w:rPr>
          <w:rFonts w:ascii="Arial" w:cs="Arial" w:eastAsia="Arial" w:hAnsi="Arial"/>
          <w:sz w:val="18"/>
          <w:szCs w:val="18"/>
          <w:color w:val="auto"/>
        </w:rPr>
      </w:pPr>
    </w:p>
    <w:p>
      <w:pPr>
        <w:ind w:left="452" w:right="80" w:hanging="452"/>
        <w:spacing w:after="0" w:line="273"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13.08% of average total assets.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12"/>
          </w:cols>
          <w:pgMar w:left="328" w:top="51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Example</w:t>
      </w:r>
    </w:p>
    <w:p>
      <w:pPr>
        <w:spacing w:after="0" w:line="2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 following example illustrates the projected dollar amount of total cumulative expenses that you would pay on a $1,000 hypothetical investment in common shares, assuming (1) a 2.00% sales load (the maximum commission to be paid by us with respect to common stock sold by us in this offering) and offering expenses totaling 0.24%, (2) total net estimated annual expenses of 24.02% of average net assets attributable to common shares as set forth in the table above (other than performance-based incentive fees) and (3) a 5.0% annual return.</w:t>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62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4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94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89"/>
              </w:rPr>
              <w:t>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Years</w:t>
            </w:r>
          </w:p>
        </w:tc>
        <w:tc>
          <w:tcPr>
            <w:tcW w:w="46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7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Assuming a 5% annual return (assumes no return from net realized capital gains or net</w:t>
            </w:r>
          </w:p>
        </w:tc>
        <w:tc>
          <w:tcPr>
            <w:tcW w:w="2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10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$235</w:t>
            </w:r>
          </w:p>
        </w:tc>
        <w:tc>
          <w:tcPr>
            <w:tcW w:w="8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$546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$751</w:t>
            </w:r>
          </w:p>
        </w:tc>
        <w:tc>
          <w:tcPr>
            <w:tcW w:w="100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87"/>
              </w:rPr>
              <w:t>$1,004</w:t>
            </w: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3"/>
              </w:rPr>
              <w:t>Assuming a 5% annual return (assumes return only from realized capital gains and thus subject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to the capital gains incentive fee)</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$243</w:t>
            </w:r>
          </w:p>
        </w:tc>
        <w:tc>
          <w:tcPr>
            <w:tcW w:w="8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$559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$762</w:t>
            </w:r>
          </w:p>
        </w:tc>
        <w:tc>
          <w:tcPr>
            <w:tcW w:w="1000" w:type="dxa"/>
            <w:vAlign w:val="bottom"/>
            <w:gridSpan w:val="3"/>
          </w:tcPr>
          <w:p>
            <w:pPr>
              <w:jc w:val="center"/>
              <w:ind w:left="316"/>
              <w:spacing w:after="0"/>
              <w:rPr>
                <w:sz w:val="20"/>
                <w:szCs w:val="20"/>
                <w:color w:val="auto"/>
              </w:rPr>
            </w:pPr>
            <w:r>
              <w:rPr>
                <w:rFonts w:ascii="Arial" w:cs="Arial" w:eastAsia="Arial" w:hAnsi="Arial"/>
                <w:sz w:val="18"/>
                <w:szCs w:val="18"/>
                <w:color w:val="auto"/>
                <w:w w:val="87"/>
              </w:rPr>
              <w:t>$1,004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51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RISK FACTORS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Investing in our shares of our common stock may be speculative and involves a high degree of risk. You should carefully consider the risk factors incorporated by reference from our most recent Annual Report on Form 10-K, our most recent Quarterly Reports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100" w:lineRule="exact"/>
        <w:rPr>
          <w:sz w:val="20"/>
          <w:szCs w:val="20"/>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20" w:right="420" w:hanging="4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 or any future worsening thereof;</w:t>
      </w:r>
    </w:p>
    <w:p>
      <w:pPr>
        <w:spacing w:after="0" w:line="75" w:lineRule="exact"/>
        <w:rPr>
          <w:rFonts w:ascii="Arial" w:cs="Arial" w:eastAsia="Arial" w:hAnsi="Arial"/>
          <w:sz w:val="18"/>
          <w:szCs w:val="18"/>
          <w:color w:val="auto"/>
        </w:rPr>
      </w:pPr>
    </w:p>
    <w:p>
      <w:pPr>
        <w:jc w:val="both"/>
        <w:ind w:left="1020" w:right="200" w:hanging="450"/>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89"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513" w:right="339" w:bottom="1440" w:gutter="0" w:footer="0" w:header="0"/>
        </w:sectPr>
      </w:pPr>
    </w:p>
    <w:bookmarkStart w:id="11" w:name="page12"/>
    <w:bookmarkEnd w:id="11"/>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levels of inflation, and its impact on us and our portfolio companies;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20" w:right="340" w:hanging="4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invasion of Ukraine by Russia, United Kingdom’s withdrawal from the European Union (commonly known as “Brexit”) and other world economic and political issues.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our most recent Quarterly Reports on Form 10-Q, in the documents incorporated by reference herein, and elsewhere in this prospectus supplement and the accompanying prospectus.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You should understand that, under Sections 27A(b)(2)(B) of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320" w:top="517"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USE OF PROCEEDS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Sales of our common stock, if any, under this prospectus supplement and the accompanying prospectus may be made in negotiated transactions or transactions that are deemed to be “at the market” as defined in Rule 415 under the Securities Act, including sales made directly on the NYSE or sales made to or through a market maker other than on an exchange. There is no guarantee that there will be any sales of our common stock pursuant to this prospectus supplement and the accompanying prospectus. Actual sales, if any, of our common stock under this prospectus supplement and the accompanying prospectus may be less than the proceeds set forth in this paragraph depending on the market price of our common stock at the time of any such sale. As a result, the actual net proceeds we receive may be more or less than the amount of net proceeds estimated in this prospectus supplement. The sales price per share of our common stock offered by this prospectus supplement and the accompanying prospectus, less commissions payable under the amended and restated equity distribution agreements and discounts, if any, along with any additional supplemental payments made by the Investment Adviser, will not be less than the NAV per share of our common stock at the time of such sale. If we sell shares of our common stock with an aggregate offering amount of $250 million, we anticipate that our net proceeds, after deducting an assumed maximum sales agents’ commissions and estimated expenses payable by us, will be approximately $244.4 million.</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expect to use the net proceeds from this offering to invest in new or existing portfolio companies or for other general corporate or strategic purposes, including repaying amounts outstanding under our existing indebtedness which may include our Credit Facility, our 2023 Notes, our 2026 Notes or the 2031 Asset-Backed Debt.</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June 30, 2023, we had $64.4 million in borrowings outstanding under our Credit Facility. Borrowings under the Credit Facility bear interest at an annual rate at a spread above the Secured Overnight Financing Rate (or an alternative risk-free floating interest rate index) of 225 basis points. The Credit Facility has a maturity date of August 2026 and a revolving period that ends in August 2024. At June 30, 2023, the weighted average interest rate of the Credit Facility was 7.5%, exclusive of the fee on undrawn commitments. The Credit Facility is secured by all of the assets of Funding I and we own 100% of the equity interest in Funding I and treat the indebtedness of Funding I as our leverage. We may use proceeds of this offering, if any, to repay outstanding obligations under our existing financing arrangements or other indebtedness. After completing this offering, we may continue to borrow under our existing financing arrangements to finance our investment objectives. Affiliates of Raymond James &amp; Associates, Inc. and Truist Securities, Inc. are lenders under the Credit Facility. Accordingly, an affiliate of Raymond James &amp; Associates, Inc. or Truist Securities, Inc. may receive more than 5% of the proceeds of this offering to the extent such proceeds are used to repay outstanding indebtedness under the Credit Facility.</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in our most recently filed Annual Report on Form 10- K for more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513"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separate amended and restated equity distribution agreements, each dated August 11, 2023, with Citizens JMP Securities,</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LLC, Raymond James &amp; Associates, Inc. and Truist Securities, Inc. under which Citizens JMP Securities, LLC, Raymond James &amp; Associates, Inc. and Truist Securities, Inc. will act as the sales agents in connection with the offer and sale of up to $250 million of shares of our common stock pursuant to this prospectus supplement and the accompanying prospectus. From March 31, 2023 to August 11, 2023, we sold a total of 9,002,887 shares of common stock pursuant to the “at the market” offering. The total amount of capital raised as a result of these sales of our common stock was approximately $99.3 million and net proceeds were approximately $98.8 million, after deducting the sales agents’ commissions and offering expenses and inclusive of reimbursement proceeds from the Investment Adviser.</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instructions from us, the sales agents will use their commercially reasonable efforts consistent with their respective normal sales and trading practices to sell, as the sales agents, our common stock under the terms and subject to the conditions set forth in the amended and restated equity distribution agreements. We will instruct the sales agents as to the minimum amount of common stock to be sold through the offering, the time period during which sales are requested to be made, any limitation on the number of shares of common stock that may be sold in any one trading day and any minimum price below which sale may not be made. We may instruct the sales agents not to sell common stock if the sales cannot be effected at or above the price designated by us in any instruction. The sales price per share of our common stock offered by this prospectus supplement and the accompanying prospectus, less commissions payable under the applicable amended and restated equity distribution agreement and discounts, if any, will not be less than the NAV per share of our common stock at the time of such sale. The Investment Adviser may, from time to time, in its sole discretion, pay some or all of the commissions payable under the amended and restated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 We or the sales agents may suspend the offering of shares of common stock upon proper notice and subject to other conditions.</w:t>
      </w:r>
    </w:p>
    <w:p>
      <w:pPr>
        <w:spacing w:after="0" w:line="17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Sales of the shares of our common stock, if any, by us under this prospectus supplement and the accompanying prospectus may be made in negotiated transactions or transactions that are deemed to be “at the market,” as defined in Rule 415 under the Securities Act, including sales made directly on the NYSE or similar securities exchanges or sales made to or through a market maker other than on a securities exchange at prices related to the prevailing market prices or at negotiated prices.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sales agent will provide written confirmation of a sale to us as soon as practicable following the close of trading on the NYSE each day in which shares of our common stock are sold under the applicable amended and restated equity distribution agreement. Each confirmation will include the number of shares of common stock sold on such day, the net proceeds payable to us and the aggregate compensation payable by us to such sales agent in connection with such sales.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will pay each sales agent a commission of up to 2.0% of the gross sales price of shares of our common stock sold through such sales agent pursuant to this prospectus supplement. The estimated offering expenses payable by us, in addition to such commission and reimbursement of expenses, are approximately $600,000, which includes legal, accounting and printing costs and various other fees associated with registering the shares of common stock as well as an aggregate of $40,000 in reimbursement of reasonable fees and expenses of counsel to the sales agents incurred in connection with the initial launch of the “at the market” offering, $40,000 in reimbursement of reasonable fees and expenses of counsel to the sales agents incurred in connection with entering into the amended and restated equity distribution agreements and up to $7,500 per calendar quarter during the term of the amended and restated equity distribution agreements for fees and expenses of counsel to the sales agents incurred in connection with quarterly updates for this offering. The remaining sales proceeds, after deducting any other transaction fees, will equal net proceeds from the sale of such shares payable to 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320" w:top="513" w:right="359" w:bottom="1440" w:gutter="0" w:footer="0" w:header="0"/>
        </w:sectPr>
      </w:pPr>
    </w:p>
    <w:bookmarkStart w:id="14" w:name="page15"/>
    <w:bookmarkEnd w:id="14"/>
    <w:p>
      <w:pPr>
        <w:jc w:val="both"/>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Settlement for sales of shares of common stock will occur on the second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Under the terms of the amended and restated equity distribution agreements, we may also sell shares of our common stock to a sales agent as principal for its own accounts at a price agreed upon at the time of sale. The sales agents may offer our common stock sold to them as principals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agreement with such sales agent, setting forth the terms of such transaction, and we will describe such agreement in a separate prospectus supplement.</w:t>
      </w:r>
    </w:p>
    <w:p>
      <w:pPr>
        <w:spacing w:after="0" w:line="16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will report at least quarterly the number of shares of common stock sold by us through the sales agents under the amended and restated equity distribution agreements and the net proceeds to us.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sale of our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offering of shares of common stock by us pursuant to the amended and restated equity distribution agreements will terminate upon the earlier of (i) the sale of all common stock subject to the amended and restated equity distribution agreements or (ii) the termination of the amended and restated equity distribution agreements as permitted therein.</w:t>
      </w:r>
    </w:p>
    <w:p>
      <w:pPr>
        <w:spacing w:after="0" w:line="1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principal business address of the sales agents are: Citizens JMP Securities, LLC, 600 Montgomery Street, 11th Floor, San Francisco, CA 94111; Raymond James &amp; Associates, Inc., 880 Carillon Parkway, Tower 3, St. Petersburg, FL 33716; and Truist Securities, Inc., 3333 Peachtree Road, NE, Atlanta, GA 30326.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51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LEGAL MATTERS</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sales agents by Kirkland &amp; Ellis LLP.</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consolidated financial statements and the related consolidated senior securities table of PennantPark Floating Rate Capital Ltd. and subsidiaries as of September 30, 2022 and 2021 and for each of the years in the three-year period ended September 30, 2022 incorporated in this prospectus supplement by reference from our Annual Report on Form 10-K for the year ended September 30, 2022 have been audited by RSM US LLP, an independent registered public accounting firm, as stated in their reports thereon, incorporated herein by reference, and have been incorporated in this prospectus supplement in reliance upon such reports.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jc w:val="both"/>
        <w:ind w:left="1020" w:right="340" w:hanging="4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2022, filed with the SEC on November 17, 2022, including the information specifically incorporated by reference to the Form 10-K from our Definitive Proxy Statement on </w:t>
      </w:r>
      <w:hyperlink r:id="rId3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8, 2022;</w:t>
      </w:r>
    </w:p>
    <w:p>
      <w:pPr>
        <w:spacing w:after="0" w:line="89"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33">
        <w:r>
          <w:rPr>
            <w:rFonts w:ascii="Arial" w:cs="Arial" w:eastAsia="Arial" w:hAnsi="Arial"/>
            <w:sz w:val="18"/>
            <w:szCs w:val="18"/>
            <w:u w:val="single" w:color="auto"/>
            <w:color w:val="0000EE"/>
          </w:rPr>
          <w:t>December 31, 2022</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5">
        <w:r>
          <w:rPr>
            <w:rFonts w:ascii="Arial" w:cs="Arial" w:eastAsia="Arial" w:hAnsi="Arial"/>
            <w:sz w:val="18"/>
            <w:szCs w:val="18"/>
            <w:u w:val="single" w:color="auto"/>
            <w:color w:val="0000EE"/>
          </w:rPr>
          <w:t>June 30, 2023</w:t>
        </w:r>
      </w:hyperlink>
      <w:r>
        <w:rPr>
          <w:rFonts w:ascii="Arial" w:cs="Arial" w:eastAsia="Arial" w:hAnsi="Arial"/>
          <w:sz w:val="18"/>
          <w:szCs w:val="18"/>
          <w:color w:val="auto"/>
        </w:rPr>
        <w:t>, filed with the SEC on February 8, 2023, May 11, 2023 and August 9, 2023, respectively;</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January 26, 2023</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8">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20" w:right="220" w:hanging="4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39">
        <w:r>
          <w:rPr>
            <w:rFonts w:ascii="Arial" w:cs="Arial" w:eastAsia="Arial" w:hAnsi="Arial"/>
            <w:sz w:val="18"/>
            <w:szCs w:val="18"/>
            <w:u w:val="single" w:color="auto"/>
            <w:color w:val="0000EE"/>
          </w:rPr>
          <w:t>Exhibit 4.4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fiscal year ended September 30, 2019 (File No. 814-00891), as filed with the SEC on November 20, 2019.</w:t>
      </w:r>
    </w:p>
    <w:p>
      <w:pPr>
        <w:spacing w:after="0" w:line="17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To obtain copies of these filings, see “</w:t>
      </w:r>
      <w:r>
        <w:rPr>
          <w:rFonts w:ascii="Arial" w:cs="Arial" w:eastAsia="Arial" w:hAnsi="Arial"/>
          <w:sz w:val="18"/>
          <w:szCs w:val="18"/>
          <w:u w:val="single" w:color="auto"/>
          <w:color w:val="0000EE"/>
        </w:rPr>
        <w:t>Available Information</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513" w:right="3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AVAILABLE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513" w:right="4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PROSPECTUS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94615</wp:posOffset>
            </wp:positionV>
            <wp:extent cx="2032000" cy="488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032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or the Secured Overnight Financing Rate, or SOFR, with or without a floor, plus a fixed spread. We can offer no assurances that we will achieve our investment objectives.</w:t>
      </w:r>
    </w:p>
    <w:p>
      <w:pPr>
        <w:spacing w:after="0" w:line="8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right="180" w:firstLine="440"/>
        <w:spacing w:after="0" w:line="269" w:lineRule="auto"/>
        <w:rPr>
          <w:sz w:val="20"/>
          <w:szCs w:val="20"/>
          <w:color w:val="auto"/>
        </w:rPr>
      </w:pPr>
      <w:r>
        <w:rPr>
          <w:rFonts w:ascii="Arial" w:cs="Arial" w:eastAsia="Arial" w:hAnsi="Arial"/>
          <w:sz w:val="17"/>
          <w:szCs w:val="17"/>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Arial" w:cs="Arial" w:eastAsia="Arial" w:hAnsi="Arial"/>
          <w:sz w:val="17"/>
          <w:szCs w:val="17"/>
          <w:u w:val="single" w:color="auto"/>
          <w:color w:val="0000EE"/>
        </w:rPr>
        <w:t>Risk Factors</w:t>
      </w:r>
      <w:r>
        <w:rPr>
          <w:rFonts w:ascii="Arial" w:cs="Arial" w:eastAsia="Arial" w:hAnsi="Arial"/>
          <w:sz w:val="17"/>
          <w:szCs w:val="17"/>
          <w:color w:val="auto"/>
        </w:rPr>
        <w:t>” on page 10 and “</w:t>
      </w:r>
      <w:r>
        <w:rPr>
          <w:rFonts w:ascii="Arial" w:cs="Arial" w:eastAsia="Arial" w:hAnsi="Arial"/>
          <w:sz w:val="17"/>
          <w:szCs w:val="17"/>
          <w:u w:val="single" w:color="auto"/>
          <w:color w:val="0000EE"/>
        </w:rPr>
        <w:t>Sales of Common Stock Below Net Asset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Value</w:t>
      </w:r>
      <w:r>
        <w:rPr>
          <w:rFonts w:ascii="Arial" w:cs="Arial" w:eastAsia="Arial" w:hAnsi="Arial"/>
          <w:sz w:val="17"/>
          <w:szCs w:val="17"/>
          <w:color w:val="000000"/>
        </w:rPr>
        <w:t>” on page 12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-174625</wp:posOffset>
            </wp:positionV>
            <wp:extent cx="3332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32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260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260350" cy="8890"/>
                    </a:xfrm>
                    <a:prstGeom prst="rect">
                      <a:avLst/>
                    </a:prstGeom>
                    <a:noFill/>
                  </pic:spPr>
                </pic:pic>
              </a:graphicData>
            </a:graphic>
          </wp:anchor>
        </w:drawing>
      </w:r>
    </w:p>
    <w:p>
      <w:pPr>
        <w:spacing w:after="0" w:line="5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Our common stock is traded on The New York Stock Exchange and the Tel Aviv Stock Exchange, or TASE, under the symbol “PFLT.” Prior to April 14, 2022, our common stock was traded on The Nasdaq Global Select Market under the same symbol. The last reported closing price for our common stock on September 30, 2022 was $9.60 per share, and our NAV on September 30, 2022 was $11.62 per share.</w:t>
      </w:r>
    </w:p>
    <w:p>
      <w:pPr>
        <w:spacing w:after="0" w:line="5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w:t>
      </w:r>
    </w:p>
    <w:p>
      <w:pPr>
        <w:sectPr>
          <w:pgSz w:w="11900" w:h="16838" w:orient="portrait"/>
          <w:cols w:equalWidth="0" w:num="1">
            <w:col w:w="11000"/>
          </w:cols>
          <w:pgMar w:left="440" w:top="517" w:right="459" w:bottom="1440" w:gutter="0" w:footer="0" w:header="0"/>
        </w:sectPr>
      </w:pPr>
    </w:p>
    <w:bookmarkStart w:id="18" w:name="page19"/>
    <w:bookmarkEnd w:id="18"/>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 xml:space="preserve">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Florida 33139,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3"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-76835</wp:posOffset>
            </wp:positionV>
            <wp:extent cx="619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10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Prospectus dated January 9, 2023</w:t>
      </w:r>
    </w:p>
    <w:p>
      <w:pPr>
        <w:sectPr>
          <w:pgSz w:w="11900" w:h="16838" w:orient="portrait"/>
          <w:cols w:equalWidth="0" w:num="1">
            <w:col w:w="10920"/>
          </w:cols>
          <w:pgMar w:left="440" w:top="517" w:right="539" w:bottom="1440" w:gutter="0" w:footer="0" w:header="0"/>
        </w:sectPr>
      </w:pPr>
    </w:p>
    <w:bookmarkStart w:id="19" w:name="page20"/>
    <w:bookmarkEnd w:id="19"/>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0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560" w:type="dxa"/>
            <w:vAlign w:val="bottom"/>
            <w:gridSpan w:val="27"/>
            <w:vMerge w:val="restart"/>
          </w:tcPr>
          <w:p>
            <w:pPr>
              <w:spacing w:after="0"/>
              <w:rPr>
                <w:sz w:val="20"/>
                <w:szCs w:val="20"/>
                <w:color w:val="auto"/>
              </w:rPr>
            </w:pPr>
            <w:r>
              <w:rPr>
                <w:rFonts w:ascii="Arial" w:cs="Arial" w:eastAsia="Arial" w:hAnsi="Arial"/>
                <w:sz w:val="18"/>
                <w:szCs w:val="18"/>
                <w:color w:val="0000EE"/>
              </w:rPr>
              <w:t>PROSPECTUS SUMMARY</w:t>
            </w: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60" w:type="dxa"/>
            <w:vAlign w:val="bottom"/>
            <w:gridSpan w:val="27"/>
            <w:vMerge w:val="continue"/>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FEES AND EXPENSES</w:t>
            </w:r>
          </w:p>
        </w:tc>
        <w:tc>
          <w:tcPr>
            <w:tcW w:w="300" w:type="dxa"/>
            <w:vAlign w:val="bottom"/>
            <w:tcBorders>
              <w:top w:val="single" w:sz="8" w:color="0000EE"/>
            </w:tcBorders>
            <w:gridSpan w:val="2"/>
          </w:tcPr>
          <w:p>
            <w:pPr>
              <w:spacing w:after="0"/>
              <w:rPr>
                <w:sz w:val="17"/>
                <w:szCs w:val="17"/>
                <w:color w:val="auto"/>
              </w:rPr>
            </w:pPr>
          </w:p>
        </w:tc>
        <w:tc>
          <w:tcPr>
            <w:tcW w:w="6480" w:type="dxa"/>
            <w:vAlign w:val="bottom"/>
            <w:gridSpan w:val="19"/>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FINANCIAL HIGHLIGHTS</w:t>
            </w:r>
          </w:p>
        </w:tc>
        <w:tc>
          <w:tcPr>
            <w:tcW w:w="6460" w:type="dxa"/>
            <w:vAlign w:val="bottom"/>
            <w:gridSpan w:val="18"/>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RISK FACTORS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340" w:type="dxa"/>
            <w:vAlign w:val="bottom"/>
            <w:tcBorders>
              <w:top w:val="single" w:sz="8" w:color="0000EE"/>
            </w:tcBorders>
            <w:gridSpan w:val="11"/>
          </w:tcPr>
          <w:p>
            <w:pPr>
              <w:spacing w:after="0"/>
              <w:rPr>
                <w:sz w:val="17"/>
                <w:szCs w:val="17"/>
                <w:color w:val="auto"/>
              </w:rPr>
            </w:pPr>
          </w:p>
        </w:tc>
        <w:tc>
          <w:tcPr>
            <w:tcW w:w="5640" w:type="dxa"/>
            <w:vAlign w:val="bottom"/>
            <w:gridSpan w:val="12"/>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6840" w:type="dxa"/>
            <w:vAlign w:val="bottom"/>
            <w:gridSpan w:val="22"/>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PRICE RANGE OF COMMON STOCK</w:t>
            </w:r>
          </w:p>
        </w:tc>
        <w:tc>
          <w:tcPr>
            <w:tcW w:w="5600" w:type="dxa"/>
            <w:vAlign w:val="bottom"/>
            <w:gridSpan w:val="11"/>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SALES OF COMMON STOCK BELOW NET ASSET VALUE</w:t>
            </w:r>
          </w:p>
        </w:tc>
        <w:tc>
          <w:tcPr>
            <w:tcW w:w="3940" w:type="dxa"/>
            <w:vAlign w:val="bottom"/>
            <w:gridSpan w:val="4"/>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DISTRIBUTIONS</w:t>
            </w:r>
          </w:p>
        </w:tc>
        <w:tc>
          <w:tcPr>
            <w:tcW w:w="7200" w:type="dxa"/>
            <w:vAlign w:val="bottom"/>
            <w:gridSpan w:val="2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PORTFOLIO COMPANIES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PORTFOLIO MANAGEMENT</w:t>
            </w:r>
          </w:p>
        </w:tc>
        <w:tc>
          <w:tcPr>
            <w:tcW w:w="6240" w:type="dxa"/>
            <w:vAlign w:val="bottom"/>
            <w:gridSpan w:val="1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DETERMINATION OF NET ASSET VALUE</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6"/>
              </w:rPr>
              <w:t>DESCRIPTION OF OUR CAPITAL STOCK</w:t>
            </w:r>
          </w:p>
        </w:tc>
        <w:tc>
          <w:tcPr>
            <w:tcW w:w="5220" w:type="dxa"/>
            <w:vAlign w:val="bottom"/>
            <w:gridSpan w:val="9"/>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DESCRIPTION OF OUR PREFERRED STOCK</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660" w:type="dxa"/>
            <w:vAlign w:val="bottom"/>
            <w:tcBorders>
              <w:top w:val="single" w:sz="8" w:color="0000EE"/>
            </w:tcBorders>
            <w:gridSpan w:val="6"/>
          </w:tcPr>
          <w:p>
            <w:pPr>
              <w:spacing w:after="0"/>
              <w:rPr>
                <w:sz w:val="17"/>
                <w:szCs w:val="17"/>
                <w:color w:val="auto"/>
              </w:rPr>
            </w:pPr>
          </w:p>
        </w:tc>
        <w:tc>
          <w:tcPr>
            <w:tcW w:w="5000" w:type="dxa"/>
            <w:vAlign w:val="bottom"/>
            <w:gridSpan w:val="7"/>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DESCRIPTION OF OUR SUBSCRIPTION RIGHTS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4680" w:type="dxa"/>
            <w:vAlign w:val="bottom"/>
            <w:gridSpan w:val="6"/>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5"/>
              </w:rPr>
              <w:t>BROKERAGE ALLOCATIONS AND OTHER PRACTICES</w:t>
            </w:r>
          </w:p>
        </w:tc>
        <w:tc>
          <w:tcPr>
            <w:tcW w:w="4100" w:type="dxa"/>
            <w:vAlign w:val="bottom"/>
            <w:gridSpan w:val="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84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PLAN OF DISTRIBUTION</w:t>
            </w:r>
          </w:p>
        </w:tc>
        <w:tc>
          <w:tcPr>
            <w:tcW w:w="3720" w:type="dxa"/>
            <w:vAlign w:val="bottom"/>
            <w:gridSpan w:val="2"/>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SUB-ADMINISTRATOR, CUSTODIAN, TRANSFER AGENT AND TRUSTEE</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LEGAL MATTERS</w:t>
            </w:r>
          </w:p>
        </w:tc>
        <w:tc>
          <w:tcPr>
            <w:tcW w:w="2660" w:type="dxa"/>
            <w:vAlign w:val="bottom"/>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78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INDEPENDENT AUDITORS</w:t>
            </w:r>
          </w:p>
        </w:tc>
        <w:tc>
          <w:tcPr>
            <w:tcW w:w="3780" w:type="dxa"/>
            <w:vAlign w:val="bottom"/>
            <w:gridSpan w:val="3"/>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18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760" w:type="dxa"/>
            <w:vAlign w:val="bottom"/>
            <w:gridSpan w:val="1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AVAILABLE INFORMATION</w:t>
            </w:r>
          </w:p>
        </w:tc>
        <w:tc>
          <w:tcPr>
            <w:tcW w:w="5760" w:type="dxa"/>
            <w:vAlign w:val="bottom"/>
            <w:gridSpan w:val="14"/>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440" w:top="517" w:right="4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ABOUT THIS PROSPECTUS</w:t>
      </w:r>
    </w:p>
    <w:p>
      <w:pPr>
        <w:spacing w:after="0" w:line="22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513"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835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5835650"/>
                    </a:xfrm>
                    <a:prstGeom prst="rect">
                      <a:avLst/>
                    </a:prstGeom>
                    <a:noFill/>
                  </pic:spPr>
                </pic:pic>
              </a:graphicData>
            </a:graphic>
          </wp:anchor>
        </w:drawing>
        <w:t>PROSPECTUS SUMMARY</w:t>
      </w:r>
    </w:p>
    <w:p>
      <w:pPr>
        <w:spacing w:after="0" w:line="229" w:lineRule="exact"/>
        <w:rPr>
          <w:sz w:val="20"/>
          <w:szCs w:val="20"/>
          <w:color w:val="auto"/>
        </w:rPr>
      </w:pPr>
    </w:p>
    <w:p>
      <w:pPr>
        <w:ind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right="320" w:firstLine="426"/>
        <w:spacing w:after="0" w:line="291"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right="60"/>
        <w:spacing w:after="0" w:line="292" w:lineRule="auto"/>
        <w:rPr>
          <w:sz w:val="20"/>
          <w:szCs w:val="20"/>
          <w:color w:val="auto"/>
        </w:rPr>
      </w:pPr>
      <w:r>
        <w:rPr>
          <w:rFonts w:ascii="Arial" w:cs="Arial" w:eastAsia="Arial" w:hAnsi="Arial"/>
          <w:sz w:val="16"/>
          <w:szCs w:val="16"/>
          <w:color w:val="auto"/>
        </w:rPr>
        <w:t>$1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620" w:top="688" w:right="639" w:bottom="1440" w:gutter="0" w:footer="0" w:header="0"/>
        </w:sectPr>
      </w:pPr>
    </w:p>
    <w:bookmarkStart w:id="22" w:name="page23"/>
    <w:bookmarkEnd w:id="22"/>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972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5972810"/>
                    </a:xfrm>
                    <a:prstGeom prst="rect">
                      <a:avLst/>
                    </a:prstGeom>
                    <a:noFill/>
                  </pic:spPr>
                </pic:pic>
              </a:graphicData>
            </a:graphic>
          </wp:anchor>
        </w:drawing>
        <w:t>investments may generally range in maturity from three to ten years and are made to U.S. and, to a limited extent, non-U.S. corporations, partnerships and other business entities which operate in various industries and geographical regions.</w:t>
      </w:r>
    </w:p>
    <w:p>
      <w:pPr>
        <w:spacing w:after="0" w:line="170" w:lineRule="exact"/>
        <w:rPr>
          <w:sz w:val="20"/>
          <w:szCs w:val="20"/>
          <w:color w:val="auto"/>
        </w:rPr>
      </w:pPr>
    </w:p>
    <w:p>
      <w:pPr>
        <w:ind w:right="40" w:firstLine="426"/>
        <w:spacing w:after="0" w:line="293"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ind w:right="40" w:firstLine="42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220" w:firstLine="426"/>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right="4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the Prior Credit Facility. On August 12, 2021, we terminated the Prior Credit Facility, and Funding I, as borrower, entered into the Credit Facility, which provides the ability for Funding I to borrow up to $366 million (increased from $300 million in September 2022). The Credit Facility is secured by all of the assets of Funding I.</w:t>
      </w:r>
    </w:p>
    <w:p>
      <w:pPr>
        <w:spacing w:after="0" w:line="187" w:lineRule="exact"/>
        <w:rPr>
          <w:sz w:val="20"/>
          <w:szCs w:val="20"/>
          <w:color w:val="auto"/>
        </w:rPr>
      </w:pPr>
    </w:p>
    <w:p>
      <w:pPr>
        <w:ind w:firstLine="426"/>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right="20" w:firstLine="426"/>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80" w:firstLine="426"/>
        <w:spacing w:after="0" w:line="273"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620" w:top="692" w:right="679" w:bottom="1440" w:gutter="0" w:footer="0" w:header="0"/>
        </w:sectPr>
      </w:pPr>
    </w:p>
    <w:bookmarkStart w:id="23" w:name="page24"/>
    <w:bookmarkEnd w:id="23"/>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083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6083935"/>
                    </a:xfrm>
                    <a:prstGeom prst="rect">
                      <a:avLst/>
                    </a:prstGeom>
                    <a:noFill/>
                  </pic:spPr>
                </pic:pic>
              </a:graphicData>
            </a:graphic>
          </wp:anchor>
        </w:drawing>
        <w:t>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w:t>
      </w:r>
    </w:p>
    <w:p>
      <w:pPr>
        <w:spacing w:after="0" w:line="188" w:lineRule="exact"/>
        <w:rPr>
          <w:sz w:val="20"/>
          <w:szCs w:val="20"/>
          <w:color w:val="auto"/>
        </w:rPr>
      </w:pPr>
    </w:p>
    <w:p>
      <w:pPr>
        <w:ind w:right="2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140" w:firstLine="426"/>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420" w:right="20" w:hanging="319"/>
        <w:spacing w:after="0" w:line="266"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420" w:right="300" w:hanging="319"/>
        <w:spacing w:after="0" w:line="261"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420" w:right="220" w:hanging="319"/>
        <w:spacing w:after="0" w:line="289"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420" w:hanging="319"/>
        <w:spacing w:after="0" w:line="261"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funds generally seek to leverage their investments by combining their capital with loans provided by other sources, and we believe that we are well-positioned to partner with such equity investors.</w:t>
      </w:r>
    </w:p>
    <w:p>
      <w:pPr>
        <w:spacing w:after="0" w:line="85" w:lineRule="exact"/>
        <w:rPr>
          <w:rFonts w:ascii="Arial" w:cs="Arial" w:eastAsia="Arial" w:hAnsi="Arial"/>
          <w:sz w:val="18"/>
          <w:szCs w:val="18"/>
          <w:color w:val="auto"/>
        </w:rPr>
      </w:pPr>
    </w:p>
    <w:p>
      <w:pPr>
        <w:ind w:left="420" w:right="60" w:hanging="319"/>
        <w:spacing w:after="0" w:line="256"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620" w:top="692" w:right="6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178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6178550"/>
                    </a:xfrm>
                    <a:prstGeom prst="rect">
                      <a:avLst/>
                    </a:prstGeom>
                    <a:noFill/>
                  </pic:spPr>
                </pic:pic>
              </a:graphicData>
            </a:graphic>
          </wp:anchor>
        </w:drawing>
        <w:t>Use of Proceeds</w:t>
      </w:r>
    </w:p>
    <w:p>
      <w:pPr>
        <w:spacing w:after="0" w:line="121" w:lineRule="exact"/>
        <w:rPr>
          <w:sz w:val="20"/>
          <w:szCs w:val="20"/>
          <w:color w:val="auto"/>
        </w:rPr>
      </w:pPr>
    </w:p>
    <w:p>
      <w:pPr>
        <w:ind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right="56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right="2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300" w:firstLine="426"/>
        <w:spacing w:after="0" w:line="277" w:lineRule="auto"/>
        <w:rPr>
          <w:sz w:val="20"/>
          <w:szCs w:val="20"/>
          <w:color w:val="auto"/>
        </w:rPr>
      </w:pPr>
      <w:r>
        <w:rPr>
          <w:rFonts w:ascii="Arial" w:cs="Arial" w:eastAsia="Arial" w:hAnsi="Arial"/>
          <w:sz w:val="18"/>
          <w:szCs w:val="18"/>
          <w:color w:val="auto"/>
        </w:rPr>
        <w:t>We may offer, from time to time, up to $500,000,000 of our securities, on terms to be determined at the time of each such offering and set forth in a supplement to this prospectus.</w:t>
      </w:r>
    </w:p>
    <w:p>
      <w:pPr>
        <w:spacing w:after="0" w:line="170"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40"/>
          </w:cols>
          <w:pgMar w:left="620" w:top="688" w:right="6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1103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1103630"/>
                    </a:xfrm>
                    <a:prstGeom prst="rect">
                      <a:avLst/>
                    </a:prstGeom>
                    <a:noFill/>
                  </pic:spPr>
                </pic:pic>
              </a:graphicData>
            </a:graphic>
          </wp:anchor>
        </w:drawing>
        <w:t>Our Corporate Information</w:t>
      </w:r>
    </w:p>
    <w:p>
      <w:pPr>
        <w:spacing w:after="0" w:line="121" w:lineRule="exact"/>
        <w:rPr>
          <w:sz w:val="20"/>
          <w:szCs w:val="20"/>
          <w:color w:val="auto"/>
        </w:rPr>
      </w:pPr>
    </w:p>
    <w:p>
      <w:pPr>
        <w:ind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1691 Michigan Avenue, Miami, Florida 33139.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620" w:top="688" w:right="79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FEES AND EXPENSES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Information about the various costs and expenses that an investor in shares of our common stock will bear directly or indirectly is located in “Part II, Item 5 – Market for Registrant’s Common Equity, Related Stockholder Matters and Issuer Purchases of Equity Securities – Fees and Expenses” in our most recent Annual Report on Form 10-K and is incorporated by reference into the registration statement of which this prospectus is a part.</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513" w:right="5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FINANCIAL HIGHLIGHTS</w:t>
      </w:r>
    </w:p>
    <w:p>
      <w:pPr>
        <w:spacing w:after="0" w:line="22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financial data set forth in the following table as of and for the years ended September 30, 2022, 2021, 2020, 2019, 2018, 2017, 2016, 2015, 2014 and 2013 are derived from our consolidated financial statements, which have been audited by an independent registered public accounting firm for those periods. This financial data should be read in conjunction with our Consolidated Financial Statements and related notes thereto and “Management’s Discussion and Analysis of Financial Condition and Results of Operations” included in our most recent Annual Report on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9"/>
              </w:rPr>
              <w:t>2013 (7)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4"/>
              </w:rPr>
              <w:t>Per Share Data:</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w w:val="98"/>
              </w:rPr>
              <w:t>Net asset value,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beginning 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period</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12.62</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12.31</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12.97</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13.82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14.10</w:t>
            </w:r>
          </w:p>
        </w:tc>
        <w:tc>
          <w:tcPr>
            <w:tcW w:w="2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14.06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13.95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14.40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14.10</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Net investment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0.81</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1.02</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w w:val="97"/>
              </w:rPr>
              <w:t>Net realized and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140"/>
              <w:spacing w:after="0"/>
              <w:rPr>
                <w:sz w:val="20"/>
                <w:szCs w:val="20"/>
                <w:color w:val="auto"/>
              </w:rPr>
            </w:pPr>
            <w:r>
              <w:rPr>
                <w:rFonts w:ascii="Arial" w:cs="Arial" w:eastAsia="Arial" w:hAnsi="Arial"/>
                <w:sz w:val="15"/>
                <w:szCs w:val="15"/>
                <w:color w:val="auto"/>
              </w:rPr>
              <w:t>(loss) gain (1)</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0.44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(0.65)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(0.88)</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0.10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0.23</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(0.31)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Net increase in</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net assets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resulting from</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operations (1)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0.47</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0.29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0.77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rPr>
              <w:t>Distributions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stockholders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Distribution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of net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w w:val="96"/>
              </w:rPr>
              <w:t>investment</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income</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(0.98)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(0.84)</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(0.95)</w:t>
            </w:r>
          </w:p>
        </w:tc>
        <w:tc>
          <w:tcPr>
            <w:tcW w:w="0" w:type="dxa"/>
            <w:vAlign w:val="bottom"/>
          </w:tcPr>
          <w:p>
            <w:pPr>
              <w:spacing w:after="0"/>
              <w:rPr>
                <w:sz w:val="1"/>
                <w:szCs w:val="1"/>
                <w:color w:val="auto"/>
              </w:rPr>
            </w:pPr>
          </w:p>
        </w:tc>
      </w:tr>
      <w:tr>
        <w:trPr>
          <w:trHeight w:val="149"/>
        </w:trPr>
        <w:tc>
          <w:tcPr>
            <w:tcW w:w="1080" w:type="dxa"/>
            <w:vAlign w:val="bottom"/>
          </w:tcPr>
          <w:p>
            <w:pPr>
              <w:ind w:left="300"/>
              <w:spacing w:after="0" w:line="149" w:lineRule="exact"/>
              <w:rPr>
                <w:sz w:val="20"/>
                <w:szCs w:val="20"/>
                <w:color w:val="auto"/>
              </w:rPr>
            </w:pPr>
            <w:r>
              <w:rPr>
                <w:rFonts w:ascii="Arial" w:cs="Arial" w:eastAsia="Arial" w:hAnsi="Arial"/>
                <w:sz w:val="15"/>
                <w:szCs w:val="15"/>
                <w:color w:val="auto"/>
              </w:rPr>
              <w:t>Distribution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460"/>
              <w:spacing w:after="0" w:line="162" w:lineRule="exact"/>
              <w:rPr>
                <w:sz w:val="20"/>
                <w:szCs w:val="20"/>
                <w:color w:val="auto"/>
              </w:rPr>
            </w:pPr>
            <w:r>
              <w:rPr>
                <w:rFonts w:ascii="Arial" w:cs="Arial" w:eastAsia="Arial" w:hAnsi="Arial"/>
                <w:sz w:val="15"/>
                <w:szCs w:val="15"/>
                <w:color w:val="auto"/>
              </w:rPr>
              <w:t>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460"/>
              <w:spacing w:after="0" w:line="162" w:lineRule="exact"/>
              <w:rPr>
                <w:sz w:val="20"/>
                <w:szCs w:val="20"/>
                <w:color w:val="auto"/>
              </w:rPr>
            </w:pPr>
            <w:r>
              <w:rPr>
                <w:rFonts w:ascii="Arial" w:cs="Arial" w:eastAsia="Arial" w:hAnsi="Arial"/>
                <w:sz w:val="15"/>
                <w:szCs w:val="15"/>
                <w:color w:val="auto"/>
              </w:rPr>
              <w:t>realized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460"/>
              <w:spacing w:after="0"/>
              <w:rPr>
                <w:sz w:val="20"/>
                <w:szCs w:val="20"/>
                <w:color w:val="auto"/>
              </w:rPr>
            </w:pPr>
            <w:r>
              <w:rPr>
                <w:rFonts w:ascii="Arial" w:cs="Arial" w:eastAsia="Arial" w:hAnsi="Arial"/>
                <w:sz w:val="15"/>
                <w:szCs w:val="15"/>
                <w:color w:val="auto"/>
              </w:rPr>
              <w:t>gains</w:t>
            </w: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(0.18)</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distributions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to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stockholders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(1.08)</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56"/>
        </w:trPr>
        <w:tc>
          <w:tcPr>
            <w:tcW w:w="1080" w:type="dxa"/>
            <w:vAlign w:val="bottom"/>
          </w:tcPr>
          <w:p>
            <w:pPr>
              <w:spacing w:after="0" w:line="156" w:lineRule="exact"/>
              <w:rPr>
                <w:sz w:val="20"/>
                <w:szCs w:val="20"/>
                <w:color w:val="auto"/>
              </w:rPr>
            </w:pPr>
            <w:r>
              <w:rPr>
                <w:rFonts w:ascii="Arial" w:cs="Arial" w:eastAsia="Arial" w:hAnsi="Arial"/>
                <w:sz w:val="15"/>
                <w:szCs w:val="15"/>
                <w:color w:val="auto"/>
              </w:rPr>
              <w:t>Accretive</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(dilutive)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effect 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w w:val="95"/>
              </w:rPr>
              <w:t>common stock</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issuance and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acquisition 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140"/>
              <w:spacing w:after="0"/>
              <w:rPr>
                <w:sz w:val="20"/>
                <w:szCs w:val="20"/>
                <w:color w:val="auto"/>
              </w:rPr>
            </w:pPr>
            <w:r>
              <w:rPr>
                <w:rFonts w:ascii="Arial" w:cs="Arial" w:eastAsia="Arial" w:hAnsi="Arial"/>
                <w:sz w:val="15"/>
                <w:szCs w:val="15"/>
                <w:color w:val="auto"/>
              </w:rPr>
              <w:t>MCG (1)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0.06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(0.01)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(0.06)</w:t>
            </w: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8"/>
              </w:rPr>
              <w:t>Net asset value,</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12.62</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13.82</w:t>
            </w: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14.10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5"/>
                <w:szCs w:val="15"/>
                <w:color w:val="auto"/>
                <w:w w:val="92"/>
              </w:rPr>
              <w:t>Per share market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value, end 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period</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9.60</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12.79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8.44</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11.60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13.15</w:t>
            </w:r>
          </w:p>
        </w:tc>
        <w:tc>
          <w:tcPr>
            <w:tcW w:w="2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14.48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13.23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11.94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13.78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13.78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Total return(3)</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5"/>
                <w:szCs w:val="15"/>
                <w:color w:val="auto"/>
              </w:rPr>
              <w:t>(17.76)%</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66.47%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(17.15)%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(3.20)%</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(1.29)%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18.71%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21.77%</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(6.01)%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5"/>
                <w:szCs w:val="15"/>
                <w:color w:val="auto"/>
              </w:rPr>
              <w:t>8.05%</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17.17%</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w w:val="97"/>
              </w:rPr>
              <w:t>outstanding at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end of period</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45,345,638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38,880,728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38,772,074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w w:val="90"/>
              </w:rPr>
              <w:t>38,772,074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38,772,074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w w:val="90"/>
              </w:rPr>
              <w:t>32,480,074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w w:val="87"/>
              </w:rPr>
              <w:t>26,730,074</w:t>
            </w:r>
          </w:p>
        </w:tc>
        <w:tc>
          <w:tcPr>
            <w:tcW w:w="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w w:val="90"/>
              </w:rPr>
              <w:t>26,730,074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14,898,056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87"/>
              </w:rPr>
              <w:t>14,898,056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80" w:type="dxa"/>
            <w:vAlign w:val="bottom"/>
            <w:shd w:val="clear" w:color="auto" w:fill="CCEEFF"/>
          </w:tcPr>
          <w:p>
            <w:pPr>
              <w:spacing w:after="0" w:line="139" w:lineRule="exact"/>
              <w:rPr>
                <w:sz w:val="20"/>
                <w:szCs w:val="20"/>
                <w:color w:val="auto"/>
              </w:rPr>
            </w:pPr>
            <w:r>
              <w:rPr>
                <w:rFonts w:ascii="Arial" w:cs="Arial" w:eastAsia="Arial" w:hAnsi="Arial"/>
                <w:sz w:val="15"/>
                <w:szCs w:val="15"/>
                <w:b w:val="1"/>
                <w:bCs w:val="1"/>
                <w:color w:val="auto"/>
              </w:rPr>
              <w:t>Ratios/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w w:val="93"/>
              </w:rPr>
              <w:t>Supplemental</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Data:</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rPr>
              <w:t>Ratio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expenses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average net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assets (4)</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5.34%</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3.77%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5.19%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3.94%</w:t>
            </w: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3.56%</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4.43%</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Ratio of debt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related</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expenses to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average net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assets (5)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5.63%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5.21%</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1.95%</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56"/>
        </w:trPr>
        <w:tc>
          <w:tcPr>
            <w:tcW w:w="1080" w:type="dxa"/>
            <w:vAlign w:val="bottom"/>
          </w:tcPr>
          <w:p>
            <w:pPr>
              <w:spacing w:after="0" w:line="156" w:lineRule="exact"/>
              <w:rPr>
                <w:sz w:val="20"/>
                <w:szCs w:val="20"/>
                <w:color w:val="auto"/>
              </w:rPr>
            </w:pPr>
            <w:r>
              <w:rPr>
                <w:rFonts w:ascii="Arial" w:cs="Arial" w:eastAsia="Arial" w:hAnsi="Arial"/>
                <w:sz w:val="15"/>
                <w:szCs w:val="15"/>
                <w:color w:val="auto"/>
              </w:rPr>
              <w:t>Ratio of total</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expenses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average net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assets (5)</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11.19%</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8.77%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10.82%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9.15%</w:t>
            </w: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7.74%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5.14%</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5.35%</w:t>
            </w: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6.40%</w:t>
            </w:r>
          </w:p>
        </w:tc>
        <w:tc>
          <w:tcPr>
            <w:tcW w:w="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Ratio of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investment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income to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average net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assets (5)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9.55%</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8.07%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8.76%</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7.42%</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7.68%</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w w:val="90"/>
              </w:rPr>
              <w:t>Net assets at end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of period (in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thousands)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527,092</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490,611</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477,270</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503,057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535,842</w:t>
            </w:r>
          </w:p>
        </w:tc>
        <w:tc>
          <w:tcPr>
            <w:tcW w:w="2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457,906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375,907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372,890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214,528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210,066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8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Weighted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average debt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698,765</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622,739</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737,209</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512,135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354,322</w:t>
            </w: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269,320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140,218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123,924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147,599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71,679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line="156" w:lineRule="exact"/>
              <w:rPr>
                <w:sz w:val="20"/>
                <w:szCs w:val="20"/>
                <w:color w:val="auto"/>
              </w:rPr>
            </w:pPr>
            <w:r>
              <w:rPr>
                <w:rFonts w:ascii="Arial" w:cs="Arial" w:eastAsia="Arial" w:hAnsi="Arial"/>
                <w:sz w:val="15"/>
                <w:szCs w:val="15"/>
                <w:color w:val="auto"/>
              </w:rPr>
              <w:t>Weighted</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40"/>
              <w:spacing w:after="0" w:line="162" w:lineRule="exact"/>
              <w:rPr>
                <w:sz w:val="20"/>
                <w:szCs w:val="20"/>
                <w:color w:val="auto"/>
              </w:rPr>
            </w:pPr>
            <w:r>
              <w:rPr>
                <w:rFonts w:ascii="Arial" w:cs="Arial" w:eastAsia="Arial" w:hAnsi="Arial"/>
                <w:sz w:val="15"/>
                <w:szCs w:val="15"/>
                <w:color w:val="auto"/>
              </w:rPr>
              <w:t>average debt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5"/>
                <w:szCs w:val="15"/>
                <w:color w:val="auto"/>
              </w:rPr>
              <w:t>per share (1)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17.06</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16.06</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19.01</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9.25</w:t>
            </w:r>
          </w:p>
        </w:tc>
        <w:tc>
          <w:tcPr>
            <w:tcW w:w="2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8.90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5.25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7.61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9.91</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7.48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Asset coverage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per unit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1,746</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1,786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2,122</w:t>
            </w: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13,598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5"/>
                <w:szCs w:val="15"/>
                <w:color w:val="auto"/>
              </w:rPr>
              <w:t>Portfolio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Pr>
          <w:p>
            <w:pPr>
              <w:ind w:left="140"/>
              <w:spacing w:after="0"/>
              <w:rPr>
                <w:sz w:val="20"/>
                <w:szCs w:val="20"/>
                <w:color w:val="auto"/>
              </w:rPr>
            </w:pPr>
            <w:r>
              <w:rPr>
                <w:rFonts w:ascii="Arial" w:cs="Arial" w:eastAsia="Arial" w:hAnsi="Arial"/>
                <w:sz w:val="15"/>
                <w:szCs w:val="15"/>
                <w:color w:val="auto"/>
              </w:rPr>
              <w:t>turnover ratio</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45.03%</w:t>
            </w: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62.58%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35.08%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52.64%</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47.15%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59.70%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32.16%</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51.02%</w:t>
            </w: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62.74%</w:t>
            </w: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81.89%</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020"/>
          </w:cols>
          <w:pgMar w:left="440" w:top="513" w:right="439" w:bottom="258" w:gutter="0" w:footer="0" w:header="0"/>
        </w:sect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20"/>
          </w:cols>
          <w:pgMar w:left="440" w:top="513" w:right="439" w:bottom="258" w:gutter="0" w:footer="0" w:header="0"/>
          <w:type w:val="continuous"/>
        </w:sectPr>
      </w:pPr>
    </w:p>
    <w:bookmarkStart w:id="28" w:name="page29"/>
    <w:bookmarkEnd w:id="28"/>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431800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t>Based on the weighted average shares outstanding for the respective periods.</w:t>
      </w:r>
    </w:p>
    <w:p>
      <w:pPr>
        <w:spacing w:after="0" w:line="23" w:lineRule="exact"/>
        <w:rPr>
          <w:rFonts w:ascii="Arial" w:cs="Arial" w:eastAsia="Arial" w:hAnsi="Arial"/>
          <w:sz w:val="18"/>
          <w:szCs w:val="18"/>
          <w:color w:val="auto"/>
        </w:rPr>
      </w:pPr>
    </w:p>
    <w:p>
      <w:pPr>
        <w:ind w:left="444" w:right="40" w:hanging="444"/>
        <w:spacing w:after="0" w:line="250"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assumes distributions, if any, are reinvested.</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debt related costs.</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interest and expenses on debt as well as Credit Facility amendment and debt issuance costs, if any.</w:t>
      </w:r>
    </w:p>
    <w:p>
      <w:pPr>
        <w:spacing w:after="0" w:line="9" w:lineRule="exact"/>
        <w:rPr>
          <w:rFonts w:ascii="Arial" w:cs="Arial" w:eastAsia="Arial" w:hAnsi="Arial"/>
          <w:sz w:val="18"/>
          <w:szCs w:val="18"/>
          <w:color w:val="auto"/>
        </w:rPr>
      </w:pPr>
    </w:p>
    <w:p>
      <w:pPr>
        <w:ind w:left="444" w:hanging="444"/>
        <w:spacing w:after="0" w:line="250"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Audited by predecessor auditors.</w:t>
      </w:r>
    </w:p>
    <w:p>
      <w:pPr>
        <w:spacing w:after="0" w:line="14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4"/>
          </w:cols>
          <w:pgMar w:left="436" w:top="706" w:right="5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2022, filed on November 17,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 or any future worsening thereof;</w:t>
      </w:r>
    </w:p>
    <w:p>
      <w:pPr>
        <w:spacing w:after="0" w:line="75" w:lineRule="exact"/>
        <w:rPr>
          <w:rFonts w:ascii="Arial" w:cs="Arial" w:eastAsia="Arial" w:hAnsi="Arial"/>
          <w:sz w:val="18"/>
          <w:szCs w:val="18"/>
          <w:color w:val="auto"/>
        </w:rPr>
      </w:pPr>
    </w:p>
    <w:p>
      <w:pPr>
        <w:jc w:val="both"/>
        <w:ind w:left="980" w:hanging="433"/>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513" w:right="459" w:bottom="1440" w:gutter="0" w:footer="0" w:header="0"/>
        </w:sectPr>
      </w:pPr>
    </w:p>
    <w:bookmarkStart w:id="30" w:name="page31"/>
    <w:bookmarkEnd w:id="30"/>
    <w:p>
      <w:pPr>
        <w:ind w:left="980" w:hanging="43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impact of price and volume fluctuations in the stock market;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levels of inflation, and its impact on us and our portfolio companies;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80" w:right="140" w:hanging="43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ongoing invasion of Ukraine by Russia, United Kingdom’s withdrawal from the European Union (commonly known as “Brexit”) and other world economic and political issues.</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9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517" w:right="479" w:bottom="1440" w:gutter="0" w:footer="0" w:header="0"/>
        </w:sectPr>
      </w:pPr>
    </w:p>
    <w:bookmarkStart w:id="31" w:name="page32"/>
    <w:bookmarkEnd w:id="31"/>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Information about our senior securities shown as of September 30, 2022, 2021, 2020, 2019, 2018, 2017, 2016 2015, 2014 and 2013 is located in “Part II, Item 7 – Management’s Discussion and Analysis of Financial Condition and Results of Operations – Liquidity and Capital Resources – Senior Securities” in our most recent Annual Report on Form 10-K, and is incorporated by reference into the registration statement of which this prospectus is a part, and the report of RSM US LLP, an independent registered public accounting firm, on our senior securities table as of September 30, 2022 is included in our most recent Annual Report on Form 10-K, filed on November 17, 2022, and is incorporated by reference into the registration statement of which this prospectus is a part.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Information about the price range of our common stock is located in “Part II, Item 5 – Market for Registrant’s Common Equity, Related Stockholder Matters and Issuer Purchases of Equity Securities – Price Range of Common Stock” in our most recent Annual Report on Form 10-K and is incorporated by reference into the registration statement of which this prospectus is a part.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980" w:right="20" w:hanging="43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80" w:right="40" w:hanging="43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80" w:right="380" w:hanging="43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80" w:right="740" w:hanging="43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517" w:right="459" w:bottom="1440" w:gutter="0" w:footer="0" w:header="0"/>
        </w:sectPr>
      </w:pPr>
    </w:p>
    <w:bookmarkStart w:id="32" w:name="page33"/>
    <w:bookmarkEnd w:id="32"/>
    <w:p>
      <w:pPr>
        <w:ind w:right="2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4"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93"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980" w:hanging="43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80" w:right="620" w:hanging="43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517" w:right="499" w:bottom="1440" w:gutter="0" w:footer="0" w:header="0"/>
        </w:sectPr>
      </w:pPr>
    </w:p>
    <w:bookmarkStart w:id="33" w:name="page34"/>
    <w:bookmarkEnd w:id="33"/>
    <w:p>
      <w:pPr>
        <w:ind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95"/>
              </w:rPr>
              <w:t>Example 3</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5% Offering 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 at</w:t>
            </w:r>
          </w:p>
        </w:tc>
        <w:tc>
          <w:tcPr>
            <w:tcW w:w="80" w:type="dxa"/>
            <w:vAlign w:val="bottom"/>
          </w:tcPr>
          <w:p>
            <w:pPr>
              <w:spacing w:after="0"/>
              <w:rPr>
                <w:sz w:val="12"/>
                <w:szCs w:val="12"/>
                <w:color w:val="auto"/>
              </w:rPr>
            </w:pPr>
          </w:p>
        </w:tc>
        <w:tc>
          <w:tcPr>
            <w:tcW w:w="20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25% Offering at</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5% Discount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7.89</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1,050,000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1,250,000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9.98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w w:val="93"/>
              </w:rPr>
              <w:t>Total investment by stockholder A (assumed to be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$10.00 per share)</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 to stockholder A (total NAV less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Investment per share held by stockholder A</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w w:val="91"/>
              </w:rPr>
              <w:t>(assumed to be $10.00 per share on shares held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prior to sale)</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per share held by stockholder A (NAV</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less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w w:val="96"/>
              </w:rPr>
              <w:t>Percentage dilution to stockholder A (dilution per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share divided by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7"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Impact on Existing Stockholders who Participate in the Offering</w:t>
      </w:r>
    </w:p>
    <w:p>
      <w:pPr>
        <w:spacing w:after="0" w:line="11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9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8"/>
              </w:rPr>
              <w:t>Following</w:t>
            </w:r>
          </w:p>
        </w:tc>
        <w:tc>
          <w:tcPr>
            <w:tcW w:w="50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Below NAV</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4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2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11,250</w:t>
            </w:r>
          </w:p>
        </w:tc>
        <w:tc>
          <w:tcPr>
            <w:tcW w:w="5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13,750</w:t>
            </w:r>
          </w:p>
        </w:tc>
        <w:tc>
          <w:tcPr>
            <w:tcW w:w="5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37.50%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30.63%</w:t>
            </w:r>
          </w:p>
        </w:tc>
        <w:tc>
          <w:tcPr>
            <w:tcW w:w="0" w:type="dxa"/>
            <w:vAlign w:val="bottom"/>
          </w:tcPr>
          <w:p>
            <w:pPr>
              <w:spacing w:after="0"/>
              <w:rPr>
                <w:sz w:val="1"/>
                <w:szCs w:val="1"/>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Total investment by stockholder A (assumed to be $10.00 per share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on shares held prior to sale)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109,863</w:t>
            </w:r>
          </w:p>
        </w:tc>
        <w:tc>
          <w:tcPr>
            <w:tcW w:w="5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129,588</w:t>
            </w:r>
          </w:p>
        </w:tc>
        <w:tc>
          <w:tcPr>
            <w:tcW w:w="5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 to stockholder A (total NAV less total</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(2,988)</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7" w:right="4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Prior to Sale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150% Participation</w:t>
            </w: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8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Following</w:t>
            </w:r>
          </w:p>
        </w:tc>
        <w:tc>
          <w:tcPr>
            <w:tcW w:w="880" w:type="dxa"/>
            <w:vAlign w:val="bottom"/>
            <w:tcBorders>
              <w:top w:val="single" w:sz="8" w:color="auto"/>
            </w:tcBorders>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Below NAV</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Sale</w:t>
            </w: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Sale</w:t>
            </w:r>
          </w:p>
        </w:tc>
        <w:tc>
          <w:tcPr>
            <w:tcW w:w="4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ind w:left="96"/>
              <w:spacing w:after="0"/>
              <w:rPr>
                <w:sz w:val="20"/>
                <w:szCs w:val="20"/>
                <w:color w:val="auto"/>
              </w:rPr>
            </w:pPr>
            <w:r>
              <w:rPr>
                <w:rFonts w:ascii="Arial" w:cs="Arial" w:eastAsia="Arial" w:hAnsi="Arial"/>
                <w:sz w:val="18"/>
                <w:szCs w:val="18"/>
                <w:color w:val="auto"/>
                <w:w w:val="91"/>
              </w:rPr>
              <w:t>9.50</w:t>
            </w:r>
          </w:p>
        </w:tc>
        <w:tc>
          <w:tcPr>
            <w:tcW w:w="4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Investment per share held by stockholder A (assumed to be $10.00 per</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 on shares held prior to sale)</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10.00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1"/>
              </w:rPr>
              <w:t>9.42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5720" w:type="dxa"/>
            <w:vAlign w:val="bottom"/>
          </w:tcPr>
          <w:p>
            <w:pPr>
              <w:ind w:left="360"/>
              <w:spacing w:after="0" w:line="201" w:lineRule="exact"/>
              <w:rPr>
                <w:sz w:val="20"/>
                <w:szCs w:val="20"/>
                <w:color w:val="auto"/>
              </w:rPr>
            </w:pPr>
            <w:r>
              <w:rPr>
                <w:rFonts w:ascii="Arial" w:cs="Arial" w:eastAsia="Arial" w:hAnsi="Arial"/>
                <w:sz w:val="18"/>
                <w:szCs w:val="18"/>
                <w:color w:val="auto"/>
                <w:w w:val="99"/>
              </w:rPr>
              <w:t>(Dilution)/accretion per share held by stockholder A (NAV per share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40"/>
              <w:spacing w:after="0"/>
              <w:rPr>
                <w:sz w:val="20"/>
                <w:szCs w:val="20"/>
                <w:color w:val="auto"/>
              </w:rPr>
            </w:pPr>
            <w:r>
              <w:rPr>
                <w:rFonts w:ascii="Arial" w:cs="Arial" w:eastAsia="Arial" w:hAnsi="Arial"/>
                <w:sz w:val="18"/>
                <w:szCs w:val="18"/>
                <w:color w:val="auto"/>
              </w:rPr>
              <w:t>less investment per share)</w:t>
            </w:r>
          </w:p>
        </w:tc>
        <w:tc>
          <w:tcPr>
            <w:tcW w:w="22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ind w:left="96"/>
              <w:spacing w:after="0"/>
              <w:rPr>
                <w:sz w:val="20"/>
                <w:szCs w:val="20"/>
                <w:color w:val="auto"/>
              </w:rPr>
            </w:pPr>
            <w:r>
              <w:rPr>
                <w:rFonts w:ascii="Arial" w:cs="Arial" w:eastAsia="Arial" w:hAnsi="Arial"/>
                <w:sz w:val="18"/>
                <w:szCs w:val="18"/>
                <w:color w:val="auto"/>
                <w:w w:val="91"/>
              </w:rPr>
              <w:t>0.08</w:t>
            </w:r>
          </w:p>
        </w:tc>
        <w:tc>
          <w:tcPr>
            <w:tcW w:w="40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Percentage (dilution)/accretion to stockholder A (dilution)/accretion per</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 divided by investment per share</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7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508"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35"/>
              <w:spacing w:after="0"/>
              <w:rPr>
                <w:sz w:val="20"/>
                <w:szCs w:val="20"/>
                <w:color w:val="auto"/>
              </w:rPr>
            </w:pPr>
            <w:r>
              <w:rPr>
                <w:rFonts w:ascii="Arial" w:cs="Arial" w:eastAsia="Arial" w:hAnsi="Arial"/>
                <w:sz w:val="14"/>
                <w:szCs w:val="14"/>
                <w:b w:val="1"/>
                <w:bCs w:val="1"/>
                <w:color w:val="auto"/>
                <w:w w:val="92"/>
              </w:rPr>
              <w:t>Example 2</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left="295"/>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offering proceeds per share to issuer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1,100,000</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NAV per share</w:t>
            </w: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4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9.91</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4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NAV held by stockholder 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9,910</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Total investment by stockholder A</w:t>
            </w: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9,470</w:t>
            </w:r>
          </w:p>
        </w:tc>
        <w:tc>
          <w:tcPr>
            <w:tcW w:w="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19,725</w:t>
            </w:r>
          </w:p>
        </w:tc>
        <w:tc>
          <w:tcPr>
            <w:tcW w:w="4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(dilution)/accretion to</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stockholder A (total NAV less total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NAV per share held by stockholder 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9.91</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Investment per share held by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stockholder A</w:t>
            </w: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20"/>
                <w:szCs w:val="2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(Dilution)/accretion per share held by</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stockholder A (NAV per share less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per share)</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0.44</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Percentage (dilution)/accretion to</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stockholder A (dilution)/ accretion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w w:val="95"/>
              </w:rPr>
              <w:t>per share divided by investment per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20.41%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57"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496" w:right="439" w:bottom="1440" w:gutter="0" w:footer="0" w:header="0"/>
        </w:sectPr>
      </w:pPr>
    </w:p>
    <w:bookmarkStart w:id="37" w:name="page38"/>
    <w:bookmarkEnd w:id="3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tax characteristics of distributions declared, in accordance with Section 19(a) of the 1940 Act, for our fiscal and taxable years ended September 30, 2022 and 2021 from ordinary income (including short-term gains), if any, totaled $46.7 million, or $1.14 per share, and $44.2 million, or $1.14 per share, based on the weighted average shares outstanding for the respective periods. Additionally, for both years ended September 30, 2022 and 2021, we did not pay any distributions from long-term capital gains.</w:t>
      </w:r>
    </w:p>
    <w:p>
      <w:pPr>
        <w:spacing w:after="0" w:line="18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517" w:right="4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PORTFOLIO COMPANIES</w:t>
      </w:r>
    </w:p>
    <w:p>
      <w:pPr>
        <w:spacing w:after="0" w:line="229"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The following is a listing of each portfolio company or its affiliate, together referred to as portfolio companies, in which we had an investment as of September 30, 2022.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 for the fiscal year ended September 30, 2022.</w:t>
      </w:r>
    </w:p>
    <w:p>
      <w:pPr>
        <w:spacing w:after="0" w:line="176"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ectPr>
          <w:pgSz w:w="11900" w:h="16838" w:orient="portrait"/>
          <w:cols w:equalWidth="0" w:num="1">
            <w:col w:w="11020"/>
          </w:cols>
          <w:pgMar w:left="440" w:top="513" w:right="4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Address of Portfolio Company</w:t>
      </w:r>
    </w:p>
    <w:p>
      <w:pPr>
        <w:spacing w:after="0"/>
        <w:rPr>
          <w:sz w:val="20"/>
          <w:szCs w:val="20"/>
          <w:color w:val="auto"/>
        </w:rPr>
      </w:pPr>
      <w:r>
        <w:rPr>
          <w:rFonts w:ascii="Arial" w:cs="Arial" w:eastAsia="Arial" w:hAnsi="Arial"/>
          <w:sz w:val="13"/>
          <w:szCs w:val="13"/>
          <w:b w:val="1"/>
          <w:bCs w:val="1"/>
          <w:color w:val="auto"/>
        </w:rPr>
        <w:t>Companies Less than 5% Owned</w:t>
      </w:r>
    </w:p>
    <w:p>
      <w:pPr>
        <w:spacing w:after="0" w:line="221" w:lineRule="auto"/>
        <w:rPr>
          <w:sz w:val="20"/>
          <w:szCs w:val="20"/>
          <w:color w:val="auto"/>
        </w:rPr>
      </w:pPr>
      <w:r>
        <w:rPr>
          <w:rFonts w:ascii="Arial" w:cs="Arial" w:eastAsia="Arial" w:hAnsi="Arial"/>
          <w:sz w:val="14"/>
          <w:szCs w:val="14"/>
          <w:color w:val="auto"/>
        </w:rPr>
        <w:t>Ad.net Acquisition, LLC</w:t>
      </w:r>
    </w:p>
    <w:p>
      <w:pPr>
        <w:spacing w:after="0" w:line="221" w:lineRule="auto"/>
        <w:rPr>
          <w:sz w:val="20"/>
          <w:szCs w:val="20"/>
          <w:color w:val="auto"/>
        </w:rPr>
      </w:pPr>
      <w:r>
        <w:rPr>
          <w:rFonts w:ascii="Arial" w:cs="Arial" w:eastAsia="Arial" w:hAnsi="Arial"/>
          <w:sz w:val="14"/>
          <w:szCs w:val="14"/>
          <w:color w:val="auto"/>
        </w:rPr>
        <w:t>(Ad.net Holdings, Inc.(5))</w:t>
      </w:r>
    </w:p>
    <w:p>
      <w:pPr>
        <w:spacing w:after="0"/>
        <w:rPr>
          <w:sz w:val="20"/>
          <w:szCs w:val="20"/>
          <w:color w:val="auto"/>
        </w:rPr>
      </w:pPr>
      <w:r>
        <w:rPr>
          <w:rFonts w:ascii="Arial" w:cs="Arial" w:eastAsia="Arial" w:hAnsi="Arial"/>
          <w:sz w:val="13"/>
          <w:szCs w:val="13"/>
          <w:color w:val="auto"/>
        </w:rPr>
        <w:t>1100 Glendon Avenue, Suite 1200</w:t>
      </w:r>
    </w:p>
    <w:p>
      <w:pPr>
        <w:spacing w:after="0"/>
        <w:rPr>
          <w:sz w:val="20"/>
          <w:szCs w:val="20"/>
          <w:color w:val="auto"/>
        </w:rPr>
      </w:pPr>
      <w:r>
        <w:rPr>
          <w:rFonts w:ascii="Arial" w:cs="Arial" w:eastAsia="Arial" w:hAnsi="Arial"/>
          <w:sz w:val="14"/>
          <w:szCs w:val="14"/>
          <w:color w:val="auto"/>
        </w:rPr>
        <w:t>Los Angeles, CA 90024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44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6"/>
              </w:rPr>
              <w:t>Interest(1), Maturity</w:t>
            </w: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Ownership(2)</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460" w:type="dxa"/>
            <w:vAlign w:val="bottom"/>
          </w:tcPr>
          <w:p>
            <w:pPr>
              <w:jc w:val="center"/>
              <w:spacing w:after="0"/>
              <w:rPr>
                <w:sz w:val="20"/>
                <w:szCs w:val="20"/>
                <w:color w:val="auto"/>
              </w:rPr>
            </w:pPr>
            <w:r>
              <w:rPr>
                <w:rFonts w:ascii="Arial" w:cs="Arial" w:eastAsia="Arial" w:hAnsi="Arial"/>
                <w:sz w:val="14"/>
                <w:szCs w:val="14"/>
                <w:color w:val="auto"/>
                <w:w w:val="94"/>
              </w:rPr>
              <w:t>Media</w:t>
            </w:r>
          </w:p>
        </w:tc>
        <w:tc>
          <w:tcPr>
            <w:tcW w:w="44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5,737</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L+600, 05/06/2026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-480695</wp:posOffset>
            </wp:positionV>
            <wp:extent cx="699516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140" w:space="720"/>
            <w:col w:w="6160"/>
          </w:cols>
          <w:pgMar w:left="440" w:top="513" w:right="4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Affinion Group Holdings, Inc.</w:t>
            </w:r>
          </w:p>
        </w:tc>
        <w:tc>
          <w:tcPr>
            <w:tcW w:w="25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1"/>
              </w:rPr>
              <w:t>Consumer Goods:</w:t>
            </w:r>
          </w:p>
        </w:tc>
        <w:tc>
          <w:tcPr>
            <w:tcW w:w="246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87"/>
              </w:rPr>
              <w:t>Warrants</w:t>
            </w:r>
          </w:p>
        </w:tc>
        <w:tc>
          <w:tcPr>
            <w:tcW w:w="12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48"/>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56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w w:val="93"/>
              </w:rPr>
              <w:t>Durable</w:t>
            </w:r>
          </w:p>
        </w:tc>
        <w:tc>
          <w:tcPr>
            <w:tcW w:w="2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1"/>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5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Arial" w:cs="Arial" w:eastAsia="Arial" w:hAnsi="Arial"/>
                <w:sz w:val="14"/>
                <w:szCs w:val="14"/>
                <w:color w:val="auto"/>
              </w:rPr>
              <w:t>AG Investco LP(5)</w:t>
            </w:r>
          </w:p>
        </w:tc>
        <w:tc>
          <w:tcPr>
            <w:tcW w:w="2560" w:type="dxa"/>
            <w:vAlign w:val="bottom"/>
          </w:tcPr>
          <w:p>
            <w:pPr>
              <w:jc w:val="center"/>
              <w:ind w:left="488"/>
              <w:spacing w:after="0"/>
              <w:rPr>
                <w:sz w:val="20"/>
                <w:szCs w:val="20"/>
                <w:color w:val="auto"/>
              </w:rPr>
            </w:pPr>
            <w:r>
              <w:rPr>
                <w:rFonts w:ascii="Arial" w:cs="Arial" w:eastAsia="Arial" w:hAnsi="Arial"/>
                <w:sz w:val="14"/>
                <w:szCs w:val="14"/>
                <w:color w:val="auto"/>
                <w:w w:val="94"/>
              </w:rPr>
              <w:t>Software</w:t>
            </w:r>
          </w:p>
        </w:tc>
        <w:tc>
          <w:tcPr>
            <w:tcW w:w="2460" w:type="dxa"/>
            <w:vAlign w:val="bottom"/>
          </w:tcPr>
          <w:p>
            <w:pPr>
              <w:jc w:val="center"/>
              <w:ind w:right="28"/>
              <w:spacing w:after="0"/>
              <w:rPr>
                <w:sz w:val="20"/>
                <w:szCs w:val="20"/>
                <w:color w:val="auto"/>
              </w:rPr>
            </w:pPr>
            <w:r>
              <w:rPr>
                <w:rFonts w:ascii="Arial" w:cs="Arial" w:eastAsia="Arial" w:hAnsi="Arial"/>
                <w:sz w:val="14"/>
                <w:szCs w:val="14"/>
                <w:color w:val="auto"/>
                <w:w w:val="95"/>
              </w:rPr>
              <w:t>Common Equity(4)</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2.6%</w:t>
            </w:r>
          </w:p>
        </w:tc>
        <w:tc>
          <w:tcPr>
            <w:tcW w:w="780" w:type="dxa"/>
            <w:vAlign w:val="bottom"/>
          </w:tcPr>
          <w:p>
            <w:pPr>
              <w:jc w:val="right"/>
              <w:spacing w:after="0"/>
              <w:rPr>
                <w:sz w:val="20"/>
                <w:szCs w:val="20"/>
                <w:color w:val="auto"/>
              </w:rPr>
            </w:pPr>
            <w:r>
              <w:rPr>
                <w:rFonts w:ascii="Arial" w:cs="Arial" w:eastAsia="Arial" w:hAnsi="Arial"/>
                <w:sz w:val="14"/>
                <w:szCs w:val="14"/>
                <w:color w:val="auto"/>
              </w:rPr>
              <w:t>1,127</w:t>
            </w: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251 Little Falls Drive</w:t>
            </w:r>
          </w:p>
        </w:tc>
        <w:tc>
          <w:tcPr>
            <w:tcW w:w="2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Herndon, VA 19808</w:t>
            </w:r>
          </w:p>
        </w:tc>
        <w:tc>
          <w:tcPr>
            <w:tcW w:w="2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6"/>
        </w:trPr>
        <w:tc>
          <w:tcPr>
            <w:tcW w:w="40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0"/>
        </w:trPr>
        <w:tc>
          <w:tcPr>
            <w:tcW w:w="4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2560" w:type="dxa"/>
            <w:vAlign w:val="bottom"/>
            <w:shd w:val="clear" w:color="auto" w:fill="CCEEFF"/>
          </w:tcPr>
          <w:p>
            <w:pPr>
              <w:jc w:val="center"/>
              <w:ind w:left="508"/>
              <w:spacing w:after="0" w:line="130" w:lineRule="exact"/>
              <w:rPr>
                <w:sz w:val="20"/>
                <w:szCs w:val="20"/>
                <w:color w:val="auto"/>
              </w:rPr>
            </w:pPr>
            <w:r>
              <w:rPr>
                <w:rFonts w:ascii="Arial" w:cs="Arial" w:eastAsia="Arial" w:hAnsi="Arial"/>
                <w:sz w:val="14"/>
                <w:szCs w:val="14"/>
                <w:color w:val="auto"/>
                <w:w w:val="94"/>
              </w:rPr>
              <w:t>IT Services</w:t>
            </w:r>
          </w:p>
        </w:tc>
        <w:tc>
          <w:tcPr>
            <w:tcW w:w="2460" w:type="dxa"/>
            <w:vAlign w:val="bottom"/>
            <w:shd w:val="clear" w:color="auto" w:fill="CCEEFF"/>
          </w:tcPr>
          <w:p>
            <w:pPr>
              <w:jc w:val="center"/>
              <w:ind w:right="48"/>
              <w:spacing w:after="0" w:line="130" w:lineRule="exact"/>
              <w:rPr>
                <w:sz w:val="20"/>
                <w:szCs w:val="20"/>
                <w:color w:val="auto"/>
              </w:rPr>
            </w:pPr>
            <w:r>
              <w:rPr>
                <w:rFonts w:ascii="Arial" w:cs="Arial" w:eastAsia="Arial" w:hAnsi="Arial"/>
                <w:sz w:val="14"/>
                <w:szCs w:val="14"/>
                <w:color w:val="auto"/>
                <w:w w:val="93"/>
              </w:rPr>
              <w:t>First Lien Secured Debt(4),</w:t>
            </w:r>
          </w:p>
        </w:tc>
        <w:tc>
          <w:tcPr>
            <w:tcW w:w="1200" w:type="dxa"/>
            <w:vAlign w:val="bottom"/>
            <w:shd w:val="clear" w:color="auto" w:fill="CCEEFF"/>
          </w:tcPr>
          <w:p>
            <w:pPr>
              <w:jc w:val="right"/>
              <w:ind w:right="288"/>
              <w:spacing w:after="0" w:line="130" w:lineRule="exact"/>
              <w:rPr>
                <w:sz w:val="20"/>
                <w:szCs w:val="20"/>
                <w:color w:val="auto"/>
              </w:rPr>
            </w:pPr>
            <w:r>
              <w:rPr>
                <w:rFonts w:ascii="Arial" w:cs="Arial" w:eastAsia="Arial" w:hAnsi="Arial"/>
                <w:sz w:val="14"/>
                <w:szCs w:val="14"/>
                <w:color w:val="auto"/>
              </w:rPr>
              <w:t>2.9%</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6,032</w:t>
            </w:r>
          </w:p>
        </w:tc>
      </w:tr>
      <w:tr>
        <w:trPr>
          <w:trHeight w:val="148"/>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256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5"/>
              </w:rPr>
              <w:t>3M L+800, 07/24/2025</w:t>
            </w:r>
          </w:p>
        </w:tc>
        <w:tc>
          <w:tcPr>
            <w:tcW w:w="1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256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4"/>
              </w:rPr>
              <w:t>Common Equity</w:t>
            </w:r>
          </w:p>
        </w:tc>
        <w:tc>
          <w:tcPr>
            <w:tcW w:w="1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94"/>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256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8"/>
        </w:trPr>
        <w:tc>
          <w:tcPr>
            <w:tcW w:w="4020" w:type="dxa"/>
            <w:vAlign w:val="bottom"/>
          </w:tcPr>
          <w:p>
            <w:pPr>
              <w:spacing w:after="0"/>
              <w:rPr>
                <w:sz w:val="20"/>
                <w:szCs w:val="20"/>
                <w:color w:val="auto"/>
              </w:rPr>
            </w:pPr>
            <w:r>
              <w:rPr>
                <w:rFonts w:ascii="Arial" w:cs="Arial" w:eastAsia="Arial" w:hAnsi="Arial"/>
                <w:sz w:val="14"/>
                <w:szCs w:val="14"/>
                <w:color w:val="auto"/>
              </w:rPr>
              <w:t>American Insulated Glass, LLC</w:t>
            </w:r>
          </w:p>
        </w:tc>
        <w:tc>
          <w:tcPr>
            <w:tcW w:w="2560" w:type="dxa"/>
            <w:vAlign w:val="bottom"/>
          </w:tcPr>
          <w:p>
            <w:pPr>
              <w:jc w:val="center"/>
              <w:ind w:left="488"/>
              <w:spacing w:after="0"/>
              <w:rPr>
                <w:sz w:val="20"/>
                <w:szCs w:val="20"/>
                <w:color w:val="auto"/>
              </w:rPr>
            </w:pPr>
            <w:r>
              <w:rPr>
                <w:rFonts w:ascii="Arial" w:cs="Arial" w:eastAsia="Arial" w:hAnsi="Arial"/>
                <w:sz w:val="14"/>
                <w:szCs w:val="14"/>
                <w:color w:val="auto"/>
                <w:w w:val="95"/>
              </w:rPr>
              <w:t>Building Products</w:t>
            </w:r>
          </w:p>
        </w:tc>
        <w:tc>
          <w:tcPr>
            <w:tcW w:w="2460" w:type="dxa"/>
            <w:vAlign w:val="bottom"/>
          </w:tcPr>
          <w:p>
            <w:pPr>
              <w:jc w:val="center"/>
              <w:ind w:right="48"/>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0.7%</w:t>
            </w:r>
          </w:p>
        </w:tc>
        <w:tc>
          <w:tcPr>
            <w:tcW w:w="780" w:type="dxa"/>
            <w:vAlign w:val="bottom"/>
          </w:tcPr>
          <w:p>
            <w:pPr>
              <w:jc w:val="right"/>
              <w:spacing w:after="0"/>
              <w:rPr>
                <w:sz w:val="20"/>
                <w:szCs w:val="20"/>
                <w:color w:val="auto"/>
              </w:rPr>
            </w:pPr>
            <w:r>
              <w:rPr>
                <w:rFonts w:ascii="Arial" w:cs="Arial" w:eastAsia="Arial" w:hAnsi="Arial"/>
                <w:sz w:val="14"/>
                <w:szCs w:val="14"/>
                <w:color w:val="auto"/>
              </w:rPr>
              <w:t>7,978</w:t>
            </w: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(Go Dawgs Capital III, LP(5))</w:t>
            </w:r>
          </w:p>
        </w:tc>
        <w:tc>
          <w:tcPr>
            <w:tcW w:w="2560" w:type="dxa"/>
            <w:vAlign w:val="bottom"/>
          </w:tcPr>
          <w:p>
            <w:pPr>
              <w:spacing w:after="0"/>
              <w:rPr>
                <w:sz w:val="12"/>
                <w:szCs w:val="12"/>
                <w:color w:val="auto"/>
              </w:rPr>
            </w:pPr>
          </w:p>
        </w:tc>
        <w:tc>
          <w:tcPr>
            <w:tcW w:w="24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3M L+550, 12/21/2023</w:t>
            </w: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3965 E. Conley Road</w:t>
            </w:r>
          </w:p>
        </w:tc>
        <w:tc>
          <w:tcPr>
            <w:tcW w:w="2560" w:type="dxa"/>
            <w:vAlign w:val="bottom"/>
          </w:tcPr>
          <w:p>
            <w:pPr>
              <w:spacing w:after="0"/>
              <w:rPr>
                <w:sz w:val="12"/>
                <w:szCs w:val="12"/>
                <w:color w:val="auto"/>
              </w:rPr>
            </w:pPr>
          </w:p>
        </w:tc>
        <w:tc>
          <w:tcPr>
            <w:tcW w:w="24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Common Equity</w:t>
            </w: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Conley, GA 30288</w:t>
            </w:r>
          </w:p>
        </w:tc>
        <w:tc>
          <w:tcPr>
            <w:tcW w:w="2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7"/>
        </w:trPr>
        <w:tc>
          <w:tcPr>
            <w:tcW w:w="40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0"/>
        </w:trPr>
        <w:tc>
          <w:tcPr>
            <w:tcW w:w="4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Teleconferencing Services, Ltd.</w:t>
            </w:r>
          </w:p>
        </w:tc>
        <w:tc>
          <w:tcPr>
            <w:tcW w:w="2560" w:type="dxa"/>
            <w:vAlign w:val="bottom"/>
            <w:shd w:val="clear" w:color="auto" w:fill="CCEEFF"/>
          </w:tcPr>
          <w:p>
            <w:pPr>
              <w:jc w:val="center"/>
              <w:ind w:left="488"/>
              <w:spacing w:after="0" w:line="130" w:lineRule="exact"/>
              <w:rPr>
                <w:sz w:val="20"/>
                <w:szCs w:val="20"/>
                <w:color w:val="auto"/>
              </w:rPr>
            </w:pPr>
            <w:r>
              <w:rPr>
                <w:rFonts w:ascii="Arial" w:cs="Arial" w:eastAsia="Arial" w:hAnsi="Arial"/>
                <w:sz w:val="14"/>
                <w:szCs w:val="14"/>
                <w:color w:val="auto"/>
                <w:w w:val="93"/>
              </w:rPr>
              <w:t>Telecommunications</w:t>
            </w:r>
          </w:p>
        </w:tc>
        <w:tc>
          <w:tcPr>
            <w:tcW w:w="2460" w:type="dxa"/>
            <w:vAlign w:val="bottom"/>
            <w:shd w:val="clear" w:color="auto" w:fill="CCEEFF"/>
          </w:tcPr>
          <w:p>
            <w:pPr>
              <w:jc w:val="center"/>
              <w:ind w:right="48"/>
              <w:spacing w:after="0" w:line="130" w:lineRule="exact"/>
              <w:rPr>
                <w:sz w:val="20"/>
                <w:szCs w:val="20"/>
                <w:color w:val="auto"/>
              </w:rPr>
            </w:pPr>
            <w:r>
              <w:rPr>
                <w:rFonts w:ascii="Arial" w:cs="Arial" w:eastAsia="Arial" w:hAnsi="Arial"/>
                <w:sz w:val="14"/>
                <w:szCs w:val="14"/>
                <w:color w:val="auto"/>
                <w:w w:val="93"/>
              </w:rPr>
              <w:t>First Lien Secured Debt(4),</w:t>
            </w:r>
          </w:p>
        </w:tc>
        <w:tc>
          <w:tcPr>
            <w:tcW w:w="1200" w:type="dxa"/>
            <w:vAlign w:val="bottom"/>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107</w:t>
            </w:r>
          </w:p>
        </w:tc>
      </w:tr>
      <w:tr>
        <w:trPr>
          <w:trHeight w:val="148"/>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2300 Lakeview Parkway Suite 300</w:t>
            </w:r>
          </w:p>
        </w:tc>
        <w:tc>
          <w:tcPr>
            <w:tcW w:w="256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93"/>
              </w:rPr>
              <w:t>—, 06/08/2023</w:t>
            </w:r>
          </w:p>
        </w:tc>
        <w:tc>
          <w:tcPr>
            <w:tcW w:w="1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1"/>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Alpharetta, GA 30009</w:t>
            </w:r>
          </w:p>
        </w:tc>
        <w:tc>
          <w:tcPr>
            <w:tcW w:w="25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Arial" w:cs="Arial" w:eastAsia="Arial" w:hAnsi="Arial"/>
                <w:sz w:val="14"/>
                <w:szCs w:val="14"/>
                <w:color w:val="auto"/>
              </w:rPr>
              <w:t>Amsive Holding Corporation (f/k/a Vision Purchaser</w:t>
            </w:r>
          </w:p>
        </w:tc>
        <w:tc>
          <w:tcPr>
            <w:tcW w:w="2560" w:type="dxa"/>
            <w:vAlign w:val="bottom"/>
          </w:tcPr>
          <w:p>
            <w:pPr>
              <w:jc w:val="center"/>
              <w:ind w:left="488"/>
              <w:spacing w:after="0"/>
              <w:rPr>
                <w:sz w:val="20"/>
                <w:szCs w:val="20"/>
                <w:color w:val="auto"/>
              </w:rPr>
            </w:pPr>
            <w:r>
              <w:rPr>
                <w:rFonts w:ascii="Arial" w:cs="Arial" w:eastAsia="Arial" w:hAnsi="Arial"/>
                <w:sz w:val="14"/>
                <w:szCs w:val="14"/>
                <w:color w:val="auto"/>
                <w:w w:val="94"/>
              </w:rPr>
              <w:t>Media</w:t>
            </w:r>
          </w:p>
        </w:tc>
        <w:tc>
          <w:tcPr>
            <w:tcW w:w="2460" w:type="dxa"/>
            <w:vAlign w:val="bottom"/>
          </w:tcPr>
          <w:p>
            <w:pPr>
              <w:jc w:val="center"/>
              <w:ind w:right="48"/>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13,892</w:t>
            </w: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Corporation)</w:t>
            </w:r>
          </w:p>
        </w:tc>
        <w:tc>
          <w:tcPr>
            <w:tcW w:w="2560" w:type="dxa"/>
            <w:vAlign w:val="bottom"/>
          </w:tcPr>
          <w:p>
            <w:pPr>
              <w:spacing w:after="0"/>
              <w:rPr>
                <w:sz w:val="12"/>
                <w:szCs w:val="12"/>
                <w:color w:val="auto"/>
              </w:rPr>
            </w:pPr>
          </w:p>
        </w:tc>
        <w:tc>
          <w:tcPr>
            <w:tcW w:w="24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3M L+625, 06/10/2025</w:t>
            </w: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605 Territorial Drive</w:t>
            </w:r>
          </w:p>
        </w:tc>
        <w:tc>
          <w:tcPr>
            <w:tcW w:w="2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Suite A, B &amp; C</w:t>
            </w:r>
          </w:p>
        </w:tc>
        <w:tc>
          <w:tcPr>
            <w:tcW w:w="2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Bolingbrook, IL 60440</w:t>
            </w:r>
          </w:p>
        </w:tc>
        <w:tc>
          <w:tcPr>
            <w:tcW w:w="2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513" w:right="4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4"/>
        </w:trPr>
        <w:tc>
          <w:tcPr>
            <w:tcW w:w="4840" w:type="dxa"/>
            <w:vAlign w:val="bottom"/>
            <w:gridSpan w:val="2"/>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4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9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Ownership(2)</w:t>
            </w:r>
          </w:p>
        </w:tc>
        <w:tc>
          <w:tcPr>
            <w:tcW w:w="220" w:type="dxa"/>
            <w:vAlign w:val="bottom"/>
          </w:tcPr>
          <w:p>
            <w:pPr>
              <w:spacing w:after="0"/>
              <w:rPr>
                <w:sz w:val="15"/>
                <w:szCs w:val="15"/>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4"/>
              </w:rPr>
              <w:t>Anteriad, LLC (f/k/a MeritDirect,</w:t>
            </w:r>
          </w:p>
        </w:tc>
        <w:tc>
          <w:tcPr>
            <w:tcW w:w="2960" w:type="dxa"/>
            <w:vAlign w:val="bottom"/>
            <w:shd w:val="clear" w:color="auto" w:fill="CCEEFF"/>
          </w:tcPr>
          <w:p>
            <w:pPr>
              <w:ind w:left="100"/>
              <w:spacing w:after="0" w:line="123" w:lineRule="exact"/>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Media</w:t>
            </w: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20"/>
              <w:spacing w:after="0" w:line="12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17,584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(Anterida Holdings, LP (5))</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L+550, 05/23/2024</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New York 10573</w:t>
            </w:r>
          </w:p>
        </w:tc>
        <w:tc>
          <w:tcPr>
            <w:tcW w:w="1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Any Hour Services</w:t>
            </w: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Energy Equipment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(KL Stockton Co-Invest LP (5))</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L+525, 07/21/2027</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1374 130 S</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Orem, UT 84058</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84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Apex Service Partners,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Diversified Consumer</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19,304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 Jackson, Ste #3300</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L+525, 07/31/2025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Tampa, FL 33602</w:t>
            </w:r>
          </w:p>
        </w:tc>
        <w:tc>
          <w:tcPr>
            <w:tcW w:w="1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API Holdings III Corp.</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Electronic Equipment,</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400 Nickerson Road</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2"/>
              </w:rPr>
              <w:t>Instruments, and</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L+425, 05/11/2026</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Marlborough, MA 01752</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Components</w:t>
            </w: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8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Applied Technical Services,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Commercial Services &amp;</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2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7,913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(Ironclad Holdco, LLC (5))</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Supplies</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L+575, 12/29/2026</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1049 Triad Ct</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Marietta, GA 30062</w:t>
            </w:r>
          </w:p>
        </w:tc>
        <w:tc>
          <w:tcPr>
            <w:tcW w:w="1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Arcfield Acquisition Corp.</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14295 Park Meadow Drive</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 03/07/2028</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Chantilly, VA 20151</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8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Athletico Holdings,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Providers and</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4,758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2122 York Road, Ste. 300</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Oak Brook, IL 60523</w:t>
            </w:r>
          </w:p>
        </w:tc>
        <w:tc>
          <w:tcPr>
            <w:tcW w:w="1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Beta Plus Technologies,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Internet Software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7 World Trade Center, 47th Floor</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L+525, 07/01/2029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New York, NY 10007</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84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Distributors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3ML+500, 09/17/2024</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Textiles, Apparel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6"/>
              </w:rPr>
              <w:t>Luxury Goods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L+600, 12/02/2022</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8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Burgess Point Holdings, LP</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Auto Components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29627 Renaissance Blvd</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Daphne, Alabama 26526</w:t>
            </w:r>
          </w:p>
        </w:tc>
        <w:tc>
          <w:tcPr>
            <w:tcW w:w="1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High Tech Industries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46,179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LP(5))</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L+625, 05/16/2024</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8484 Westpark Drive Suite 600</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 Equity(4)</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McLean, VA 22102</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8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Aerospace and Defense</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3,003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3150 East Miraloma Avenue</w:t>
            </w: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3M L+850 (PIK 9.50%),</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Anaheim, CA 92806</w:t>
            </w:r>
          </w:p>
        </w:tc>
        <w:tc>
          <w:tcPr>
            <w:tcW w:w="146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jc w:val="center"/>
              <w:ind w:left="388"/>
              <w:spacing w:after="0"/>
              <w:rPr>
                <w:sz w:val="20"/>
                <w:szCs w:val="20"/>
                <w:color w:val="auto"/>
              </w:rPr>
            </w:pPr>
            <w:r>
              <w:rPr>
                <w:rFonts w:ascii="Arial" w:cs="Arial" w:eastAsia="Arial" w:hAnsi="Arial"/>
                <w:sz w:val="14"/>
                <w:szCs w:val="14"/>
                <w:color w:val="auto"/>
                <w:w w:val="91"/>
              </w:rPr>
              <w:t>11/14/2023</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Cartessa Aesthetics,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Distributors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175 Broadhollow Road</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L+600, 05/13/2028</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496"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920" w:type="dxa"/>
            <w:vAlign w:val="bottom"/>
            <w:gridSpan w:val="2"/>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4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30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Ownership(2)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CF512, Inc.</w:t>
            </w:r>
          </w:p>
        </w:tc>
        <w:tc>
          <w:tcPr>
            <w:tcW w:w="3040" w:type="dxa"/>
            <w:vAlign w:val="bottom"/>
            <w:shd w:val="clear" w:color="auto" w:fill="CCEEFF"/>
          </w:tcPr>
          <w:p>
            <w:pPr>
              <w:spacing w:after="0"/>
              <w:rPr>
                <w:sz w:val="10"/>
                <w:szCs w:val="10"/>
                <w:color w:val="auto"/>
              </w:rPr>
            </w:pPr>
          </w:p>
        </w:tc>
        <w:tc>
          <w:tcPr>
            <w:tcW w:w="14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Media</w:t>
            </w: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(StellPen Holdings, LLC)</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L+600, 08/20/2026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960B Harvest Drive</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 Bell, PA 19422</w:t>
            </w: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Environmental</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575 Broadway</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Industries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L+450, 04/10/2025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2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Business Services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L+675, 08/31/2023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Compex Legal Services,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8,811</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325 Maple Avenue</w:t>
            </w: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L+525, 02/09/2026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Torrance, CA 90503</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2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Connatix Buyer,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Media</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(Connatix Parent, LLC)</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07/13/2027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666 Broadway, Floor 10</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Crane 1 Services,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Commercial Services &amp;</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(Crane 1 Acquisition Parent Holdings, L.P.)</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Supplies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08/16/2027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1027 Byers Rd</w:t>
            </w: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Miamisburg, OH 45342</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2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Products and Packaging Company,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Chemicals, Plastics and</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13,662</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Rubber</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10/19/2022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(Plant Health Intermediate, Inc.)</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 Old 210 Highway</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Dr. Squatch,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Personal Products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5,429</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2355 Westwood Blvd. #1834</w:t>
            </w: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L+600, 08/31/2027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Los Angeles, CA 90064</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2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DRS Holdings III,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Personal Products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16,518</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225 State Street</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11/03/2025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Boston MA 02109</w:t>
            </w: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Duraco Specialty Tapes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Containers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7400 Industrial Dr.</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Packaging</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06/30/2024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Forest Park, IL 60130</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2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ECL Entertainment,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Hotels, Restaurants and</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6,086</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Leisure</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L+750, 05/01/2028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ECM Industries,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Electronic Equipment,</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(ECM Investors, LLC (5))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2"/>
              </w:rPr>
              <w:t>Instruments, and</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L+475, 12/23/2025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16250 W Woods Edge Rd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Components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New Berlin, WI 53151</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92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Financial Services, Inc. (6)</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Banking, Finance,</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8,685</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(eCommission Holding Corporation(6))</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 &amp; Real Estate</w:t>
            </w: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L+500, 10/05/2023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Suite 200 Austin, TX, 78738</w:t>
            </w: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spacing w:after="0"/>
              <w:rPr>
                <w:sz w:val="20"/>
                <w:szCs w:val="20"/>
                <w:color w:val="auto"/>
              </w:rPr>
            </w:pPr>
            <w:r>
              <w:rPr>
                <w:rFonts w:ascii="Arial" w:cs="Arial" w:eastAsia="Arial" w:hAnsi="Arial"/>
                <w:sz w:val="14"/>
                <w:szCs w:val="14"/>
                <w:color w:val="auto"/>
              </w:rPr>
              <w:t>Efficient Collaborative Retail Marketing</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Media: Diversified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6,936</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Company, LLC</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2"/>
              </w:rPr>
              <w:t>Production</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L+675, 06/15/2024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27070 Miles Road</w:t>
            </w: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Solon, OH 44139</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496"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8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600" w:type="dxa"/>
            <w:vAlign w:val="bottom"/>
            <w:gridSpan w:val="2"/>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6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50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7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15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Ownership(2)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3"/>
        </w:trPr>
        <w:tc>
          <w:tcPr>
            <w:tcW w:w="1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Exigo Intermediate II, LLC</w:t>
            </w:r>
          </w:p>
        </w:tc>
        <w:tc>
          <w:tcPr>
            <w:tcW w:w="2720" w:type="dxa"/>
            <w:vAlign w:val="bottom"/>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Software</w:t>
            </w:r>
          </w:p>
        </w:tc>
        <w:tc>
          <w:tcPr>
            <w:tcW w:w="620" w:type="dxa"/>
            <w:vAlign w:val="bottom"/>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First Lien Secured Debt(4),</w:t>
            </w:r>
          </w:p>
        </w:tc>
        <w:tc>
          <w:tcPr>
            <w:tcW w:w="28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ind w:left="620"/>
              <w:spacing w:after="0" w:line="12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559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(Exigo, LLC)</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L+575, 03/15/2027</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1256 Main Street, Suite 256</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Southlake, TX 76092</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Express Wash Topco,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Automobiles</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540" w:type="dxa"/>
            <w:vAlign w:val="bottom"/>
            <w:gridSpan w:val="3"/>
          </w:tcPr>
          <w:p>
            <w:pPr>
              <w:jc w:val="right"/>
              <w:ind w:right="3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5821 Fairview Road</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Charlotte, North Carolina 28209</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6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FedHC InvestCo LP(5)</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Aerospace and Defense</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Common Equity(4)</w:t>
            </w:r>
          </w:p>
        </w:tc>
        <w:tc>
          <w:tcPr>
            <w:tcW w:w="154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3100 Clarendon Blvd</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22201</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Findex Group Limited(6)</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Diversified Financial</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2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1 O’Connell Street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6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L+450, 05/31/2024</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Sydney NSW 2000, Australia</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60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Gantech Acquisition Corp.</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IT Services</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4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26,085</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(GCOM InvestCo LP (5))</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L+625, 05/14/2026</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9175 Guilford Road, Suite 101</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MD 21046</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Global Holdings InterCo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Diversified Financial</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2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3,273</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4343 South 118</w:t>
            </w:r>
            <w:r>
              <w:rPr>
                <w:rFonts w:ascii="Arial" w:cs="Arial" w:eastAsia="Arial" w:hAnsi="Arial"/>
                <w:sz w:val="10"/>
                <w:szCs w:val="10"/>
                <w:color w:val="auto"/>
              </w:rPr>
              <w:t>th</w:t>
            </w:r>
            <w:r>
              <w:rPr>
                <w:rFonts w:ascii="Arial" w:cs="Arial" w:eastAsia="Arial" w:hAnsi="Arial"/>
                <w:sz w:val="14"/>
                <w:szCs w:val="14"/>
                <w:color w:val="auto"/>
              </w:rPr>
              <w:t xml:space="preserve"> East Ave Suite 220</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6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L+600, 03/16/2026</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Tulsa, OK 74146</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6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Graffiti Buyer,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Trading Companies &amp;</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25195 Brest Road</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Distributors</w:t>
            </w: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L+575, 08/10/2027</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Taylor, MI 48180</w:t>
            </w: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Hancock Roofing and Construction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Insurance</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540" w:type="dxa"/>
            <w:vAlign w:val="bottom"/>
            <w:gridSpan w:val="3"/>
          </w:tcPr>
          <w:p>
            <w:pPr>
              <w:jc w:val="right"/>
              <w:ind w:right="30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5,104</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(Hancock Claims Consultants</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L+500, 12/31/2026</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Investors, LLC (5))</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6875 Shiloh Rd. East</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Alpharetta, GA 30005</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6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Holdco Sands Intermediate,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Aerospace and Defense</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4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7,744</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(OceanSound Discovery Equity, LP (5))</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L+600, 11/23/2028</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44150 Smartronix Way, STE 200</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Hollywood, MD 20636</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HV Watterson Holdings,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540" w:type="dxa"/>
            <w:vAlign w:val="bottom"/>
            <w:gridSpan w:val="3"/>
          </w:tcPr>
          <w:p>
            <w:pPr>
              <w:jc w:val="right"/>
              <w:ind w:right="3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1821 Walden Office Square Unit 111</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Schaumburg, IL 60173</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60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Media</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8,329</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MacArthur, Suite 400</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L+500, 12/10/2024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Icon Partners V C, L.P.</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Internet Software and</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5"/>
              </w:rPr>
              <w:t>Common Equity(4)</w:t>
            </w:r>
          </w:p>
        </w:tc>
        <w:tc>
          <w:tcPr>
            <w:tcW w:w="1540" w:type="dxa"/>
            <w:vAlign w:val="bottom"/>
            <w:gridSpan w:val="3"/>
          </w:tcPr>
          <w:p>
            <w:pPr>
              <w:jc w:val="right"/>
              <w:ind w:right="3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315 Capitol St Suite 100</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Houston, TX 77002</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6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IDC Infusion Services,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Equipment</w:t>
            </w:r>
          </w:p>
        </w:tc>
        <w:tc>
          <w:tcPr>
            <w:tcW w:w="6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4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(ITC Infusion Co-Invest, LP)</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and Supplies</w:t>
            </w: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L+700, 12/30/2026</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3609 Park East Drive</w:t>
            </w:r>
          </w:p>
        </w:tc>
        <w:tc>
          <w:tcPr>
            <w:tcW w:w="1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Beachwood, OH 44122</w:t>
            </w: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Arial" w:cs="Arial" w:eastAsia="Arial" w:hAnsi="Arial"/>
                <w:sz w:val="14"/>
                <w:szCs w:val="14"/>
                <w:color w:val="auto"/>
              </w:rPr>
              <w:t>IG Investments Holdings,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280" w:type="dxa"/>
            <w:vAlign w:val="bottom"/>
          </w:tcPr>
          <w:p>
            <w:pPr>
              <w:spacing w:after="0"/>
              <w:rPr>
                <w:sz w:val="20"/>
                <w:szCs w:val="20"/>
                <w:color w:val="auto"/>
              </w:rPr>
            </w:pPr>
          </w:p>
        </w:tc>
        <w:tc>
          <w:tcPr>
            <w:tcW w:w="12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1224 Hammond Drive, Suite 1500</w:t>
            </w: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L+600, 09/22/2028</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Atlanta, GA 30346</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496"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54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4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Ownership(2)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Imagine Acquisitionco, LLC</w:t>
            </w:r>
          </w:p>
        </w:tc>
        <w:tc>
          <w:tcPr>
            <w:tcW w:w="16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Software</w:t>
            </w: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4,994</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(Imagine Topco, LP)</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11/15/2027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8757 Red Oak Blvd,</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Inception Fertility Ventures, LLC</w:t>
            </w:r>
          </w:p>
        </w:tc>
        <w:tc>
          <w:tcPr>
            <w:tcW w:w="2820" w:type="dxa"/>
            <w:vAlign w:val="bottom"/>
            <w:gridSpan w:val="2"/>
          </w:tcPr>
          <w:p>
            <w:pPr>
              <w:jc w:val="center"/>
              <w:ind w:left="1288"/>
              <w:spacing w:after="0"/>
              <w:rPr>
                <w:sz w:val="20"/>
                <w:szCs w:val="20"/>
                <w:color w:val="auto"/>
              </w:rPr>
            </w:pPr>
            <w:r>
              <w:rPr>
                <w:rFonts w:ascii="Arial" w:cs="Arial" w:eastAsia="Arial" w:hAnsi="Arial"/>
                <w:sz w:val="14"/>
                <w:szCs w:val="14"/>
                <w:color w:val="auto"/>
                <w:w w:val="92"/>
              </w:rPr>
              <w:t>Healthcare Providers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14,804</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650 Madison Avenue, 21st Floor</w:t>
            </w:r>
          </w:p>
        </w:tc>
        <w:tc>
          <w:tcPr>
            <w:tcW w:w="1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L+715, 12/07/2023</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New York, NY 10022</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40" w:type="dxa"/>
            <w:vAlign w:val="bottom"/>
            <w:gridSpan w:val="2"/>
          </w:tcPr>
          <w:p>
            <w:pPr>
              <w:spacing w:after="0"/>
              <w:rPr>
                <w:sz w:val="10"/>
                <w:szCs w:val="10"/>
                <w:color w:val="auto"/>
              </w:rPr>
            </w:pP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Infolinks Media Buyco, LLC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Media</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(Tower Arch Infolinks Media, LP (5))</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11/01/2026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 North Broad Street</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Common Equity(4)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Ridgewood, NJ 07450</w:t>
            </w: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Integrative Nutrition, LLC</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Consumer Services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15,378</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(IIN Group Holdings, LLC(5))</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L+450, 09/29/2023</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0"/>
                <w:szCs w:val="10"/>
                <w:color w:val="auto"/>
              </w:rPr>
              <w:t>th</w:t>
            </w:r>
            <w:r>
              <w:rPr>
                <w:rFonts w:ascii="Arial" w:cs="Arial" w:eastAsia="Arial" w:hAnsi="Arial"/>
                <w:sz w:val="14"/>
                <w:szCs w:val="14"/>
                <w:color w:val="auto"/>
              </w:rPr>
              <w:t xml:space="preserve"> Avenue</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New York, New York 10016</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Integrity Marketing Acquisition, LLC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Insurance</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15,667</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1445 Ross Avenue, 22nd Floor</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SOFR+550, 08/27/2025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75202</w:t>
            </w:r>
          </w:p>
        </w:tc>
        <w:tc>
          <w:tcPr>
            <w:tcW w:w="1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ITC Rumba, LLC(5)</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Healthcare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5,232</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9725 NW 117th Ave #200,</w:t>
            </w:r>
          </w:p>
        </w:tc>
        <w:tc>
          <w:tcPr>
            <w:tcW w:w="1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Pharmaceuticals</w:t>
            </w:r>
          </w:p>
        </w:tc>
        <w:tc>
          <w:tcPr>
            <w:tcW w:w="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Miami, FL 33178</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ITI Holdings, Inc.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IT Services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2980 E. Coliseum Blvd.</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03/03/2028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Wayne, IN 46805</w:t>
            </w: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Chemicals,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Plastics and Rubber</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 12/20/2023</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40" w:type="dxa"/>
            <w:vAlign w:val="bottom"/>
            <w:gridSpan w:val="2"/>
          </w:tcPr>
          <w:p>
            <w:pPr>
              <w:spacing w:after="0"/>
              <w:rPr>
                <w:sz w:val="10"/>
                <w:szCs w:val="10"/>
                <w:color w:val="auto"/>
              </w:rPr>
            </w:pP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Kinetic Purchaser, LLC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Personal Products</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22,903</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12552 S. 125 West</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L+600, 11/10/2027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Draper, UT 84020</w:t>
            </w: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Lash OpCo, LLC</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Personal Products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17,891</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(Gauge Lash Coinvest LLC)</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02/18/2027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1256 Main Street, Suite 256</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Southlake, TX 76092</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LAV Gear Holdings, Inc.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Capital Equipment</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11,027</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3165 W Sunset Rd,</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1M L+750 (PIK 5.50%),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89118</w:t>
            </w:r>
          </w:p>
        </w:tc>
        <w:tc>
          <w:tcPr>
            <w:tcW w:w="1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left="368"/>
              <w:spacing w:after="0"/>
              <w:rPr>
                <w:sz w:val="20"/>
                <w:szCs w:val="20"/>
                <w:color w:val="auto"/>
              </w:rPr>
            </w:pPr>
            <w:r>
              <w:rPr>
                <w:rFonts w:ascii="Arial" w:cs="Arial" w:eastAsia="Arial" w:hAnsi="Arial"/>
                <w:sz w:val="14"/>
                <w:szCs w:val="14"/>
                <w:color w:val="auto"/>
                <w:w w:val="94"/>
              </w:rPr>
              <w:t>10/31/2024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Ledge Lounger, Inc.</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Leisure Products</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(SP L2 Holdings, LLC)</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11/09/2026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616 Cane Island Pkwy Suite 200</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Katy, TX 77494</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5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Lightspeed Buyer Inc.</w:t>
            </w:r>
          </w:p>
        </w:tc>
        <w:tc>
          <w:tcPr>
            <w:tcW w:w="138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Healthcare Technology</w:t>
            </w:r>
          </w:p>
        </w:tc>
        <w:tc>
          <w:tcPr>
            <w:tcW w:w="46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25,367</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(Lightspeed Investment Holdco LLC)</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L+575, 02/03/2026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1457 East 40th Street</w:t>
            </w: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44103</w:t>
            </w: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spacing w:after="0"/>
              <w:rPr>
                <w:sz w:val="20"/>
                <w:szCs w:val="20"/>
                <w:color w:val="auto"/>
              </w:rPr>
            </w:pPr>
            <w:r>
              <w:rPr>
                <w:rFonts w:ascii="Arial" w:cs="Arial" w:eastAsia="Arial" w:hAnsi="Arial"/>
                <w:sz w:val="14"/>
                <w:szCs w:val="14"/>
                <w:color w:val="auto"/>
              </w:rPr>
              <w:t>Lucky Bucks, LLC</w:t>
            </w:r>
          </w:p>
        </w:tc>
        <w:tc>
          <w:tcPr>
            <w:tcW w:w="1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Hotels, Restaurants and</w:t>
            </w:r>
          </w:p>
        </w:tc>
        <w:tc>
          <w:tcPr>
            <w:tcW w:w="4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5820 Live Oak Parkway #300</w:t>
            </w:r>
          </w:p>
        </w:tc>
        <w:tc>
          <w:tcPr>
            <w:tcW w:w="1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Leisure</w:t>
            </w:r>
          </w:p>
        </w:tc>
        <w:tc>
          <w:tcPr>
            <w:tcW w:w="4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07/20/2027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Norcross, GA 30093</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496"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4"/>
        </w:trPr>
        <w:tc>
          <w:tcPr>
            <w:tcW w:w="3300" w:type="dxa"/>
            <w:vAlign w:val="bottom"/>
            <w:gridSpan w:val="2"/>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17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50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4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Interest(1), Maturity</w:t>
            </w: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Ownership(2)</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MailSouth, Inc.</w:t>
            </w:r>
          </w:p>
        </w:tc>
        <w:tc>
          <w:tcPr>
            <w:tcW w:w="1420" w:type="dxa"/>
            <w:vAlign w:val="bottom"/>
            <w:shd w:val="clear" w:color="auto" w:fill="CCEEFF"/>
          </w:tcPr>
          <w:p>
            <w:pPr>
              <w:spacing w:after="0"/>
              <w:rPr>
                <w:sz w:val="10"/>
                <w:szCs w:val="10"/>
                <w:color w:val="auto"/>
              </w:rPr>
            </w:pPr>
          </w:p>
        </w:tc>
        <w:tc>
          <w:tcPr>
            <w:tcW w:w="14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Media: Advertising,</w:t>
            </w:r>
          </w:p>
        </w:tc>
        <w:tc>
          <w:tcPr>
            <w:tcW w:w="1780" w:type="dxa"/>
            <w:vAlign w:val="bottom"/>
            <w:shd w:val="clear" w:color="auto" w:fill="CCEEFF"/>
          </w:tcPr>
          <w:p>
            <w:pPr>
              <w:spacing w:after="0"/>
              <w:rPr>
                <w:sz w:val="10"/>
                <w:szCs w:val="10"/>
                <w:color w:val="auto"/>
              </w:rPr>
            </w:pPr>
          </w:p>
        </w:tc>
        <w:tc>
          <w:tcPr>
            <w:tcW w:w="18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Second Lien Secured Debt,</w:t>
            </w:r>
          </w:p>
        </w:tc>
        <w:tc>
          <w:tcPr>
            <w:tcW w:w="26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4"/>
                <w:szCs w:val="14"/>
                <w:color w:val="auto"/>
              </w:rPr>
              <w:t>4.0%(3)</w:t>
            </w:r>
          </w:p>
        </w:tc>
        <w:tc>
          <w:tcPr>
            <w:tcW w:w="240" w:type="dxa"/>
            <w:vAlign w:val="bottom"/>
            <w:gridSpan w:val="2"/>
            <w:shd w:val="clear" w:color="auto" w:fill="CCEEFF"/>
          </w:tcPr>
          <w:p>
            <w:pPr>
              <w:ind w:left="160"/>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(MSpark, LLC)</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—(PIK 15.0%), 04/23/2025</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MAG DS Corp.</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6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12730 Fair Lakes Cir Suite 600</w:t>
            </w:r>
          </w:p>
        </w:tc>
        <w:tc>
          <w:tcPr>
            <w:tcW w:w="1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L+550, 04/01/2027</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Fairfax, VA 22033</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Mars Acquisition Holdings Corp.</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Media</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7,244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(Mars Intermediate Holdings II, Inc.)</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05/14/2026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25200 Telegraph Rd., 5th Floor</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Southfield, MI 48033</w:t>
            </w: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Internet Software and</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26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3"/>
              </w:rPr>
              <w:t>—, 04/16/2027</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30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MDI Buyer,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Commodity Chemicals</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2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(MDI Aggregator, LP)</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07/25/2028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740 W Knox Road</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Tempe, AZ 85284</w:t>
            </w: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Meadowlark Acquirer,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520" w:type="dxa"/>
            <w:vAlign w:val="bottom"/>
            <w:gridSpan w:val="3"/>
          </w:tcPr>
          <w:p>
            <w:pPr>
              <w:jc w:val="right"/>
              <w:ind w:right="140"/>
              <w:spacing w:after="0"/>
              <w:rPr>
                <w:sz w:val="20"/>
                <w:szCs w:val="20"/>
                <w:color w:val="auto"/>
              </w:rPr>
            </w:pPr>
            <w:r>
              <w:rPr>
                <w:rFonts w:ascii="Arial" w:cs="Arial" w:eastAsia="Arial" w:hAnsi="Arial"/>
                <w:sz w:val="14"/>
                <w:szCs w:val="14"/>
                <w:color w:val="auto"/>
              </w:rPr>
              <w:t>0.8%(3)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(Meadowlark Title, LLC)</w:t>
            </w:r>
          </w:p>
        </w:tc>
        <w:tc>
          <w:tcPr>
            <w:tcW w:w="1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12/10/2027</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888 Boylston, Ste. 1600,</w:t>
            </w:r>
          </w:p>
        </w:tc>
        <w:tc>
          <w:tcPr>
            <w:tcW w:w="1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Boston, MA, 02199</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Mission Critical Electronics,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Capital Equipment</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3,922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15272 Newsboy Circle</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SOFR+500, 03/28/2024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Huntington, CA 92649</w:t>
            </w:r>
          </w:p>
        </w:tc>
        <w:tc>
          <w:tcPr>
            <w:tcW w:w="14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Municipal Emergency Services,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Distributors</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12 Turnberry Ln</w:t>
            </w:r>
          </w:p>
        </w:tc>
        <w:tc>
          <w:tcPr>
            <w:tcW w:w="1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L+500, 09/28/2027</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Sandy Hook, CT 06482</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NBH Group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Equipment</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3035 S Maryland Pkwy #110</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and Supplies</w:t>
            </w: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08/19/2026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89109</w:t>
            </w: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OHCP V BC COI, L.P.(5)</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Distributors</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5"/>
              </w:rPr>
              <w:t>Common Equity(4)</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color w:val="auto"/>
              </w:rPr>
              <w:t>— (7)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525 West Monroe Street</w:t>
            </w:r>
          </w:p>
        </w:tc>
        <w:tc>
          <w:tcPr>
            <w:tcW w:w="1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Chicago, IL 60661</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30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OIS Management Services,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Equipment</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2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2,206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(Oral Surgery (ITC) Holdings,</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and Supplies</w:t>
            </w: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SOFR+575, 07/09/2026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 (5))</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2600 S 56th Street A</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 NE 68506</w:t>
            </w: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Arial" w:cs="Arial" w:eastAsia="Arial" w:hAnsi="Arial"/>
                <w:sz w:val="14"/>
                <w:szCs w:val="14"/>
                <w:color w:val="auto"/>
              </w:rPr>
              <w:t>One Stop Mailing,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5"/>
              </w:rPr>
              <w:t>Air Freight and</w:t>
            </w:r>
          </w:p>
        </w:tc>
        <w:tc>
          <w:tcPr>
            <w:tcW w:w="1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601 Regency Drive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Logistics</w:t>
            </w:r>
          </w:p>
        </w:tc>
        <w:tc>
          <w:tcPr>
            <w:tcW w:w="17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05/07/2027</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Glendale Heights, IL 60139</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0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ORL Acquisition,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Consumer Finance</w:t>
            </w:r>
          </w:p>
        </w:tc>
        <w:tc>
          <w:tcPr>
            <w:tcW w:w="1780" w:type="dxa"/>
            <w:vAlign w:val="bottom"/>
            <w:shd w:val="clear" w:color="auto" w:fill="CCEEFF"/>
          </w:tcPr>
          <w:p>
            <w:pPr>
              <w:spacing w:after="0"/>
              <w:rPr>
                <w:sz w:val="11"/>
                <w:szCs w:val="11"/>
                <w:color w:val="auto"/>
              </w:rPr>
            </w:pPr>
          </w:p>
        </w:tc>
        <w:tc>
          <w:tcPr>
            <w:tcW w:w="1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52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7,600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 Holdco, Inc.)</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L+525, 09/03/2027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5555 N Beach St #4100,</w:t>
            </w:r>
          </w:p>
        </w:tc>
        <w:tc>
          <w:tcPr>
            <w:tcW w:w="14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Worth, TX 76137</w:t>
            </w:r>
          </w:p>
        </w:tc>
        <w:tc>
          <w:tcPr>
            <w:tcW w:w="14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496"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4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20"/>
              <w:spacing w:after="0" w:line="145" w:lineRule="exact"/>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7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Ownership(2)</w:t>
            </w:r>
          </w:p>
        </w:tc>
        <w:tc>
          <w:tcPr>
            <w:tcW w:w="54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Output Services Group, Inc.</w:t>
            </w:r>
          </w:p>
        </w:tc>
        <w:tc>
          <w:tcPr>
            <w:tcW w:w="2700" w:type="dxa"/>
            <w:vAlign w:val="bottom"/>
            <w:shd w:val="clear" w:color="auto" w:fill="CCEEFF"/>
          </w:tcPr>
          <w:p>
            <w:pPr>
              <w:spacing w:after="0"/>
              <w:rPr>
                <w:sz w:val="10"/>
                <w:szCs w:val="10"/>
                <w:color w:val="auto"/>
              </w:rPr>
            </w:pPr>
          </w:p>
        </w:tc>
        <w:tc>
          <w:tcPr>
            <w:tcW w:w="14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Business Services</w:t>
            </w:r>
          </w:p>
        </w:tc>
        <w:tc>
          <w:tcPr>
            <w:tcW w:w="540" w:type="dxa"/>
            <w:vAlign w:val="bottom"/>
            <w:shd w:val="clear" w:color="auto" w:fill="CCEEFF"/>
          </w:tcPr>
          <w:p>
            <w:pPr>
              <w:spacing w:after="0"/>
              <w:rPr>
                <w:sz w:val="10"/>
                <w:szCs w:val="10"/>
                <w:color w:val="auto"/>
              </w:rPr>
            </w:pPr>
          </w:p>
        </w:tc>
        <w:tc>
          <w:tcPr>
            <w:tcW w:w="18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First Lien Secured Debt,</w:t>
            </w:r>
          </w:p>
        </w:tc>
        <w:tc>
          <w:tcPr>
            <w:tcW w:w="24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620"/>
              <w:spacing w:after="0" w:line="12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775 Washington Ave</w:t>
            </w: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L+675, 03/27/2024</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Carlstadt, NJ 07072</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Owl Acquisition,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4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47 Old Webster Road</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02/04/2028</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Oxford, MA 01540</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8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Construction and</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4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27,673</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22260 Haggerty Road #365</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Building</w:t>
            </w: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L+700, 05/18/2026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Northville, MI 48167</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PennantPark-TSO Senior Loan Fund, LP</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Financial Services</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640" w:type="dxa"/>
            <w:vAlign w:val="bottom"/>
            <w:gridSpan w:val="3"/>
          </w:tcPr>
          <w:p>
            <w:pPr>
              <w:jc w:val="right"/>
              <w:ind w:right="260"/>
              <w:spacing w:after="0"/>
              <w:rPr>
                <w:sz w:val="20"/>
                <w:szCs w:val="20"/>
                <w:color w:val="auto"/>
              </w:rPr>
            </w:pPr>
            <w:r>
              <w:rPr>
                <w:rFonts w:ascii="Arial" w:cs="Arial" w:eastAsia="Arial" w:hAnsi="Arial"/>
                <w:sz w:val="14"/>
                <w:szCs w:val="14"/>
                <w:color w:val="auto"/>
              </w:rPr>
              <w:t>4.99%(3)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9,892</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1691 Michigan Avenue</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Miami, FL 33139</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58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 Acquisitionco,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Textiles, Apparel and</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640" w:type="dxa"/>
            <w:vAlign w:val="bottom"/>
            <w:gridSpan w:val="3"/>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6,814</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(Pink Lily Holdco, LLC)</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Luxury Goods</w:t>
            </w: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L+650, 11/09/2027</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323 Mitch McConnell Way</w:t>
            </w: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Bowling Green KY 42101</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Leisure Products</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4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3,078</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13310 James E. Casey Ave.</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L+550, 05/08/2026</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Englewood, CO 80112</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8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Business Services</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640" w:type="dxa"/>
            <w:vAlign w:val="bottom"/>
            <w:gridSpan w:val="3"/>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4,974</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LLC(5))</w:t>
            </w: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1M L+1,050 (PIK 10.5%),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4"/>
              </w:rPr>
              <w:t>08/07/2025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Pragmatic Institute,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640" w:type="dxa"/>
            <w:vAlign w:val="bottom"/>
            <w:gridSpan w:val="3"/>
          </w:tcPr>
          <w:p>
            <w:pPr>
              <w:jc w:val="right"/>
              <w:ind w:right="42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8910 East Raintree Drive</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07/06/2028</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Scottsdale, AZ 85620</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8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Quantic Electronics,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Electronic Equipment,</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4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 Embarcadero Center, Suite 3460</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Instruments, and</w:t>
            </w: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L+600, 11/19/2026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Francisco, CA 94111</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Components</w:t>
            </w:r>
          </w:p>
        </w:tc>
        <w:tc>
          <w:tcPr>
            <w:tcW w:w="5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QuantiTech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640" w:type="dxa"/>
            <w:vAlign w:val="bottom"/>
            <w:gridSpan w:val="3"/>
          </w:tcPr>
          <w:p>
            <w:pPr>
              <w:jc w:val="right"/>
              <w:ind w:right="4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(QuantiTech Investco LP(5))</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L+1,000, 02/04/2027</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(QuantiTech InvestCo II LP(5))</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 Equity(4)</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360A-360D Quality Circle, Suite</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Arial" w:cs="Arial" w:eastAsia="Arial" w:hAnsi="Arial"/>
                <w:sz w:val="14"/>
                <w:szCs w:val="14"/>
                <w:color w:val="auto"/>
              </w:rPr>
              <w:t>100/430</w:t>
            </w:r>
          </w:p>
        </w:tc>
        <w:tc>
          <w:tcPr>
            <w:tcW w:w="2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Huntsville, AL 35806</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58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Media: Diversified and</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24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Production</w:t>
            </w: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L+500, 09/07/2024</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Rancho Health MSO,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Healthcare Equipment</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640" w:type="dxa"/>
            <w:vAlign w:val="bottom"/>
            <w:gridSpan w:val="3"/>
          </w:tcPr>
          <w:p>
            <w:pPr>
              <w:jc w:val="right"/>
              <w:ind w:right="42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(RFMG Parent, LP)</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and Supplies</w:t>
            </w: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12/18/2025</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31720 Temecula Pkwy Suite 100</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Temecula, CA 92592</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8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Recteq,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Leisure Products</w:t>
            </w:r>
          </w:p>
        </w:tc>
        <w:tc>
          <w:tcPr>
            <w:tcW w:w="54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640" w:type="dxa"/>
            <w:vAlign w:val="bottom"/>
            <w:gridSpan w:val="3"/>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(NEPRT Parent Holdings, LLC (5))</w:t>
            </w: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L+600, 01/29/2026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1061 Triad Ct., Ste. 3</w:t>
            </w: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Marietta, GA 30062</w:t>
            </w:r>
          </w:p>
        </w:tc>
        <w:tc>
          <w:tcPr>
            <w:tcW w:w="1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Arial" w:cs="Arial" w:eastAsia="Arial" w:hAnsi="Arial"/>
                <w:sz w:val="14"/>
                <w:szCs w:val="14"/>
                <w:color w:val="auto"/>
              </w:rPr>
              <w:t>Research Now Group, Inc. and Dynata,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Business Services</w:t>
            </w:r>
          </w:p>
        </w:tc>
        <w:tc>
          <w:tcPr>
            <w:tcW w:w="5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4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15,406</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12/20/2024</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gridSpan w:val="2"/>
          </w:tcPr>
          <w:p>
            <w:pPr>
              <w:spacing w:after="0"/>
              <w:rPr>
                <w:sz w:val="20"/>
                <w:szCs w:val="20"/>
                <w:color w:val="auto"/>
              </w:rPr>
            </w:pPr>
            <w:r>
              <w:rPr>
                <w:rFonts w:ascii="Arial" w:cs="Arial" w:eastAsia="Arial" w:hAnsi="Arial"/>
                <w:sz w:val="14"/>
                <w:szCs w:val="14"/>
                <w:color w:val="auto"/>
              </w:rPr>
              <w:t>Plano, TX 75024</w:t>
            </w: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496"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Investment,</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980" w:type="dxa"/>
            <w:vAlign w:val="bottom"/>
            <w:gridSpan w:val="2"/>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4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3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Interest(1), Maturity</w:t>
            </w: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Ownership(2)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3"/>
        </w:trPr>
        <w:tc>
          <w:tcPr>
            <w:tcW w:w="1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Riverpoint Medical, LLC</w:t>
            </w:r>
          </w:p>
        </w:tc>
        <w:tc>
          <w:tcPr>
            <w:tcW w:w="3100" w:type="dxa"/>
            <w:vAlign w:val="bottom"/>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Healthcare Equipment</w:t>
            </w:r>
          </w:p>
        </w:tc>
        <w:tc>
          <w:tcPr>
            <w:tcW w:w="400" w:type="dxa"/>
            <w:vAlign w:val="bottom"/>
            <w:shd w:val="clear" w:color="auto" w:fill="CCEEFF"/>
          </w:tcPr>
          <w:p>
            <w:pPr>
              <w:spacing w:after="0"/>
              <w:rPr>
                <w:sz w:val="10"/>
                <w:szCs w:val="10"/>
                <w:color w:val="auto"/>
              </w:rPr>
            </w:pPr>
          </w:p>
        </w:tc>
        <w:tc>
          <w:tcPr>
            <w:tcW w:w="19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First Lien Secured Debt(4),</w:t>
            </w:r>
          </w:p>
        </w:tc>
        <w:tc>
          <w:tcPr>
            <w:tcW w:w="18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ind w:left="620"/>
              <w:spacing w:after="0" w:line="123"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7,758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825 NE 25th Avenue</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and Supplies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L+575, 06/20/2025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97232</w:t>
            </w: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Riverside Assessments,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Professional Services</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18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15,049</w:t>
            </w: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One Pierce Pl, Suite 900W</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L+625, 03/10/2025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Itasca, IL 60143</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Sales Benchmark Index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Professional Services</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149"/>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(SBI Holdings Investments LLC(5))</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L+600, 01/03/2025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2021 McKinney Avenue Suite 550</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75201</w:t>
            </w: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Sargent &amp; Greenleaf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Electronic Equipment,</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5"/>
              </w:rPr>
              <w:t>First Lien Secured Debt(4),</w:t>
            </w:r>
          </w:p>
        </w:tc>
        <w:tc>
          <w:tcPr>
            <w:tcW w:w="18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One Security Drive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2"/>
              </w:rPr>
              <w:t>Instruments, and</w:t>
            </w: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L+550, 12/20/2024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Nicholasville, KY 40356</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Components</w:t>
            </w: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8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Professional Services</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SOFR+700, 07/14/2025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Seaway Buyer,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Chemicals, Plastics and</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7,132</w:t>
            </w: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(Seaway Topco, LP)</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Rubber</w:t>
            </w: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L+575, 06/13/2029</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6006 Siesta Lane</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Port Richey, FL 34668</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Sigma Defense Systems,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IT Services</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12,948</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InvestCo LP (5))</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L+850, 12/18/2025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1812 Macon Rd, Perry, GA 31069</w:t>
            </w:r>
          </w:p>
        </w:tc>
        <w:tc>
          <w:tcPr>
            <w:tcW w:w="1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Equity(4)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Signature Systems Holding Company</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Commercial Services &amp;</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5"/>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11,941</w:t>
            </w: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Supplies</w:t>
            </w: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L+650, 05/03/2024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Flower Mound, TX 75028</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Smile Brands Inc.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and</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Spectrum Center Drive, Suite 100</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Pharmaceuticals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L+450, 10/14/2025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Irvine, CA 92618</w:t>
            </w: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Healthcare Technology</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5"/>
              </w:rPr>
              <w:t>First Lien Secured Debt(4),</w:t>
            </w:r>
          </w:p>
        </w:tc>
        <w:tc>
          <w:tcPr>
            <w:tcW w:w="18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L+575, 01/17/2024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8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Spear Education, LLC</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Professional Services</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14,747</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7201 E Princess Boulevard</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L+575, 02/26/2025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Scottsdale, AZ 85255</w:t>
            </w: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Spendmend Holdings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Healthcare Technology</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5"/>
              </w:rPr>
              <w:t>First Lien Secured Debt(4),</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(North Haven Saints Equity Holdings, LP)</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3"/>
              </w:rPr>
              <w:t>SOFR+575, 03/01/2028,</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2680 Horizon Dr SE,</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Grand Rapids, MI 49546</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9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STV Group Incorporated</w:t>
            </w:r>
          </w:p>
        </w:tc>
        <w:tc>
          <w:tcPr>
            <w:tcW w:w="14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Construction &amp;</w:t>
            </w:r>
          </w:p>
        </w:tc>
        <w:tc>
          <w:tcPr>
            <w:tcW w:w="4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225 Park Avenue South</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Engineering</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L+525, 12/11/2026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10003</w:t>
            </w:r>
          </w:p>
        </w:tc>
        <w:tc>
          <w:tcPr>
            <w:tcW w:w="1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Arial" w:cs="Arial" w:eastAsia="Arial" w:hAnsi="Arial"/>
                <w:sz w:val="14"/>
                <w:szCs w:val="14"/>
                <w:color w:val="auto"/>
              </w:rPr>
              <w:t>SSC Dominion Holdings, LLC</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Capital Equipment</w:t>
            </w:r>
          </w:p>
        </w:tc>
        <w:tc>
          <w:tcPr>
            <w:tcW w:w="4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80" w:type="dxa"/>
            <w:vAlign w:val="bottom"/>
            <w:gridSpan w:val="2"/>
          </w:tcPr>
          <w:p>
            <w:pPr>
              <w:spacing w:after="0"/>
              <w:rPr>
                <w:sz w:val="20"/>
                <w:szCs w:val="20"/>
                <w:color w:val="auto"/>
              </w:rPr>
            </w:pPr>
            <w:r>
              <w:rPr>
                <w:rFonts w:ascii="Arial" w:cs="Arial" w:eastAsia="Arial" w:hAnsi="Arial"/>
                <w:sz w:val="14"/>
                <w:szCs w:val="14"/>
                <w:color w:val="auto"/>
              </w:rPr>
              <w:t>Toronto, ON MST 2C7</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496"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940" w:type="dxa"/>
            <w:vAlign w:val="bottom"/>
            <w:gridSpan w:val="2"/>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4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30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Interest(1), Maturity</w:t>
            </w: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Ownership(2)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System Planning and Analysis, Inc.</w:t>
            </w:r>
          </w:p>
        </w:tc>
        <w:tc>
          <w:tcPr>
            <w:tcW w:w="14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Aerospace and Defense</w:t>
            </w:r>
          </w:p>
        </w:tc>
        <w:tc>
          <w:tcPr>
            <w:tcW w:w="42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400"/>
              <w:spacing w:after="0" w:line="12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18,180</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(f/k/a Management Consulting &amp; Research, LLC)</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SOFR+600, 08/16/2027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1220 12</w:t>
            </w:r>
            <w:r>
              <w:rPr>
                <w:rFonts w:ascii="Arial" w:cs="Arial" w:eastAsia="Arial" w:hAnsi="Arial"/>
                <w:sz w:val="10"/>
                <w:szCs w:val="10"/>
                <w:color w:val="auto"/>
              </w:rPr>
              <w:t>th</w:t>
            </w:r>
            <w:r>
              <w:rPr>
                <w:rFonts w:ascii="Arial" w:cs="Arial" w:eastAsia="Arial" w:hAnsi="Arial"/>
                <w:sz w:val="14"/>
                <w:szCs w:val="14"/>
                <w:color w:val="auto"/>
              </w:rPr>
              <w:t xml:space="preserve"> Street SE</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20003</w:t>
            </w: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TAC LifePort Holdings, LLC (5)</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1610 Heritage St</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Woodland, WA 98674</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Diversified Financial</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5,455</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w:t>
            </w:r>
            <w:r>
              <w:rPr>
                <w:rFonts w:ascii="Arial" w:cs="Arial" w:eastAsia="Arial" w:hAnsi="Arial"/>
                <w:sz w:val="10"/>
                <w:szCs w:val="10"/>
                <w:color w:val="auto"/>
              </w:rPr>
              <w:t>th</w:t>
            </w:r>
            <w:r>
              <w:rPr>
                <w:rFonts w:ascii="Arial" w:cs="Arial" w:eastAsia="Arial" w:hAnsi="Arial"/>
                <w:sz w:val="14"/>
                <w:szCs w:val="14"/>
                <w:color w:val="auto"/>
              </w:rPr>
              <w:t xml:space="preserve"> Floor</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07/18/2025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The Aegis Technologies Group,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Aerospace and Defense</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4601 N. Fairfax Drive, Suite 900</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L+600, 10/31/2025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Arlington, VA, 22203</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4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Bluebird Group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Professional Services</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 South Ninth Street, Suite 420,</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L+700, 07/27/2026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Minneapolis, MN, 55402</w:t>
            </w: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The Infosoft Group,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Media: Broadcasting and</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17,586</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(Gauge InfosoftCoInvest, LLC)</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6"/>
              </w:rPr>
              <w:t>Subscription</w:t>
            </w: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09/16/2024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1000 North Water Street, Suite 1200</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Milwaukee, WI 53202</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Vertex Companies,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Construction &amp;</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(TWD Parent Holdings, LLC)</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Engineering</w:t>
            </w: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L+550, 08/30/2027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398 Libbey Industrial Pkwy,</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Weymouth, MA 02189</w:t>
            </w: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TPC Canada Parent,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Food Products</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and TPC US Parent, LLC(6)</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L+550, 11/24/2025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(TPC Holding Company, LP(6))</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151 Struthers Street</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Warren, PA 16365</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Commercial Services &amp;</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25,644</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Supplies</w:t>
            </w: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L+600, 03/26/2026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TWS Acquisition Corporation</w:t>
            </w: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Diversified Consumer</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5,427</w:t>
            </w:r>
          </w:p>
        </w:tc>
        <w:tc>
          <w:tcPr>
            <w:tcW w:w="0" w:type="dxa"/>
            <w:vAlign w:val="bottom"/>
          </w:tcPr>
          <w:p>
            <w:pPr>
              <w:spacing w:after="0"/>
              <w:rPr>
                <w:sz w:val="1"/>
                <w:szCs w:val="1"/>
                <w:color w:val="auto"/>
              </w:rPr>
            </w:pPr>
          </w:p>
        </w:tc>
      </w:tr>
      <w:tr>
        <w:trPr>
          <w:trHeight w:val="149"/>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120 N. 44th Street #230</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06/16/2025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Phoenix, AZ 85034</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4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Tyto Athene,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IT Services</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3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13,024</w:t>
            </w:r>
          </w:p>
        </w:tc>
        <w:tc>
          <w:tcPr>
            <w:tcW w:w="0" w:type="dxa"/>
            <w:vAlign w:val="bottom"/>
          </w:tcPr>
          <w:p>
            <w:pPr>
              <w:spacing w:after="0"/>
              <w:rPr>
                <w:sz w:val="1"/>
                <w:szCs w:val="1"/>
                <w:color w:val="auto"/>
              </w:rPr>
            </w:pPr>
          </w:p>
        </w:tc>
      </w:tr>
      <w:tr>
        <w:trPr>
          <w:trHeight w:val="149"/>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(NXOF Holdings, Inc)</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L+550, 04/01/2028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20170</w:t>
            </w: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UBEO, LLC</w:t>
            </w: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Capital Equipment</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First Lien Secured Debt(4),</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18,199</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L+450, 04/03/2024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San Antonio, TX 78258</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94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Unique Indoor Comfort, LLC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Diversified Consumer</w:t>
            </w:r>
          </w:p>
        </w:tc>
        <w:tc>
          <w:tcPr>
            <w:tcW w:w="4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First Lien Secured Debt(4),</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8,841</w:t>
            </w:r>
          </w:p>
        </w:tc>
        <w:tc>
          <w:tcPr>
            <w:tcW w:w="0" w:type="dxa"/>
            <w:vAlign w:val="bottom"/>
          </w:tcPr>
          <w:p>
            <w:pPr>
              <w:spacing w:after="0"/>
              <w:rPr>
                <w:sz w:val="1"/>
                <w:szCs w:val="1"/>
                <w:color w:val="auto"/>
              </w:rPr>
            </w:pPr>
          </w:p>
        </w:tc>
      </w:tr>
      <w:tr>
        <w:trPr>
          <w:trHeight w:val="149"/>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3017 Bolling Way NorthEast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Services</w:t>
            </w:r>
          </w:p>
        </w:tc>
        <w:tc>
          <w:tcPr>
            <w:tcW w:w="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L+525, 05/24/2027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30305</w:t>
            </w: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Telecommunications</w:t>
            </w:r>
          </w:p>
        </w:tc>
        <w:tc>
          <w:tcPr>
            <w:tcW w:w="4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Preferred Equity</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1817 Crane Ridge Drive, Suite 500</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rPr>
                <w:sz w:val="20"/>
                <w:szCs w:val="20"/>
                <w:color w:val="auto"/>
              </w:rPr>
            </w:pPr>
            <w:r>
              <w:rPr>
                <w:rFonts w:ascii="Arial" w:cs="Arial" w:eastAsia="Arial" w:hAnsi="Arial"/>
                <w:sz w:val="14"/>
                <w:szCs w:val="14"/>
                <w:color w:val="auto"/>
              </w:rPr>
              <w:t>Jackson, MS 39216</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87"/>
              </w:rPr>
              <w:t>Warrants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496" w:right="439" w:bottom="1440" w:gutter="0" w:footer="0" w:header="0"/>
        </w:sectPr>
      </w:pPr>
    </w:p>
    <w:bookmarkStart w:id="47" w:name="page48"/>
    <w:bookmarkEnd w:id="47"/>
    <w:p>
      <w:pPr>
        <w:spacing w:after="0" w:line="16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Name and</w:t>
      </w:r>
    </w:p>
    <w:p>
      <w:pPr>
        <w:spacing w:after="0" w:line="4" w:lineRule="exact"/>
        <w:rPr>
          <w:sz w:val="20"/>
          <w:szCs w:val="20"/>
          <w:color w:val="auto"/>
        </w:rPr>
      </w:pPr>
    </w:p>
    <w:p>
      <w:pPr>
        <w:ind w:left="4"/>
        <w:spacing w:after="0"/>
        <w:rPr>
          <w:sz w:val="20"/>
          <w:szCs w:val="20"/>
          <w:color w:val="auto"/>
        </w:rPr>
      </w:pPr>
      <w:r>
        <w:rPr>
          <w:rFonts w:ascii="Arial" w:cs="Arial" w:eastAsia="Arial" w:hAnsi="Arial"/>
          <w:sz w:val="12"/>
          <w:szCs w:val="12"/>
          <w:b w:val="1"/>
          <w:bCs w:val="1"/>
          <w:u w:val="single" w:color="auto"/>
          <w:color w:val="auto"/>
        </w:rPr>
        <w:t>Address of Portfolio Company</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4"/>
          <w:szCs w:val="14"/>
          <w:color w:val="auto"/>
        </w:rPr>
        <w:t>UniVista Insurance (5)</w:t>
      </w:r>
    </w:p>
    <w:p>
      <w:pPr>
        <w:ind w:left="4"/>
        <w:spacing w:after="0" w:line="221" w:lineRule="auto"/>
        <w:rPr>
          <w:sz w:val="20"/>
          <w:szCs w:val="20"/>
          <w:color w:val="auto"/>
        </w:rPr>
      </w:pPr>
      <w:r>
        <w:rPr>
          <w:rFonts w:ascii="Arial" w:cs="Arial" w:eastAsia="Arial" w:hAnsi="Arial"/>
          <w:sz w:val="14"/>
          <w:szCs w:val="14"/>
          <w:color w:val="auto"/>
        </w:rPr>
        <w:t>528 NW 7th Ave,</w:t>
      </w:r>
    </w:p>
    <w:p>
      <w:pPr>
        <w:ind w:left="4"/>
        <w:spacing w:after="0"/>
        <w:rPr>
          <w:sz w:val="20"/>
          <w:szCs w:val="20"/>
          <w:color w:val="auto"/>
        </w:rPr>
      </w:pPr>
      <w:r>
        <w:rPr>
          <w:rFonts w:ascii="Arial" w:cs="Arial" w:eastAsia="Arial" w:hAnsi="Arial"/>
          <w:sz w:val="14"/>
          <w:szCs w:val="14"/>
          <w:color w:val="auto"/>
        </w:rPr>
        <w:t>Miami, FL 33136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4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Interest(1), Maturity</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Ownership(2)</w:t>
            </w:r>
          </w:p>
        </w:tc>
        <w:tc>
          <w:tcPr>
            <w:tcW w:w="50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rPr>
                <w:sz w:val="20"/>
                <w:szCs w:val="20"/>
                <w:color w:val="auto"/>
              </w:rPr>
            </w:pPr>
            <w:r>
              <w:rPr>
                <w:rFonts w:ascii="Arial" w:cs="Arial" w:eastAsia="Arial" w:hAnsi="Arial"/>
                <w:sz w:val="14"/>
                <w:szCs w:val="14"/>
                <w:color w:val="auto"/>
                <w:w w:val="91"/>
              </w:rPr>
              <w:t>Insurance</w:t>
            </w:r>
          </w:p>
        </w:tc>
        <w:tc>
          <w:tcPr>
            <w:tcW w:w="4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-530860</wp:posOffset>
            </wp:positionV>
            <wp:extent cx="717486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-114935</wp:posOffset>
            </wp:positionV>
            <wp:extent cx="699516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4084" w:space="720"/>
            <w:col w:w="6220"/>
          </w:cols>
          <w:pgMar w:left="436" w:top="496" w:right="439" w:bottom="1440" w:gutter="0" w:footer="0" w:header="0"/>
        </w:sectPr>
      </w:pPr>
    </w:p>
    <w:tbl>
      <w:tblPr>
        <w:tblLayout w:type="fixed"/>
        <w:tblInd w:w="4" w:type="dxa"/>
        <w:tblCellMar>
          <w:top w:w="0" w:type="dxa"/>
          <w:left w:w="0" w:type="dxa"/>
          <w:bottom w:w="0" w:type="dxa"/>
          <w:right w:w="0" w:type="dxa"/>
        </w:tblCellMar>
      </w:tblP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Walker Edison Furniture Company LLC</w:t>
            </w:r>
          </w:p>
        </w:tc>
        <w:tc>
          <w:tcPr>
            <w:tcW w:w="2700" w:type="dxa"/>
            <w:vAlign w:val="bottom"/>
          </w:tcPr>
          <w:p>
            <w:pPr>
              <w:jc w:val="center"/>
              <w:ind w:left="608"/>
              <w:spacing w:after="0"/>
              <w:rPr>
                <w:sz w:val="20"/>
                <w:szCs w:val="20"/>
                <w:color w:val="auto"/>
              </w:rPr>
            </w:pPr>
            <w:r>
              <w:rPr>
                <w:rFonts w:ascii="Arial" w:cs="Arial" w:eastAsia="Arial" w:hAnsi="Arial"/>
                <w:sz w:val="14"/>
                <w:szCs w:val="14"/>
                <w:color w:val="auto"/>
                <w:w w:val="94"/>
              </w:rPr>
              <w:t>Wholesale</w:t>
            </w:r>
          </w:p>
        </w:tc>
        <w:tc>
          <w:tcPr>
            <w:tcW w:w="2340" w:type="dxa"/>
            <w:vAlign w:val="bottom"/>
          </w:tcPr>
          <w:p>
            <w:pPr>
              <w:jc w:val="center"/>
              <w:ind w:right="128"/>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8,473</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(JWC-WE Holdings, L.P. (5))</w:t>
            </w:r>
          </w:p>
        </w:tc>
        <w:tc>
          <w:tcPr>
            <w:tcW w:w="2700" w:type="dxa"/>
            <w:vAlign w:val="bottom"/>
          </w:tcPr>
          <w:p>
            <w:pPr>
              <w:spacing w:after="0"/>
              <w:rPr>
                <w:sz w:val="12"/>
                <w:szCs w:val="12"/>
                <w:color w:val="auto"/>
              </w:rPr>
            </w:pPr>
          </w:p>
        </w:tc>
        <w:tc>
          <w:tcPr>
            <w:tcW w:w="23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5"/>
              </w:rPr>
              <w:t>1M L+875, 03/31/2027</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2700" w:type="dxa"/>
            <w:vAlign w:val="bottom"/>
          </w:tcPr>
          <w:p>
            <w:pPr>
              <w:spacing w:after="0"/>
              <w:rPr>
                <w:sz w:val="12"/>
                <w:szCs w:val="12"/>
                <w:color w:val="auto"/>
              </w:rPr>
            </w:pPr>
          </w:p>
        </w:tc>
        <w:tc>
          <w:tcPr>
            <w:tcW w:w="23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Common Equity</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3840" w:type="dxa"/>
            <w:vAlign w:val="bottom"/>
          </w:tcPr>
          <w:p>
            <w:pPr>
              <w:spacing w:after="0"/>
              <w:rPr>
                <w:sz w:val="20"/>
                <w:szCs w:val="20"/>
                <w:color w:val="auto"/>
              </w:rPr>
            </w:pPr>
            <w:r>
              <w:rPr>
                <w:rFonts w:ascii="Arial" w:cs="Arial" w:eastAsia="Arial" w:hAnsi="Arial"/>
                <w:sz w:val="14"/>
                <w:szCs w:val="14"/>
                <w:color w:val="auto"/>
              </w:rPr>
              <w:t>Salt Lake City, UT 84120</w:t>
            </w:r>
          </w:p>
        </w:tc>
        <w:tc>
          <w:tcPr>
            <w:tcW w:w="27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7"/>
        </w:trPr>
        <w:tc>
          <w:tcPr>
            <w:tcW w:w="38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WCP IvyRehab QP CF Feeder, LP</w:t>
            </w:r>
          </w:p>
        </w:tc>
        <w:tc>
          <w:tcPr>
            <w:tcW w:w="2700" w:type="dxa"/>
            <w:vAlign w:val="bottom"/>
            <w:shd w:val="clear" w:color="auto" w:fill="CCEEFF"/>
          </w:tcPr>
          <w:p>
            <w:pPr>
              <w:jc w:val="center"/>
              <w:ind w:left="608"/>
              <w:spacing w:after="0" w:line="130" w:lineRule="exact"/>
              <w:rPr>
                <w:sz w:val="20"/>
                <w:szCs w:val="20"/>
                <w:color w:val="auto"/>
              </w:rPr>
            </w:pPr>
            <w:r>
              <w:rPr>
                <w:rFonts w:ascii="Arial" w:cs="Arial" w:eastAsia="Arial" w:hAnsi="Arial"/>
                <w:sz w:val="14"/>
                <w:szCs w:val="14"/>
                <w:color w:val="auto"/>
                <w:w w:val="92"/>
              </w:rPr>
              <w:t>Healthcare Providers and</w:t>
            </w:r>
          </w:p>
        </w:tc>
        <w:tc>
          <w:tcPr>
            <w:tcW w:w="2340" w:type="dxa"/>
            <w:vAlign w:val="bottom"/>
            <w:shd w:val="clear" w:color="auto" w:fill="CCEEFF"/>
          </w:tcPr>
          <w:p>
            <w:pPr>
              <w:jc w:val="center"/>
              <w:ind w:right="108"/>
              <w:spacing w:after="0" w:line="130" w:lineRule="exact"/>
              <w:rPr>
                <w:sz w:val="20"/>
                <w:szCs w:val="20"/>
                <w:color w:val="auto"/>
              </w:rPr>
            </w:pPr>
            <w:r>
              <w:rPr>
                <w:rFonts w:ascii="Arial" w:cs="Arial" w:eastAsia="Arial" w:hAnsi="Arial"/>
                <w:sz w:val="14"/>
                <w:szCs w:val="14"/>
                <w:color w:val="auto"/>
                <w:w w:val="95"/>
              </w:rPr>
              <w:t>Common Equity(4)</w:t>
            </w:r>
          </w:p>
        </w:tc>
        <w:tc>
          <w:tcPr>
            <w:tcW w:w="1220" w:type="dxa"/>
            <w:vAlign w:val="bottom"/>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3,762</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1311 Mamaroneck Avenue, Suite 140</w:t>
            </w:r>
          </w:p>
        </w:tc>
        <w:tc>
          <w:tcPr>
            <w:tcW w:w="2700" w:type="dxa"/>
            <w:vAlign w:val="bottom"/>
            <w:shd w:val="clear" w:color="auto" w:fill="CCEEFF"/>
          </w:tcPr>
          <w:p>
            <w:pPr>
              <w:jc w:val="center"/>
              <w:ind w:left="608"/>
              <w:spacing w:after="0" w:line="149" w:lineRule="exact"/>
              <w:rPr>
                <w:sz w:val="20"/>
                <w:szCs w:val="20"/>
                <w:color w:val="auto"/>
              </w:rPr>
            </w:pPr>
            <w:r>
              <w:rPr>
                <w:rFonts w:ascii="Arial" w:cs="Arial" w:eastAsia="Arial" w:hAnsi="Arial"/>
                <w:sz w:val="14"/>
                <w:szCs w:val="14"/>
                <w:color w:val="auto"/>
                <w:w w:val="93"/>
              </w:rPr>
              <w:t>Services</w:t>
            </w:r>
          </w:p>
        </w:tc>
        <w:tc>
          <w:tcPr>
            <w:tcW w:w="2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White Plains, NY 10605</w:t>
            </w:r>
          </w:p>
        </w:tc>
        <w:tc>
          <w:tcPr>
            <w:tcW w:w="27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8"/>
        </w:trPr>
        <w:tc>
          <w:tcPr>
            <w:tcW w:w="3840" w:type="dxa"/>
            <w:vAlign w:val="bottom"/>
          </w:tcPr>
          <w:p>
            <w:pPr>
              <w:spacing w:after="0"/>
              <w:rPr>
                <w:sz w:val="20"/>
                <w:szCs w:val="20"/>
                <w:color w:val="auto"/>
              </w:rPr>
            </w:pPr>
            <w:r>
              <w:rPr>
                <w:rFonts w:ascii="Arial" w:cs="Arial" w:eastAsia="Arial" w:hAnsi="Arial"/>
                <w:sz w:val="14"/>
                <w:szCs w:val="14"/>
                <w:color w:val="auto"/>
              </w:rPr>
              <w:t>Wildcat Buyerco, Inc.</w:t>
            </w:r>
          </w:p>
        </w:tc>
        <w:tc>
          <w:tcPr>
            <w:tcW w:w="2700" w:type="dxa"/>
            <w:vAlign w:val="bottom"/>
          </w:tcPr>
          <w:p>
            <w:pPr>
              <w:jc w:val="center"/>
              <w:ind w:left="608"/>
              <w:spacing w:after="0"/>
              <w:rPr>
                <w:sz w:val="20"/>
                <w:szCs w:val="20"/>
                <w:color w:val="auto"/>
              </w:rPr>
            </w:pPr>
            <w:r>
              <w:rPr>
                <w:rFonts w:ascii="Arial" w:cs="Arial" w:eastAsia="Arial" w:hAnsi="Arial"/>
                <w:sz w:val="14"/>
                <w:szCs w:val="14"/>
                <w:color w:val="auto"/>
                <w:w w:val="95"/>
              </w:rPr>
              <w:t>Electronic Equipment,</w:t>
            </w:r>
          </w:p>
        </w:tc>
        <w:tc>
          <w:tcPr>
            <w:tcW w:w="2340" w:type="dxa"/>
            <w:vAlign w:val="bottom"/>
          </w:tcPr>
          <w:p>
            <w:pPr>
              <w:jc w:val="center"/>
              <w:ind w:right="128"/>
              <w:spacing w:after="0"/>
              <w:rPr>
                <w:sz w:val="20"/>
                <w:szCs w:val="20"/>
                <w:color w:val="auto"/>
              </w:rPr>
            </w:pPr>
            <w:r>
              <w:rPr>
                <w:rFonts w:ascii="Arial" w:cs="Arial" w:eastAsia="Arial" w:hAnsi="Arial"/>
                <w:sz w:val="14"/>
                <w:szCs w:val="14"/>
                <w:color w:val="auto"/>
                <w:w w:val="93"/>
              </w:rPr>
              <w:t>First Lien Secured Debt(4),</w:t>
            </w:r>
          </w:p>
        </w:tc>
        <w:tc>
          <w:tcPr>
            <w:tcW w:w="1400" w:type="dxa"/>
            <w:vAlign w:val="bottom"/>
            <w:gridSpan w:val="2"/>
          </w:tcPr>
          <w:p>
            <w:pPr>
              <w:jc w:val="right"/>
              <w:ind w:right="448"/>
              <w:spacing w:after="0"/>
              <w:rPr>
                <w:sz w:val="20"/>
                <w:szCs w:val="20"/>
                <w:color w:val="auto"/>
              </w:rPr>
            </w:pPr>
            <w:r>
              <w:rPr>
                <w:rFonts w:ascii="Arial" w:cs="Arial" w:eastAsia="Arial" w:hAnsi="Arial"/>
                <w:sz w:val="14"/>
                <w:szCs w:val="14"/>
                <w:color w:val="auto"/>
              </w:rPr>
              <w:t>—(7)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10,094</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(Wildcat Parent, LP(5))</w:t>
            </w:r>
          </w:p>
        </w:tc>
        <w:tc>
          <w:tcPr>
            <w:tcW w:w="2700" w:type="dxa"/>
            <w:vAlign w:val="bottom"/>
          </w:tcPr>
          <w:p>
            <w:pPr>
              <w:jc w:val="center"/>
              <w:ind w:left="608"/>
              <w:spacing w:after="0" w:line="149" w:lineRule="exact"/>
              <w:rPr>
                <w:sz w:val="20"/>
                <w:szCs w:val="20"/>
                <w:color w:val="auto"/>
              </w:rPr>
            </w:pPr>
            <w:r>
              <w:rPr>
                <w:rFonts w:ascii="Arial" w:cs="Arial" w:eastAsia="Arial" w:hAnsi="Arial"/>
                <w:sz w:val="14"/>
                <w:szCs w:val="14"/>
                <w:color w:val="auto"/>
                <w:w w:val="93"/>
              </w:rPr>
              <w:t>Instruments and</w:t>
            </w:r>
          </w:p>
        </w:tc>
        <w:tc>
          <w:tcPr>
            <w:tcW w:w="23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5"/>
              </w:rPr>
              <w:t>3M L+575, 02/27/2026</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9730 Northcross Center Court</w:t>
            </w:r>
          </w:p>
        </w:tc>
        <w:tc>
          <w:tcPr>
            <w:tcW w:w="2700" w:type="dxa"/>
            <w:vAlign w:val="bottom"/>
          </w:tcPr>
          <w:p>
            <w:pPr>
              <w:jc w:val="center"/>
              <w:ind w:left="608"/>
              <w:spacing w:after="0" w:line="149" w:lineRule="exact"/>
              <w:rPr>
                <w:sz w:val="20"/>
                <w:szCs w:val="20"/>
                <w:color w:val="auto"/>
              </w:rPr>
            </w:pPr>
            <w:r>
              <w:rPr>
                <w:rFonts w:ascii="Arial" w:cs="Arial" w:eastAsia="Arial" w:hAnsi="Arial"/>
                <w:sz w:val="14"/>
                <w:szCs w:val="14"/>
                <w:color w:val="auto"/>
                <w:w w:val="93"/>
              </w:rPr>
              <w:t>Components</w:t>
            </w:r>
          </w:p>
        </w:tc>
        <w:tc>
          <w:tcPr>
            <w:tcW w:w="23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Common Equity</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3840" w:type="dxa"/>
            <w:vAlign w:val="bottom"/>
          </w:tcPr>
          <w:p>
            <w:pPr>
              <w:spacing w:after="0"/>
              <w:rPr>
                <w:sz w:val="20"/>
                <w:szCs w:val="20"/>
                <w:color w:val="auto"/>
              </w:rPr>
            </w:pPr>
            <w:r>
              <w:rPr>
                <w:rFonts w:ascii="Arial" w:cs="Arial" w:eastAsia="Arial" w:hAnsi="Arial"/>
                <w:sz w:val="14"/>
                <w:szCs w:val="14"/>
                <w:color w:val="auto"/>
              </w:rPr>
              <w:t>Huntersville, NC 28078</w:t>
            </w:r>
          </w:p>
        </w:tc>
        <w:tc>
          <w:tcPr>
            <w:tcW w:w="27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20"/>
        </w:trPr>
        <w:tc>
          <w:tcPr>
            <w:tcW w:w="3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Zips Car Wash, LLC</w:t>
            </w:r>
          </w:p>
        </w:tc>
        <w:tc>
          <w:tcPr>
            <w:tcW w:w="2700" w:type="dxa"/>
            <w:vAlign w:val="bottom"/>
            <w:shd w:val="clear" w:color="auto" w:fill="CCEEFF"/>
          </w:tcPr>
          <w:p>
            <w:pPr>
              <w:jc w:val="center"/>
              <w:ind w:left="608"/>
              <w:spacing w:after="0" w:line="130" w:lineRule="exact"/>
              <w:rPr>
                <w:sz w:val="20"/>
                <w:szCs w:val="20"/>
                <w:color w:val="auto"/>
              </w:rPr>
            </w:pPr>
            <w:r>
              <w:rPr>
                <w:rFonts w:ascii="Arial" w:cs="Arial" w:eastAsia="Arial" w:hAnsi="Arial"/>
                <w:sz w:val="14"/>
                <w:szCs w:val="14"/>
                <w:color w:val="auto"/>
                <w:w w:val="96"/>
              </w:rPr>
              <w:t>Automobiles</w:t>
            </w:r>
          </w:p>
        </w:tc>
        <w:tc>
          <w:tcPr>
            <w:tcW w:w="2340" w:type="dxa"/>
            <w:vAlign w:val="bottom"/>
            <w:shd w:val="clear" w:color="auto" w:fill="CCEEFF"/>
          </w:tcPr>
          <w:p>
            <w:pPr>
              <w:jc w:val="center"/>
              <w:ind w:right="128"/>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688"/>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13,092</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1809 East Parker Road</w:t>
            </w:r>
          </w:p>
        </w:tc>
        <w:tc>
          <w:tcPr>
            <w:tcW w:w="2700" w:type="dxa"/>
            <w:vAlign w:val="bottom"/>
            <w:shd w:val="clear" w:color="auto" w:fill="CCEEFF"/>
          </w:tcPr>
          <w:p>
            <w:pPr>
              <w:spacing w:after="0"/>
              <w:rPr>
                <w:sz w:val="12"/>
                <w:szCs w:val="12"/>
                <w:color w:val="auto"/>
              </w:rPr>
            </w:pPr>
          </w:p>
        </w:tc>
        <w:tc>
          <w:tcPr>
            <w:tcW w:w="2340" w:type="dxa"/>
            <w:vAlign w:val="bottom"/>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5"/>
              </w:rPr>
              <w:t>3M L+725, 03/01/2024</w:t>
            </w: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Jonesboro, AR 72404</w:t>
            </w:r>
          </w:p>
        </w:tc>
        <w:tc>
          <w:tcPr>
            <w:tcW w:w="27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57"/>
        </w:trPr>
        <w:tc>
          <w:tcPr>
            <w:tcW w:w="3840" w:type="dxa"/>
            <w:vAlign w:val="bottom"/>
          </w:tcPr>
          <w:p>
            <w:pPr>
              <w:spacing w:after="0"/>
              <w:rPr>
                <w:sz w:val="20"/>
                <w:szCs w:val="20"/>
                <w:color w:val="auto"/>
              </w:rPr>
            </w:pPr>
            <w:r>
              <w:rPr>
                <w:rFonts w:ascii="Arial" w:cs="Arial" w:eastAsia="Arial" w:hAnsi="Arial"/>
                <w:sz w:val="14"/>
                <w:szCs w:val="14"/>
                <w:b w:val="1"/>
                <w:bCs w:val="1"/>
                <w:color w:val="auto"/>
              </w:rPr>
              <w:t>Companies 25% or More Owned</w:t>
            </w:r>
          </w:p>
        </w:tc>
        <w:tc>
          <w:tcPr>
            <w:tcW w:w="27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2700" w:type="dxa"/>
            <w:vAlign w:val="bottom"/>
            <w:shd w:val="clear" w:color="auto" w:fill="CCEEFF"/>
          </w:tcPr>
          <w:p>
            <w:pPr>
              <w:jc w:val="center"/>
              <w:ind w:left="608"/>
              <w:spacing w:after="0" w:line="130" w:lineRule="exact"/>
              <w:rPr>
                <w:sz w:val="20"/>
                <w:szCs w:val="20"/>
                <w:color w:val="auto"/>
              </w:rPr>
            </w:pPr>
            <w:r>
              <w:rPr>
                <w:rFonts w:ascii="Arial" w:cs="Arial" w:eastAsia="Arial" w:hAnsi="Arial"/>
                <w:sz w:val="14"/>
                <w:szCs w:val="14"/>
                <w:color w:val="auto"/>
                <w:w w:val="96"/>
              </w:rPr>
              <w:t>Media: Diversified and</w:t>
            </w:r>
          </w:p>
        </w:tc>
        <w:tc>
          <w:tcPr>
            <w:tcW w:w="2340" w:type="dxa"/>
            <w:vAlign w:val="bottom"/>
            <w:shd w:val="clear" w:color="auto" w:fill="CCEEFF"/>
          </w:tcPr>
          <w:p>
            <w:pPr>
              <w:jc w:val="center"/>
              <w:ind w:right="128"/>
              <w:spacing w:after="0" w:line="130" w:lineRule="exact"/>
              <w:rPr>
                <w:sz w:val="20"/>
                <w:szCs w:val="20"/>
                <w:color w:val="auto"/>
              </w:rPr>
            </w:pPr>
            <w:r>
              <w:rPr>
                <w:rFonts w:ascii="Arial" w:cs="Arial" w:eastAsia="Arial" w:hAnsi="Arial"/>
                <w:sz w:val="14"/>
                <w:szCs w:val="14"/>
                <w:color w:val="auto"/>
                <w:w w:val="93"/>
              </w:rPr>
              <w:t>First Lien Secured Debt(4),</w:t>
            </w:r>
          </w:p>
        </w:tc>
        <w:tc>
          <w:tcPr>
            <w:tcW w:w="12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32.6%(3)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31,389</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MPE Holdings, LLC(5))</w:t>
            </w:r>
          </w:p>
        </w:tc>
        <w:tc>
          <w:tcPr>
            <w:tcW w:w="2700" w:type="dxa"/>
            <w:vAlign w:val="bottom"/>
            <w:shd w:val="clear" w:color="auto" w:fill="CCEEFF"/>
          </w:tcPr>
          <w:p>
            <w:pPr>
              <w:jc w:val="center"/>
              <w:ind w:left="608"/>
              <w:spacing w:after="0" w:line="149" w:lineRule="exact"/>
              <w:rPr>
                <w:sz w:val="20"/>
                <w:szCs w:val="20"/>
                <w:color w:val="auto"/>
              </w:rPr>
            </w:pPr>
            <w:r>
              <w:rPr>
                <w:rFonts w:ascii="Arial" w:cs="Arial" w:eastAsia="Arial" w:hAnsi="Arial"/>
                <w:sz w:val="14"/>
                <w:szCs w:val="14"/>
                <w:color w:val="auto"/>
                <w:w w:val="92"/>
              </w:rPr>
              <w:t>Production</w:t>
            </w:r>
          </w:p>
        </w:tc>
        <w:tc>
          <w:tcPr>
            <w:tcW w:w="2340" w:type="dxa"/>
            <w:vAlign w:val="bottom"/>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7"/>
              </w:rPr>
              <w:t>3M L+525 (PIK 5.25%),</w:t>
            </w: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2700" w:type="dxa"/>
            <w:vAlign w:val="bottom"/>
            <w:shd w:val="clear" w:color="auto" w:fill="CCEEFF"/>
          </w:tcPr>
          <w:p>
            <w:pPr>
              <w:spacing w:after="0"/>
              <w:rPr>
                <w:sz w:val="12"/>
                <w:szCs w:val="12"/>
                <w:color w:val="auto"/>
              </w:rPr>
            </w:pPr>
          </w:p>
        </w:tc>
        <w:tc>
          <w:tcPr>
            <w:tcW w:w="2340" w:type="dxa"/>
            <w:vAlign w:val="bottom"/>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4"/>
              </w:rPr>
              <w:t>09/30/2026</w:t>
            </w: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2700" w:type="dxa"/>
            <w:vAlign w:val="bottom"/>
            <w:shd w:val="clear" w:color="auto" w:fill="CCEEFF"/>
          </w:tcPr>
          <w:p>
            <w:pPr>
              <w:spacing w:after="0"/>
              <w:rPr>
                <w:sz w:val="15"/>
                <w:szCs w:val="15"/>
                <w:color w:val="auto"/>
              </w:rPr>
            </w:pPr>
          </w:p>
        </w:tc>
        <w:tc>
          <w:tcPr>
            <w:tcW w:w="23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4"/>
              </w:rPr>
              <w:t>Common Equity</w:t>
            </w: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8"/>
        </w:trPr>
        <w:tc>
          <w:tcPr>
            <w:tcW w:w="3840" w:type="dxa"/>
            <w:vAlign w:val="bottom"/>
          </w:tcPr>
          <w:p>
            <w:pPr>
              <w:spacing w:after="0"/>
              <w:rPr>
                <w:sz w:val="20"/>
                <w:szCs w:val="20"/>
                <w:color w:val="auto"/>
              </w:rPr>
            </w:pPr>
            <w:r>
              <w:rPr>
                <w:rFonts w:ascii="Arial" w:cs="Arial" w:eastAsia="Arial" w:hAnsi="Arial"/>
                <w:sz w:val="14"/>
                <w:szCs w:val="14"/>
                <w:color w:val="auto"/>
              </w:rPr>
              <w:t>PennantPark Senior Secured Loan Fund I, LLC(6)</w:t>
            </w:r>
          </w:p>
        </w:tc>
        <w:tc>
          <w:tcPr>
            <w:tcW w:w="2700" w:type="dxa"/>
            <w:vAlign w:val="bottom"/>
          </w:tcPr>
          <w:p>
            <w:pPr>
              <w:jc w:val="center"/>
              <w:ind w:left="608"/>
              <w:spacing w:after="0"/>
              <w:rPr>
                <w:sz w:val="20"/>
                <w:szCs w:val="20"/>
                <w:color w:val="auto"/>
              </w:rPr>
            </w:pPr>
            <w:r>
              <w:rPr>
                <w:rFonts w:ascii="Arial" w:cs="Arial" w:eastAsia="Arial" w:hAnsi="Arial"/>
                <w:sz w:val="14"/>
                <w:szCs w:val="14"/>
                <w:color w:val="auto"/>
                <w:w w:val="93"/>
              </w:rPr>
              <w:t>Financial Services</w:t>
            </w:r>
          </w:p>
        </w:tc>
        <w:tc>
          <w:tcPr>
            <w:tcW w:w="2340" w:type="dxa"/>
            <w:vAlign w:val="bottom"/>
          </w:tcPr>
          <w:p>
            <w:pPr>
              <w:jc w:val="center"/>
              <w:ind w:right="128"/>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50.0%(3)</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239,615</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1691 Michigan Avenue</w:t>
            </w:r>
          </w:p>
        </w:tc>
        <w:tc>
          <w:tcPr>
            <w:tcW w:w="2700" w:type="dxa"/>
            <w:vAlign w:val="bottom"/>
          </w:tcPr>
          <w:p>
            <w:pPr>
              <w:spacing w:after="0"/>
              <w:rPr>
                <w:sz w:val="12"/>
                <w:szCs w:val="12"/>
                <w:color w:val="auto"/>
              </w:rPr>
            </w:pPr>
          </w:p>
        </w:tc>
        <w:tc>
          <w:tcPr>
            <w:tcW w:w="23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5"/>
              </w:rPr>
              <w:t>3M L+800, 05/06/2024</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1"/>
        </w:trPr>
        <w:tc>
          <w:tcPr>
            <w:tcW w:w="3840" w:type="dxa"/>
            <w:vAlign w:val="bottom"/>
          </w:tcPr>
          <w:p>
            <w:pPr>
              <w:spacing w:after="0"/>
              <w:rPr>
                <w:sz w:val="20"/>
                <w:szCs w:val="20"/>
                <w:color w:val="auto"/>
              </w:rPr>
            </w:pPr>
            <w:r>
              <w:rPr>
                <w:rFonts w:ascii="Arial" w:cs="Arial" w:eastAsia="Arial" w:hAnsi="Arial"/>
                <w:sz w:val="14"/>
                <w:szCs w:val="14"/>
                <w:color w:val="auto"/>
              </w:rPr>
              <w:t>Miami, FL 33139</w:t>
            </w:r>
          </w:p>
        </w:tc>
        <w:tc>
          <w:tcPr>
            <w:tcW w:w="2700" w:type="dxa"/>
            <w:vAlign w:val="bottom"/>
          </w:tcPr>
          <w:p>
            <w:pPr>
              <w:spacing w:after="0"/>
              <w:rPr>
                <w:sz w:val="17"/>
                <w:szCs w:val="17"/>
                <w:color w:val="auto"/>
              </w:rPr>
            </w:pPr>
          </w:p>
        </w:tc>
        <w:tc>
          <w:tcPr>
            <w:tcW w:w="2340" w:type="dxa"/>
            <w:vAlign w:val="bottom"/>
          </w:tcPr>
          <w:p>
            <w:pPr>
              <w:jc w:val="center"/>
              <w:ind w:right="128"/>
              <w:spacing w:after="0"/>
              <w:rPr>
                <w:sz w:val="20"/>
                <w:szCs w:val="20"/>
                <w:color w:val="auto"/>
              </w:rPr>
            </w:pPr>
            <w:r>
              <w:rPr>
                <w:rFonts w:ascii="Arial" w:cs="Arial" w:eastAsia="Arial" w:hAnsi="Arial"/>
                <w:sz w:val="14"/>
                <w:szCs w:val="14"/>
                <w:color w:val="auto"/>
                <w:w w:val="94"/>
              </w:rPr>
              <w:t>Common Equity</w:t>
            </w:r>
          </w:p>
        </w:tc>
        <w:tc>
          <w:tcPr>
            <w:tcW w:w="1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7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1,164,254</w:t>
            </w:r>
          </w:p>
        </w:tc>
        <w:tc>
          <w:tcPr>
            <w:tcW w:w="40" w:type="dxa"/>
            <w:vAlign w:val="bottom"/>
            <w:shd w:val="clear" w:color="auto" w:fill="CCEEFF"/>
          </w:tcPr>
          <w:p>
            <w:pPr>
              <w:spacing w:after="0"/>
              <w:rPr>
                <w:sz w:val="12"/>
                <w:szCs w:val="12"/>
                <w:color w:val="auto"/>
              </w:rPr>
            </w:pPr>
          </w:p>
        </w:tc>
      </w:tr>
      <w:tr>
        <w:trPr>
          <w:trHeight w:val="20"/>
        </w:trPr>
        <w:tc>
          <w:tcPr>
            <w:tcW w:w="3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44" w:right="40" w:hanging="444"/>
        <w:spacing w:after="0" w:line="224"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disclosed are the actual interest rate in effect as 09/30/2022. LIBOR loans are typically indexed to a 30-day, 90-day or 180-day LIBOR rate (1M L, 3M L, or 6M L, respectively), and EURIBOR loans are typically indexed to a 90-day EURIBOR rate (3M E), SOFR loans are typically indexed to a 30-day, 90-day or 180-day SOFR rates (1M L, 3M L, or 6M L, respectively) at the borrower’s option. All securities are subject to a LIBOR, SOFR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rPr>
      </w:pPr>
    </w:p>
    <w:p>
      <w:pPr>
        <w:ind w:left="444" w:hanging="444"/>
        <w:spacing w:after="0" w:line="221"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444" w:hanging="444"/>
        <w:spacing w:after="0" w:line="221"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444" w:right="60" w:hanging="444"/>
        <w:spacing w:after="0" w:line="221"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44" w:hanging="444"/>
        <w:spacing w:after="0" w:line="221"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444" w:right="440" w:hanging="444"/>
        <w:spacing w:after="0" w:line="221" w:lineRule="auto"/>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the Company’s total assets and non-qualifying assets represent 19% of the Company’s total assets.</w:t>
      </w:r>
    </w:p>
    <w:p>
      <w:pPr>
        <w:ind w:left="444" w:hanging="444"/>
        <w:spacing w:after="0"/>
        <w:tabs>
          <w:tab w:leader="none" w:pos="4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496" w:right="439" w:bottom="1440" w:gutter="0" w:footer="0" w:header="0"/>
          <w:type w:val="continuous"/>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Set forth below is a brief description of each portfolio company in which we have made an investment that represents greater than 5% of our total assets as of September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PennantParkSenior Secured Loan Fund I, LLC (Financial Services)</w:t>
      </w:r>
    </w:p>
    <w:p>
      <w:pPr>
        <w:spacing w:after="0" w:line="11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PSSL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000" w:type="dxa"/>
            <w:vAlign w:val="bottom"/>
            <w:gridSpan w:val="3"/>
          </w:tcPr>
          <w:p>
            <w:pPr>
              <w:jc w:val="center"/>
              <w:ind w:left="711"/>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8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2022(1)</w:t>
            </w:r>
          </w:p>
        </w:tc>
        <w:tc>
          <w:tcPr>
            <w:tcW w:w="116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2021(1)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79"/>
              </w:rPr>
              <w:t>Professional Services</w:t>
            </w:r>
          </w:p>
        </w:tc>
        <w:tc>
          <w:tcPr>
            <w:tcW w:w="27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Media</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7</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Products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7</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IT Services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6</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5</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5</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5</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4</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4</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Diversified Consumer Services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4</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Technology</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4</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3</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3</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w w:val="98"/>
              </w:rPr>
              <w:t>Electronic Equipment, Instruments, and Components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3</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Providers and Service</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3</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Distributors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Financial Services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Healthcare Equipment and Supplies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2</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 Freight and Logistics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Automobiles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Equipment and Services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Products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Hotels, Restaurants and Leisure</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Products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Textiles, Apparel and Luxury Goods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1</w:t>
            </w:r>
          </w:p>
        </w:tc>
        <w:tc>
          <w:tcPr>
            <w:tcW w:w="1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Construction &amp; Engineering</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0</w:t>
            </w:r>
          </w:p>
        </w:tc>
        <w:tc>
          <w:tcPr>
            <w:tcW w:w="1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400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60" w:type="dxa"/>
            <w:vAlign w:val="bottom"/>
          </w:tcPr>
          <w:p>
            <w:pPr>
              <w:jc w:val="right"/>
              <w:ind w:right="1331"/>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517" w:right="51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2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2022(1)</w:t>
            </w:r>
          </w:p>
        </w:tc>
        <w:tc>
          <w:tcPr>
            <w:tcW w:w="18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Media: Advertising,</w:t>
            </w: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Printing and Publishing</w:t>
            </w:r>
          </w:p>
        </w:tc>
        <w:tc>
          <w:tcPr>
            <w:tcW w:w="1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40"/>
          </w:cols>
          <w:pgMar w:left="440" w:top="496" w:right="13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PORTFOLIO MANAGEMENT</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6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513" w:right="479" w:bottom="1440" w:gutter="0" w:footer="0" w:header="0"/>
        </w:sectPr>
      </w:pPr>
    </w:p>
    <w:bookmarkStart w:id="51" w:name="page52"/>
    <w:bookmarkEnd w:id="51"/>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88"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6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2022, our portfolio managers also managed investments on behalf of the following entities: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20" w:type="dxa"/>
            <w:vAlign w:val="bottom"/>
            <w:vMerge w:val="restart"/>
          </w:tcPr>
          <w:p>
            <w:pPr>
              <w:spacing w:after="0"/>
              <w:rPr>
                <w:sz w:val="14"/>
                <w:szCs w:val="14"/>
                <w:color w:val="auto"/>
              </w:rPr>
            </w:pPr>
          </w:p>
        </w:tc>
        <w:tc>
          <w:tcPr>
            <w:tcW w:w="18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35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Investment Focus</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Gross Assets</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5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in millions)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PennantPark Investment Corporation</w:t>
            </w:r>
          </w:p>
        </w:tc>
        <w:tc>
          <w:tcPr>
            <w:tcW w:w="1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Business development</w:t>
            </w:r>
          </w:p>
        </w:tc>
        <w:tc>
          <w:tcPr>
            <w:tcW w:w="20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Primarily in U.S. middle market companies in</w:t>
            </w:r>
          </w:p>
        </w:tc>
        <w:tc>
          <w:tcPr>
            <w:tcW w:w="1260" w:type="dxa"/>
            <w:vAlign w:val="bottom"/>
            <w:gridSpan w:val="3"/>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4"/>
              </w:rPr>
              <w:t>the form of first lien secured loans, second lien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secured debt, subordinated debt and equity</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color w:val="auto"/>
              </w:rPr>
              <w:t>PennantPark Senior Secured Loan Fund I LLC</w:t>
            </w:r>
          </w:p>
        </w:tc>
        <w:tc>
          <w:tcPr>
            <w:tcW w:w="186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Primarily Floating Rate Loans, with an emphasis</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on senior secured loans, in middle-market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leveraged companies.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180" w:type="dxa"/>
            <w:vAlign w:val="bottom"/>
            <w:gridSpan w:val="2"/>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Senior Loan Fund, LLC</w:t>
            </w: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Joint Venture</w:t>
            </w:r>
          </w:p>
        </w:tc>
        <w:tc>
          <w:tcPr>
            <w:tcW w:w="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Primarily invests in middle-market and other</w:t>
            </w:r>
          </w:p>
        </w:tc>
        <w:tc>
          <w:tcPr>
            <w:tcW w:w="12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consistent with PennantPark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Investment Corporation’s strategy.</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rPr>
              <w:t>Other Managed Funds</w:t>
            </w:r>
          </w:p>
        </w:tc>
        <w:tc>
          <w:tcPr>
            <w:tcW w:w="1860" w:type="dxa"/>
            <w:vAlign w:val="bottom"/>
          </w:tcPr>
          <w:p>
            <w:pPr>
              <w:spacing w:after="0"/>
              <w:rPr>
                <w:sz w:val="20"/>
                <w:szCs w:val="20"/>
                <w:color w:val="auto"/>
              </w:rPr>
            </w:pPr>
            <w:r>
              <w:rPr>
                <w:rFonts w:ascii="Arial" w:cs="Arial" w:eastAsia="Arial" w:hAnsi="Arial"/>
                <w:sz w:val="18"/>
                <w:szCs w:val="18"/>
                <w:color w:val="auto"/>
              </w:rPr>
              <w:t>Direct Lending Funds</w:t>
            </w:r>
          </w:p>
        </w:tc>
        <w:tc>
          <w:tcPr>
            <w:tcW w:w="20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credit opportunities</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60" w:type="dxa"/>
            <w:vAlign w:val="bottom"/>
          </w:tcPr>
          <w:p>
            <w:pPr>
              <w:ind w:left="12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7" w:right="439" w:bottom="1440" w:gutter="0" w:footer="0" w:header="0"/>
        </w:sectPr>
      </w:pPr>
    </w:p>
    <w:bookmarkStart w:id="52" w:name="page53"/>
    <w:bookmarkEnd w:id="52"/>
    <w:p>
      <w:pPr>
        <w:ind w:left="4"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following table sets forth the dollar range of our common stock beneficially owned by each of our senior investment professionals as of September 30, 2022.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882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 of</w:t>
            </w:r>
          </w:p>
        </w:tc>
      </w:tr>
      <w:tr>
        <w:trPr>
          <w:trHeight w:val="149"/>
        </w:trPr>
        <w:tc>
          <w:tcPr>
            <w:tcW w:w="882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PennantPark Floating</w:t>
            </w:r>
          </w:p>
        </w:tc>
      </w:tr>
      <w:tr>
        <w:trPr>
          <w:trHeight w:val="171"/>
        </w:trPr>
        <w:tc>
          <w:tcPr>
            <w:tcW w:w="88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Capital Ltd. (1)</w:t>
            </w:r>
          </w:p>
        </w:tc>
        <w:tc>
          <w:tcPr>
            <w:tcW w:w="60" w:type="dxa"/>
            <w:vAlign w:val="bottom"/>
          </w:tcPr>
          <w:p>
            <w:pPr>
              <w:spacing w:after="0"/>
              <w:rPr>
                <w:sz w:val="14"/>
                <w:szCs w:val="14"/>
                <w:color w:val="auto"/>
              </w:rPr>
            </w:pPr>
          </w:p>
        </w:tc>
      </w:tr>
      <w:tr>
        <w:trPr>
          <w:trHeight w:val="209"/>
        </w:trPr>
        <w:tc>
          <w:tcPr>
            <w:tcW w:w="88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Arthur H. Penn</w:t>
            </w:r>
            <w:r>
              <w:rPr>
                <w:rFonts w:ascii="Arial" w:cs="Arial" w:eastAsia="Arial" w:hAnsi="Arial"/>
                <w:sz w:val="24"/>
                <w:szCs w:val="24"/>
                <w:color w:val="auto"/>
                <w:vertAlign w:val="superscript"/>
              </w:rPr>
              <w:t>(2)</w:t>
            </w:r>
          </w:p>
        </w:tc>
        <w:tc>
          <w:tcPr>
            <w:tcW w:w="2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Over $1,000,000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José A. Briones</w:t>
            </w:r>
          </w:p>
        </w:tc>
        <w:tc>
          <w:tcPr>
            <w:tcW w:w="2200" w:type="dxa"/>
            <w:vAlign w:val="bottom"/>
            <w:gridSpan w:val="2"/>
          </w:tcPr>
          <w:p>
            <w:pPr>
              <w:ind w:left="920"/>
              <w:spacing w:after="0"/>
              <w:rPr>
                <w:sz w:val="20"/>
                <w:szCs w:val="20"/>
                <w:color w:val="auto"/>
              </w:rPr>
            </w:pPr>
            <w:r>
              <w:rPr>
                <w:rFonts w:ascii="Arial" w:cs="Arial" w:eastAsia="Arial" w:hAnsi="Arial"/>
                <w:sz w:val="18"/>
                <w:szCs w:val="18"/>
                <w:color w:val="auto"/>
                <w:w w:val="93"/>
              </w:rPr>
              <w:t>Over $1,000,000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2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Over $1,000,000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Ryan Raskopf</w:t>
            </w:r>
          </w:p>
        </w:tc>
        <w:tc>
          <w:tcPr>
            <w:tcW w:w="2140" w:type="dxa"/>
            <w:vAlign w:val="bottom"/>
          </w:tcPr>
          <w:p>
            <w:pPr>
              <w:jc w:val="right"/>
              <w:spacing w:after="0"/>
              <w:rPr>
                <w:sz w:val="20"/>
                <w:szCs w:val="20"/>
                <w:color w:val="auto"/>
              </w:rPr>
            </w:pPr>
            <w:r>
              <w:rPr>
                <w:rFonts w:ascii="Arial" w:cs="Arial" w:eastAsia="Arial" w:hAnsi="Arial"/>
                <w:sz w:val="18"/>
                <w:szCs w:val="18"/>
                <w:color w:val="auto"/>
              </w:rPr>
              <w:t>$100,001 - $500,000</w:t>
            </w:r>
          </w:p>
        </w:tc>
        <w:tc>
          <w:tcPr>
            <w:tcW w:w="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Dan Horn</w:t>
            </w:r>
          </w:p>
        </w:tc>
        <w:tc>
          <w:tcPr>
            <w:tcW w:w="2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Over $1,000,000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James Stone</w:t>
            </w:r>
          </w:p>
        </w:tc>
        <w:tc>
          <w:tcPr>
            <w:tcW w:w="2140" w:type="dxa"/>
            <w:vAlign w:val="bottom"/>
          </w:tcPr>
          <w:p>
            <w:pPr>
              <w:jc w:val="right"/>
              <w:spacing w:after="0"/>
              <w:rPr>
                <w:sz w:val="20"/>
                <w:szCs w:val="20"/>
                <w:color w:val="auto"/>
              </w:rPr>
            </w:pPr>
            <w:r>
              <w:rPr>
                <w:rFonts w:ascii="Arial" w:cs="Arial" w:eastAsia="Arial" w:hAnsi="Arial"/>
                <w:sz w:val="18"/>
                <w:szCs w:val="18"/>
                <w:color w:val="auto"/>
              </w:rPr>
              <w:t>$10,001 - $50,000</w:t>
            </w:r>
          </w:p>
        </w:tc>
        <w:tc>
          <w:tcPr>
            <w:tcW w:w="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Steve Winograd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$500,001 - $1,000,000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44" w:right="660" w:hanging="444"/>
        <w:spacing w:after="0" w:line="342" w:lineRule="auto"/>
        <w:tabs>
          <w:tab w:leader="none" w:pos="4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spacing w:after="0" w:line="29" w:lineRule="exact"/>
        <w:rPr>
          <w:rFonts w:ascii="Arial" w:cs="Arial" w:eastAsia="Arial" w:hAnsi="Arial"/>
          <w:sz w:val="16"/>
          <w:szCs w:val="16"/>
          <w:color w:val="auto"/>
        </w:rPr>
      </w:pPr>
    </w:p>
    <w:p>
      <w:pPr>
        <w:ind w:left="444" w:hanging="444"/>
        <w:spacing w:after="0"/>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517" w:right="4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DETERMINATION OF NET ASSET VALUE</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7" w:lineRule="exact"/>
        <w:rPr>
          <w:sz w:val="20"/>
          <w:szCs w:val="20"/>
          <w:color w:val="auto"/>
        </w:rPr>
      </w:pPr>
    </w:p>
    <w:p>
      <w:pPr>
        <w:ind w:left="98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80" w:right="160" w:hanging="544"/>
        <w:spacing w:after="0" w:line="27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80" w:right="80" w:hanging="544"/>
        <w:spacing w:after="0" w:line="31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980" w:right="14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513" w:right="439" w:bottom="1440" w:gutter="0" w:footer="0" w:header="0"/>
        </w:sectPr>
      </w:pPr>
    </w:p>
    <w:bookmarkStart w:id="54" w:name="page55"/>
    <w:bookmarkEnd w:id="5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To the extent we invest in derivative instruments in the future, such instruments would be valued in accordance with our valuation policy.</w:t>
      </w:r>
    </w:p>
    <w:p>
      <w:pPr>
        <w:spacing w:after="0" w:line="23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420" w:right="320" w:hanging="990"/>
        <w:spacing w:after="0" w:line="277" w:lineRule="auto"/>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76" w:lineRule="exact"/>
        <w:rPr>
          <w:sz w:val="20"/>
          <w:szCs w:val="20"/>
          <w:color w:val="auto"/>
        </w:rPr>
      </w:pPr>
    </w:p>
    <w:p>
      <w:pPr>
        <w:ind w:left="1420" w:right="140" w:hanging="990"/>
        <w:spacing w:after="0" w:line="263"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9" w:lineRule="exact"/>
        <w:rPr>
          <w:sz w:val="20"/>
          <w:szCs w:val="20"/>
          <w:color w:val="auto"/>
        </w:rPr>
      </w:pPr>
    </w:p>
    <w:p>
      <w:pPr>
        <w:ind w:left="1420" w:right="160" w:hanging="990"/>
        <w:spacing w:after="0" w:line="277"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our 2031 Asset-Backed Debt and the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6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517" w:right="45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directors decides that such an offering is in the best interests of our common stockholders. Our board of directors will consider the following factors, among others, in making such determination:</w:t>
      </w:r>
    </w:p>
    <w:p>
      <w:pPr>
        <w:spacing w:after="0" w:line="76" w:lineRule="exact"/>
        <w:rPr>
          <w:sz w:val="20"/>
          <w:szCs w:val="20"/>
          <w:color w:val="auto"/>
        </w:rPr>
      </w:pPr>
    </w:p>
    <w:p>
      <w:pPr>
        <w:ind w:left="980" w:hanging="43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80" w:right="40" w:hanging="433"/>
        <w:spacing w:after="0" w:line="31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54" w:lineRule="exact"/>
        <w:rPr>
          <w:rFonts w:ascii="Arial" w:cs="Arial" w:eastAsia="Arial" w:hAnsi="Arial"/>
          <w:sz w:val="16"/>
          <w:szCs w:val="16"/>
          <w:color w:val="auto"/>
        </w:rPr>
      </w:pPr>
    </w:p>
    <w:p>
      <w:pPr>
        <w:ind w:left="980" w:right="40" w:hanging="433"/>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980" w:hanging="43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80" w:hanging="433"/>
        <w:spacing w:after="0" w:line="27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40" w:top="517" w:right="5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CAPITAL STOCK</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As of September 30, 2022, our authorized capital stock consisted of 100,000,000 shares of stock, par value $0.001 per share, all of which is classified as common stock. Our common stock is quoted on The New York Stock Exchange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December 13, 2022 was $11.44 per share. As of September 30, 2022, we had 37 stockholders of record.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our outstanding classes of securities as of November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4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100,000,000</w:t>
            </w: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45,345,638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513" w:right="439" w:bottom="1440" w:gutter="0" w:footer="0" w:header="0"/>
        </w:sectPr>
      </w:pPr>
    </w:p>
    <w:bookmarkStart w:id="57" w:name="page58"/>
    <w:bookmarkEnd w:id="57"/>
    <w:p>
      <w:pPr>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68"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517"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Provisions of the Maryland General Corporation Law and our Charter and Bylaws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2024, 2025 and 2023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513"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Advance notice provisions for stockholder nominations and stockholder proposals</w:t>
      </w:r>
    </w:p>
    <w:p>
      <w:pPr>
        <w:spacing w:after="0" w:line="1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517" w:right="479" w:bottom="1440" w:gutter="0" w:footer="0" w:header="0"/>
        </w:sectPr>
      </w:pPr>
    </w:p>
    <w:bookmarkStart w:id="60" w:name="page61"/>
    <w:bookmarkEnd w:id="60"/>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can be no assurance that such provision will not be amended or eliminated at any time in the future to the extent permitted by the 1940 Act.</w:t>
      </w:r>
    </w:p>
    <w:p>
      <w:pPr>
        <w:spacing w:after="0" w:line="24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980" w:hanging="43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517" w:right="459" w:bottom="1440" w:gutter="0" w:footer="0" w:header="0"/>
        </w:sectPr>
      </w:pPr>
    </w:p>
    <w:bookmarkStart w:id="61" w:name="page62"/>
    <w:bookmarkEnd w:id="6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80" w:hanging="43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980" w:right="400" w:hanging="433"/>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80" w:hanging="43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80" w:right="80" w:hanging="433"/>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517" w:right="45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Exclusive Forum</w:t>
      </w:r>
    </w:p>
    <w:p>
      <w:pPr>
        <w:spacing w:after="0" w:line="117"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w:t>
      </w:r>
    </w:p>
    <w:p>
      <w:pPr>
        <w:spacing w:after="0" w:line="1" w:lineRule="exact"/>
        <w:rPr>
          <w:sz w:val="20"/>
          <w:szCs w:val="20"/>
          <w:color w:val="auto"/>
        </w:rPr>
      </w:pPr>
    </w:p>
    <w:p>
      <w:pPr>
        <w:ind w:left="4" w:hanging="4"/>
        <w:spacing w:after="0" w:line="29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374"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984" w:hanging="433"/>
        <w:spacing w:after="0"/>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84" w:right="80" w:hanging="433"/>
        <w:spacing w:after="0" w:line="277" w:lineRule="auto"/>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984" w:hanging="433"/>
        <w:spacing w:after="0"/>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984" w:hanging="433"/>
        <w:spacing w:after="0"/>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517" w:right="479" w:bottom="1440" w:gutter="0" w:footer="0" w:header="0"/>
        </w:sectPr>
      </w:pPr>
    </w:p>
    <w:bookmarkStart w:id="63" w:name="page64"/>
    <w:bookmarkEnd w:id="63"/>
    <w:p>
      <w:pPr>
        <w:ind w:left="980" w:hanging="433"/>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any provisions relating to the redemption of the shares of such series;</w:t>
      </w:r>
    </w:p>
    <w:p>
      <w:pPr>
        <w:spacing w:after="0" w:line="130" w:lineRule="exact"/>
        <w:rPr>
          <w:rFonts w:ascii="Arial" w:cs="Arial" w:eastAsia="Arial" w:hAnsi="Arial"/>
          <w:sz w:val="18"/>
          <w:szCs w:val="18"/>
          <w:color w:val="auto"/>
        </w:rPr>
      </w:pPr>
    </w:p>
    <w:p>
      <w:pPr>
        <w:ind w:left="980" w:right="160" w:hanging="433"/>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80" w:hanging="43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980" w:right="40" w:hanging="433"/>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ind w:left="980" w:right="40" w:hanging="433"/>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517" w:right="459" w:bottom="1440" w:gutter="0" w:footer="0" w:header="0"/>
        </w:sectPr>
      </w:pPr>
    </w:p>
    <w:bookmarkStart w:id="64" w:name="page65"/>
    <w:bookmarkEnd w:id="64"/>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4"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517" w:right="459" w:bottom="1440" w:gutter="0" w:footer="0" w:header="0"/>
        </w:sectPr>
      </w:pPr>
    </w:p>
    <w:bookmarkStart w:id="65" w:name="page66"/>
    <w:bookmarkEnd w:id="65"/>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980" w:hanging="43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980" w:right="60" w:hanging="433"/>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80" w:right="80" w:hanging="433"/>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80" w:right="440" w:hanging="433"/>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22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517" w:right="4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DEBT SECURITIES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American Stock Transfer &amp; Trust Company, LLC, or AST, as trustee, as supplemented by the First Supplemental Indenture, dated March 23, 2021, between the Company and AST. The 2026 Notes are due on April 1, 2026 and may be redeemed in whole or in part at the Company’s option.</w:t>
      </w:r>
    </w:p>
    <w:p>
      <w:pPr>
        <w:spacing w:after="0" w:line="188"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66"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513" w:right="459" w:bottom="1440" w:gutter="0" w:footer="0" w:header="0"/>
        </w:sectPr>
      </w:pPr>
    </w:p>
    <w:bookmarkStart w:id="67" w:name="page68"/>
    <w:bookmarkEnd w:id="67"/>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6" w:lineRule="exact"/>
        <w:rPr>
          <w:sz w:val="20"/>
          <w:szCs w:val="20"/>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80" w:right="160" w:hanging="433"/>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980" w:right="60" w:hanging="433"/>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80" w:right="140" w:hanging="433"/>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original issue discount, or OID;</w:t>
      </w:r>
    </w:p>
    <w:p>
      <w:pPr>
        <w:spacing w:after="0" w:line="75" w:lineRule="exact"/>
        <w:rPr>
          <w:rFonts w:ascii="Arial" w:cs="Arial" w:eastAsia="Arial" w:hAnsi="Arial"/>
          <w:sz w:val="18"/>
          <w:szCs w:val="18"/>
          <w:color w:val="auto"/>
        </w:rPr>
      </w:pPr>
    </w:p>
    <w:p>
      <w:pPr>
        <w:ind w:left="980" w:right="20" w:hanging="433"/>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517" w:right="459" w:bottom="1440" w:gutter="0" w:footer="0" w:header="0"/>
        </w:sectPr>
      </w:pPr>
    </w:p>
    <w:bookmarkStart w:id="68" w:name="page69"/>
    <w:bookmarkEnd w:id="68"/>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517" w:right="479" w:bottom="1440" w:gutter="0" w:footer="0" w:header="0"/>
        </w:sectPr>
      </w:pPr>
    </w:p>
    <w:bookmarkStart w:id="69" w:name="page70"/>
    <w:bookmarkEnd w:id="69"/>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517" w:right="439" w:bottom="1440" w:gutter="0" w:footer="0" w:header="0"/>
        </w:sectPr>
      </w:pPr>
    </w:p>
    <w:bookmarkStart w:id="70" w:name="page71"/>
    <w:bookmarkEnd w:id="7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80" w:hanging="43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80" w:right="40" w:hanging="433"/>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80" w:right="20" w:hanging="433"/>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440" w:top="517" w:right="539" w:bottom="1440" w:gutter="0" w:footer="0" w:header="0"/>
        </w:sectPr>
      </w:pPr>
    </w:p>
    <w:bookmarkStart w:id="71" w:name="page72"/>
    <w:bookmarkEnd w:id="71"/>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80" w:right="220" w:hanging="433"/>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980" w:right="80" w:hanging="433"/>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980" w:right="180" w:hanging="433"/>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980" w:right="460" w:hanging="433"/>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980" w:right="20" w:hanging="433"/>
        <w:spacing w:after="0" w:line="28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980" w:right="100" w:hanging="433"/>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980" w:right="440" w:hanging="433"/>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980" w:right="120" w:hanging="433"/>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517" w:right="479" w:bottom="1440" w:gutter="0" w:footer="0" w:header="0"/>
        </w:sectPr>
      </w:pPr>
    </w:p>
    <w:bookmarkStart w:id="72" w:name="page73"/>
    <w:bookmarkEnd w:id="72"/>
    <w:p>
      <w:pPr>
        <w:ind w:left="980" w:right="60" w:hanging="433"/>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980" w:right="120" w:hanging="433"/>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517"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Payments on Certificated Securities</w:t>
      </w:r>
    </w:p>
    <w:p>
      <w:pPr>
        <w:spacing w:after="0" w:line="117"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80" w:hanging="43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980" w:right="120" w:hanging="433"/>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517"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Remedies if an Event of Default Occurs</w:t>
      </w:r>
    </w:p>
    <w:p>
      <w:pPr>
        <w:spacing w:after="0" w:line="11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80" w:hanging="43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80" w:right="40" w:hanging="433"/>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51" w:lineRule="exact"/>
        <w:rPr>
          <w:sz w:val="20"/>
          <w:szCs w:val="20"/>
          <w:color w:val="auto"/>
        </w:rPr>
      </w:pPr>
    </w:p>
    <w:p>
      <w:pPr>
        <w:ind w:left="980" w:right="220" w:hanging="433"/>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517" w:right="479" w:bottom="1440" w:gutter="0" w:footer="0" w:header="0"/>
        </w:sectPr>
      </w:pPr>
    </w:p>
    <w:bookmarkStart w:id="75" w:name="page76"/>
    <w:bookmarkEnd w:id="75"/>
    <w:p>
      <w:pPr>
        <w:ind w:left="980" w:hanging="43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immediately after the transaction no event of default will exist;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80" w:right="20" w:hanging="433"/>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80" w:right="100" w:hanging="433"/>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980" w:right="460" w:hanging="433"/>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517" w:right="49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 each case, the required approval must be given by written consent.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80" w:right="660" w:hanging="433"/>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80" w:right="160" w:hanging="433"/>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980" w:right="80" w:hanging="433"/>
        <w:spacing w:after="0" w:line="286"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517" w:right="459" w:bottom="1440" w:gutter="0" w:footer="0" w:header="0"/>
        </w:sectPr>
      </w:pPr>
    </w:p>
    <w:bookmarkStart w:id="77" w:name="page78"/>
    <w:bookmarkEnd w:id="77"/>
    <w:p>
      <w:pPr>
        <w:ind w:left="980" w:right="60" w:hanging="433"/>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80" w:right="80" w:hanging="433"/>
        <w:spacing w:after="0" w:line="286"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80" w:right="40" w:hanging="433"/>
        <w:spacing w:after="0" w:line="273"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980" w:right="340" w:hanging="433"/>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80" w:hanging="433"/>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jc w:val="center"/>
        <w:ind w:left="5420" w:right="700" w:hanging="4873"/>
        <w:spacing w:after="0" w:line="449" w:lineRule="auto"/>
        <w:tabs>
          <w:tab w:leader="none" w:pos="9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 58</w:t>
      </w:r>
    </w:p>
    <w:p>
      <w:pPr>
        <w:sectPr>
          <w:pgSz w:w="11900" w:h="16838" w:orient="portrait"/>
          <w:cols w:equalWidth="0" w:num="1">
            <w:col w:w="11000"/>
          </w:cols>
          <w:pgMar w:left="440" w:top="517" w:right="459" w:bottom="1440" w:gutter="0" w:footer="0" w:header="0"/>
        </w:sectPr>
      </w:pPr>
    </w:p>
    <w:bookmarkStart w:id="78" w:name="page79"/>
    <w:bookmarkEnd w:id="78"/>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517" w:right="459" w:bottom="1440" w:gutter="0" w:footer="0" w:header="0"/>
        </w:sectPr>
      </w:pPr>
    </w:p>
    <w:bookmarkStart w:id="79" w:name="page80"/>
    <w:bookmarkEnd w:id="79"/>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80" w:right="300" w:hanging="433"/>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980" w:hanging="433"/>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and the 2026 Notes. Mishmeret Trust Company, Ltd. serves as trustee for our 2023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517" w:right="4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80" w:hanging="433"/>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80" w:right="40" w:hanging="433"/>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80" w:right="220" w:hanging="433"/>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513" w:right="459" w:bottom="1440" w:gutter="0" w:footer="0" w:header="0"/>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80" w:hanging="433"/>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420" w:right="180" w:hanging="433"/>
        <w:spacing w:after="0" w:line="263"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420" w:hanging="433"/>
        <w:spacing w:after="0" w:line="286"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66"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517" w:right="459" w:bottom="1440" w:gutter="0" w:footer="0" w:header="0"/>
        </w:sectPr>
      </w:pPr>
    </w:p>
    <w:bookmarkStart w:id="82" w:name="page83"/>
    <w:bookmarkEnd w:id="82"/>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0"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517" w:right="459" w:bottom="1440" w:gutter="0" w:footer="0" w:header="0"/>
        </w:sectPr>
      </w:pPr>
    </w:p>
    <w:bookmarkStart w:id="83" w:name="page84"/>
    <w:bookmarkEnd w:id="83"/>
    <w:p>
      <w:pPr>
        <w:ind w:left="4"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ind w:left="4" w:right="40" w:hanging="4"/>
        <w:spacing w:after="0" w:line="268" w:lineRule="auto"/>
        <w:tabs>
          <w:tab w:leader="none" w:pos="249"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83" w:lineRule="exact"/>
        <w:rPr>
          <w:sz w:val="20"/>
          <w:szCs w:val="20"/>
          <w:color w:val="auto"/>
        </w:rPr>
      </w:pPr>
    </w:p>
    <w:p>
      <w:pPr>
        <w:ind w:left="4" w:right="56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6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4"/>
          </w:cols>
          <w:pgMar w:left="436" w:top="517" w:right="499" w:bottom="1440" w:gutter="0" w:footer="0" w:header="0"/>
        </w:sectPr>
      </w:pPr>
    </w:p>
    <w:bookmarkStart w:id="84" w:name="page85"/>
    <w:bookmarkEnd w:id="8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9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6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76"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6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517" w:right="459" w:bottom="1440" w:gutter="0" w:footer="0" w:header="0"/>
        </w:sectPr>
      </w:pPr>
    </w:p>
    <w:bookmarkStart w:id="85" w:name="page86"/>
    <w:bookmarkEnd w:id="8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517" w:right="499" w:bottom="1440" w:gutter="0" w:footer="0" w:header="0"/>
        </w:sectPr>
      </w:pPr>
    </w:p>
    <w:bookmarkStart w:id="86" w:name="page87"/>
    <w:bookmarkEnd w:id="86"/>
    <w:p>
      <w:pPr>
        <w:ind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To the extent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7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6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Distributions out of our current and accumulated earnings and profits will not be eligible for the 20% pass through deduction under Section 199A of the Code.</w:t>
      </w:r>
    </w:p>
    <w:p>
      <w:pPr>
        <w:spacing w:after="0" w:line="170"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6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517" w:right="439" w:bottom="1440" w:gutter="0" w:footer="0" w:header="0"/>
        </w:sectPr>
      </w:pPr>
    </w:p>
    <w:bookmarkStart w:id="87" w:name="page88"/>
    <w:bookmarkEnd w:id="8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7" w:lineRule="exact"/>
        <w:rPr>
          <w:sz w:val="20"/>
          <w:szCs w:val="20"/>
          <w:color w:val="auto"/>
        </w:rPr>
      </w:pPr>
    </w:p>
    <w:p>
      <w:pPr>
        <w:jc w:val="both"/>
        <w:ind w:right="10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8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517" w:right="459" w:bottom="1440" w:gutter="0" w:footer="0" w:header="0"/>
        </w:sectPr>
      </w:pPr>
    </w:p>
    <w:bookmarkStart w:id="88" w:name="page89"/>
    <w:bookmarkEnd w:id="8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517" w:right="4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Taxation of Non-U.S. Stockholders</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9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40" w:top="513" w:right="499" w:bottom="1440" w:gutter="0" w:footer="0" w:header="0"/>
        </w:sectPr>
      </w:pPr>
    </w:p>
    <w:bookmarkStart w:id="90" w:name="page91"/>
    <w:bookmarkEnd w:id="90"/>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6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517" w:right="4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PLAN OF DISTRIBUTION</w:t>
      </w:r>
    </w:p>
    <w:p>
      <w:pPr>
        <w:spacing w:after="0" w:line="229"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980" w:hanging="433"/>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80" w:right="180" w:hanging="433"/>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513" w:right="459" w:bottom="1440" w:gutter="0" w:footer="0" w:header="0"/>
        </w:sectPr>
      </w:pPr>
    </w:p>
    <w:bookmarkStart w:id="92" w:name="page93"/>
    <w:bookmarkEnd w:id="9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pursuant to the foregoing provisions, the Registrant has been informed that in the opinion of the SEC such indemnification is against public policy as expressed in the Securities Act and is therefore unenforceable.</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40" w:top="517" w:right="49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SUB-ADMINISTRATOR, CUSTODIAN, TRANSFER AGENT AND TRUSTEE</w:t>
      </w:r>
    </w:p>
    <w:p>
      <w:pPr>
        <w:spacing w:after="0" w:line="22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AST acts as our transfer agent, distribution paying agent and registrar. AST also serves as trustee under our 2026 Notes. The principal business address of AST is 6201 15th Avenue, 3rd Floor, Brooklyn, NY 11219, telephone number: (800) 937-5449. Mishmeret Trust Company, Ltd. serves as trustee for our 2023 Notes. The principal business address of Mishmeret Trust Company, Ltd. is 46-48 Menachem Begin Road, Tel Aviv, Israel 66184.</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consolidated financial statements of PennantPark Floating Rate Capital Ltd. and Subsidiaries as of September 30, 2022 and 2021 and for each of the years in the three-year period ended September 30, 2022 incorporated in this Prospectus by reference from the PennantPark Floating Rate Capital Ltd. Annual Report on Form 10-K for the year ended September 30, 2022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spacing w:after="0" w:line="16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senior securities table of the Company incorporated by reference under the heading “Senior Securities” has been incorporated by reference herein in reliance upon the report of RSM US LLP, an independent registered public accounting firm, as stated in their report filed as Exhibit 99.2 to the Company’s Annual Report on Form 10-K for the year ended September 30, 2022, which is incorporated herein by reference.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513" w:right="47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INCORPORATION BY REFERENCE</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980" w:right="100" w:hanging="433"/>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2022, filed with the SEC on November 17, 2022, including the information specifically incorporated by reference to the Form 10-K from our Definitive Proxy Statement on </w:t>
      </w:r>
      <w:hyperlink r:id="rId3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8, 2022; and</w:t>
      </w:r>
    </w:p>
    <w:p>
      <w:pPr>
        <w:spacing w:after="0" w:line="89" w:lineRule="exact"/>
        <w:rPr>
          <w:rFonts w:ascii="Arial" w:cs="Arial" w:eastAsia="Arial" w:hAnsi="Arial"/>
          <w:sz w:val="18"/>
          <w:szCs w:val="18"/>
          <w:color w:val="auto"/>
        </w:rPr>
      </w:pPr>
    </w:p>
    <w:p>
      <w:pPr>
        <w:ind w:left="980" w:hanging="433"/>
        <w:spacing w:after="0" w:line="30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w:t>
      </w:r>
      <w:hyperlink r:id="rId39">
        <w:r>
          <w:rPr>
            <w:rFonts w:ascii="Arial" w:cs="Arial" w:eastAsia="Arial" w:hAnsi="Arial"/>
            <w:sz w:val="16"/>
            <w:szCs w:val="16"/>
            <w:u w:val="single" w:color="auto"/>
            <w:color w:val="0000EE"/>
          </w:rPr>
          <w:t>Exhibit 4.4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32">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57"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513" w:right="47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AVAILABLE INFORMATION</w:t>
      </w:r>
    </w:p>
    <w:p>
      <w:pPr>
        <w:spacing w:after="0" w:line="229"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513" w:right="47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363220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2762885</wp:posOffset>
            </wp:positionH>
            <wp:positionV relativeFrom="page">
              <wp:posOffset>757555</wp:posOffset>
            </wp:positionV>
            <wp:extent cx="2032000" cy="488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2032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Up to $250 million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2720975</wp:posOffset>
            </wp:positionV>
            <wp:extent cx="1474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2640" w:type="dxa"/>
            <w:vAlign w:val="bottom"/>
          </w:tcPr>
          <w:p>
            <w:pPr>
              <w:spacing w:after="0"/>
              <w:rPr>
                <w:sz w:val="20"/>
                <w:szCs w:val="20"/>
                <w:color w:val="auto"/>
              </w:rPr>
            </w:pPr>
            <w:r>
              <w:rPr>
                <w:rFonts w:ascii="Arial" w:cs="Arial" w:eastAsia="Arial" w:hAnsi="Arial"/>
                <w:sz w:val="29"/>
                <w:szCs w:val="29"/>
                <w:b w:val="1"/>
                <w:bCs w:val="1"/>
                <w:color w:val="auto"/>
              </w:rPr>
              <w:t>JMP Securities</w:t>
            </w:r>
          </w:p>
        </w:tc>
        <w:tc>
          <w:tcPr>
            <w:tcW w:w="4320" w:type="dxa"/>
            <w:vAlign w:val="bottom"/>
          </w:tcPr>
          <w:p>
            <w:pPr>
              <w:ind w:left="780"/>
              <w:spacing w:after="0"/>
              <w:rPr>
                <w:sz w:val="20"/>
                <w:szCs w:val="20"/>
                <w:color w:val="auto"/>
              </w:rPr>
            </w:pPr>
            <w:r>
              <w:rPr>
                <w:rFonts w:ascii="Arial" w:cs="Arial" w:eastAsia="Arial" w:hAnsi="Arial"/>
                <w:sz w:val="29"/>
                <w:szCs w:val="29"/>
                <w:b w:val="1"/>
                <w:bCs w:val="1"/>
                <w:color w:val="auto"/>
              </w:rPr>
              <w:t>Raymond James</w:t>
            </w:r>
          </w:p>
        </w:tc>
        <w:tc>
          <w:tcPr>
            <w:tcW w:w="4060" w:type="dxa"/>
            <w:vAlign w:val="bottom"/>
          </w:tcPr>
          <w:p>
            <w:pPr>
              <w:ind w:left="860"/>
              <w:spacing w:after="0"/>
              <w:rPr>
                <w:sz w:val="20"/>
                <w:szCs w:val="20"/>
                <w:color w:val="auto"/>
              </w:rPr>
            </w:pPr>
            <w:r>
              <w:rPr>
                <w:rFonts w:ascii="Arial" w:cs="Arial" w:eastAsia="Arial" w:hAnsi="Arial"/>
                <w:sz w:val="29"/>
                <w:szCs w:val="29"/>
                <w:b w:val="1"/>
                <w:bCs w:val="1"/>
                <w:color w:val="auto"/>
              </w:rPr>
              <w:t>Truist Securities</w:t>
            </w:r>
          </w:p>
        </w:tc>
      </w:tr>
      <w:tr>
        <w:trPr>
          <w:trHeight w:val="186"/>
        </w:trPr>
        <w:tc>
          <w:tcPr>
            <w:tcW w:w="2640" w:type="dxa"/>
            <w:vAlign w:val="bottom"/>
          </w:tcPr>
          <w:p>
            <w:pPr>
              <w:ind w:left="240"/>
              <w:spacing w:after="0"/>
              <w:rPr>
                <w:sz w:val="20"/>
                <w:szCs w:val="20"/>
                <w:color w:val="auto"/>
              </w:rPr>
            </w:pPr>
            <w:r>
              <w:rPr>
                <w:rFonts w:ascii="Arial" w:cs="Arial" w:eastAsia="Arial" w:hAnsi="Arial"/>
                <w:sz w:val="14"/>
                <w:szCs w:val="14"/>
                <w:b w:val="1"/>
                <w:bCs w:val="1"/>
                <w:color w:val="auto"/>
              </w:rPr>
              <w:t>A CITIZENS COMPANY</w:t>
            </w:r>
          </w:p>
        </w:tc>
        <w:tc>
          <w:tcPr>
            <w:tcW w:w="432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646"/>
        </w:trPr>
        <w:tc>
          <w:tcPr>
            <w:tcW w:w="2640" w:type="dxa"/>
            <w:vAlign w:val="bottom"/>
          </w:tcPr>
          <w:p>
            <w:pPr>
              <w:spacing w:after="0"/>
              <w:rPr>
                <w:sz w:val="24"/>
                <w:szCs w:val="24"/>
                <w:color w:val="auto"/>
              </w:rPr>
            </w:pPr>
          </w:p>
        </w:tc>
        <w:tc>
          <w:tcPr>
            <w:tcW w:w="4320" w:type="dxa"/>
            <w:vAlign w:val="bottom"/>
          </w:tcPr>
          <w:p>
            <w:pPr>
              <w:ind w:left="2260"/>
              <w:spacing w:after="0"/>
              <w:rPr>
                <w:sz w:val="20"/>
                <w:szCs w:val="20"/>
                <w:color w:val="auto"/>
              </w:rPr>
            </w:pPr>
            <w:r>
              <w:rPr>
                <w:rFonts w:ascii="Arial" w:cs="Arial" w:eastAsia="Arial" w:hAnsi="Arial"/>
                <w:sz w:val="18"/>
                <w:szCs w:val="18"/>
                <w:b w:val="1"/>
                <w:bCs w:val="1"/>
                <w:color w:val="auto"/>
              </w:rPr>
              <w:t>August 11, 2023</w:t>
            </w:r>
          </w:p>
        </w:tc>
        <w:tc>
          <w:tcPr>
            <w:tcW w:w="4060" w:type="dxa"/>
            <w:vAlign w:val="bottom"/>
          </w:tcPr>
          <w:p>
            <w:pPr>
              <w:spacing w:after="0"/>
              <w:rPr>
                <w:sz w:val="24"/>
                <w:szCs w:val="24"/>
                <w:color w:val="auto"/>
              </w:rPr>
            </w:pPr>
          </w:p>
        </w:tc>
      </w:tr>
      <w:tr>
        <w:trPr>
          <w:trHeight w:val="661"/>
        </w:trPr>
        <w:tc>
          <w:tcPr>
            <w:tcW w:w="26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82"/>
        </w:trPr>
        <w:tc>
          <w:tcPr>
            <w:tcW w:w="264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6"/>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lvl w:ilvl="1">
      <w:lvlJc w:val="left"/>
      <w:lvlText w:val="%2)"/>
      <w:numFmt w:val="decimal"/>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jpe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jpeg"/><Relationship Id="rId138" Type="http://schemas.openxmlformats.org/officeDocument/2006/relationships/image" Target="media/image121.png"/><Relationship Id="rId139" Type="http://schemas.openxmlformats.org/officeDocument/2006/relationships/image" Target="media/image122.png"/><Relationship Id="rId31" Type="http://schemas.openxmlformats.org/officeDocument/2006/relationships/hyperlink" Target="http://www.sec.gov/ix?doc=/Archives/edgar/data/1504619/000095017022025351/pflt-20220930.htm" TargetMode="External"/><Relationship Id="rId32" Type="http://schemas.openxmlformats.org/officeDocument/2006/relationships/hyperlink" Target="http://www.sec.gov/Archives/edgar/data/1504619/000095017022026192/pflt-2023-def_14a.htm" TargetMode="External"/><Relationship Id="rId33" Type="http://schemas.openxmlformats.org/officeDocument/2006/relationships/hyperlink" Target="http://www.sec.gov/ix?doc=/Archives/edgar/data/1504619/000095017023002174/pflt-20221231.htm" TargetMode="External"/><Relationship Id="rId34" Type="http://schemas.openxmlformats.org/officeDocument/2006/relationships/hyperlink" Target="http://www.sec.gov/ix?doc=/Archives/edgar/data/1504619/000095017023020821/pflt-20230331.htm" TargetMode="External"/><Relationship Id="rId35" Type="http://schemas.openxmlformats.org/officeDocument/2006/relationships/hyperlink" Target="http://www.sec.gov/ix?doc=/Archives/edgar/data/1504619/000095017023040563/pflt-20230630.htm" TargetMode="External"/><Relationship Id="rId36" Type="http://schemas.openxmlformats.org/officeDocument/2006/relationships/hyperlink" Target="http://www.sec.gov/ix?doc=/Archives/edgar/data/1504619/000119312523016239/d451102d8k.htm" TargetMode="External"/><Relationship Id="rId37" Type="http://schemas.openxmlformats.org/officeDocument/2006/relationships/hyperlink" Target="http://www.sec.gov/ix?doc=/Archives/edgar/data/1504619/000095017023002468/pflt-20230207.htm" TargetMode="External"/><Relationship Id="rId38" Type="http://schemas.openxmlformats.org/officeDocument/2006/relationships/hyperlink" Target="http://www.sec.gov/ix?doc=/Archives/edgar/data/0001504619/000119312523088061/d495153d8k.htm" TargetMode="External"/><Relationship Id="rId39" Type="http://schemas.openxmlformats.org/officeDocument/2006/relationships/hyperlink" Target="http://www.sec.gov/Archives/edgar/data/1504619/000156459019043972/pflt-ex44_124.htm" TargetMode="External"/><Relationship Id="rId132"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2023-08-11T15:17:59Z</dcterms:created>
  <dcterms:modified xsi:type="dcterms:W3CDTF">2023-08-11T15:17:59Z</dcterms:modified>
</cp:coreProperties>
</file>