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February 06, 2014</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39" w:lineRule="exact"/>
        <w:rPr>
          <w:sz w:val="24"/>
          <w:szCs w:val="24"/>
          <w:color w:val="auto"/>
        </w:rPr>
      </w:pPr>
    </w:p>
    <w:p>
      <w:pPr>
        <w:ind w:left="40" w:right="200"/>
        <w:spacing w:after="0"/>
        <w:rPr>
          <w:sz w:val="20"/>
          <w:szCs w:val="20"/>
          <w:color w:val="auto"/>
        </w:rPr>
      </w:pPr>
      <w:r>
        <w:rPr>
          <w:rFonts w:ascii="Arial" w:cs="Arial" w:eastAsia="Arial" w:hAnsi="Arial"/>
          <w:sz w:val="22"/>
          <w:szCs w:val="22"/>
          <w:color w:val="auto"/>
        </w:rPr>
        <w:t>On February 6, 2014, PennantPark Floating Rate Capital Ltd. issued a press release announcing financial results for the first fiscal quarter ended December 31, 2013. A copy of the press release is furnished as Exhibit 99.1 to this report pursuant to Item 2.02 on Form 8-K and Regulation FD.</w:t>
      </w:r>
    </w:p>
    <w:p>
      <w:pPr>
        <w:spacing w:after="0" w:line="213" w:lineRule="exact"/>
        <w:rPr>
          <w:sz w:val="24"/>
          <w:szCs w:val="24"/>
          <w:color w:val="auto"/>
        </w:rPr>
      </w:pPr>
    </w:p>
    <w:p>
      <w:pPr>
        <w:ind w:left="40" w:right="20"/>
        <w:spacing w:after="0" w:line="249" w:lineRule="auto"/>
        <w:rPr>
          <w:sz w:val="20"/>
          <w:szCs w:val="20"/>
          <w:color w:val="auto"/>
        </w:rPr>
      </w:pPr>
      <w:r>
        <w:rPr>
          <w:rFonts w:ascii="Arial" w:cs="Arial" w:eastAsia="Arial" w:hAnsi="Arial"/>
          <w:sz w:val="21"/>
          <w:szCs w:val="21"/>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205"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80"/>
        <w:spacing w:after="0" w:line="274" w:lineRule="auto"/>
        <w:rPr>
          <w:sz w:val="20"/>
          <w:szCs w:val="20"/>
          <w:color w:val="auto"/>
        </w:rPr>
      </w:pPr>
      <w:r>
        <w:rPr>
          <w:rFonts w:ascii="Arial" w:cs="Arial" w:eastAsia="Arial" w:hAnsi="Arial"/>
          <w:sz w:val="19"/>
          <w:szCs w:val="19"/>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All forward-looking statements speak only as of the date of this report on Form 8-K.</w:t>
      </w:r>
    </w:p>
    <w:p>
      <w:pPr>
        <w:sectPr>
          <w:pgSz w:w="11900" w:h="16838" w:orient="portrait"/>
          <w:cols w:equalWidth="0" w:num="1">
            <w:col w:w="11200"/>
          </w:cols>
          <w:pgMar w:left="320" w:top="828" w:right="379" w:bottom="0" w:gutter="0" w:footer="0" w:header="0"/>
        </w:sectPr>
      </w:pPr>
    </w:p>
    <w:bookmarkStart w:id="1" w:name="page2"/>
    <w:bookmarkEnd w:id="1"/>
    <w:p>
      <w:pPr>
        <w:ind w:right="100"/>
        <w:spacing w:after="0" w:line="238"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249" w:lineRule="exact"/>
        <w:rPr>
          <w:sz w:val="20"/>
          <w:szCs w:val="20"/>
          <w:color w:val="auto"/>
        </w:rPr>
      </w:pPr>
    </w:p>
    <w:p>
      <w:pPr>
        <w:ind w:left="660" w:right="88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February 06,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1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920" w:type="dxa"/>
            <w:vAlign w:val="bottom"/>
          </w:tcPr>
          <w:p>
            <w:pPr>
              <w:spacing w:after="0"/>
              <w:rPr>
                <w:sz w:val="20"/>
                <w:szCs w:val="20"/>
                <w:color w:val="auto"/>
              </w:rPr>
            </w:pPr>
            <w:r>
              <w:rPr>
                <w:rFonts w:ascii="Arial" w:cs="Arial" w:eastAsia="Arial" w:hAnsi="Arial"/>
                <w:sz w:val="22"/>
                <w:szCs w:val="22"/>
                <w:color w:val="auto"/>
              </w:rPr>
              <w:t>Dated: February 06, 2014</w:t>
            </w:r>
          </w:p>
        </w:tc>
        <w:tc>
          <w:tcPr>
            <w:tcW w:w="6700" w:type="dxa"/>
            <w:vAlign w:val="bottom"/>
            <w:gridSpan w:val="3"/>
          </w:tcPr>
          <w:p>
            <w:pPr>
              <w:ind w:left="170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920" w:type="dxa"/>
            <w:vAlign w:val="bottom"/>
          </w:tcPr>
          <w:p>
            <w:pPr>
              <w:spacing w:after="0"/>
              <w:rPr>
                <w:sz w:val="24"/>
                <w:szCs w:val="24"/>
                <w:color w:val="auto"/>
              </w:rPr>
            </w:pPr>
          </w:p>
        </w:tc>
        <w:tc>
          <w:tcPr>
            <w:tcW w:w="6700" w:type="dxa"/>
            <w:vAlign w:val="bottom"/>
            <w:gridSpan w:val="3"/>
          </w:tcPr>
          <w:p>
            <w:pPr>
              <w:ind w:left="1700"/>
              <w:spacing w:after="0"/>
              <w:rPr>
                <w:sz w:val="20"/>
                <w:szCs w:val="20"/>
                <w:color w:val="auto"/>
              </w:rPr>
            </w:pPr>
            <w:r>
              <w:rPr>
                <w:rFonts w:ascii="Arial" w:cs="Arial" w:eastAsia="Arial" w:hAnsi="Arial"/>
                <w:sz w:val="22"/>
                <w:szCs w:val="22"/>
                <w:color w:val="auto"/>
              </w:rPr>
              <w:t>By: /s/ Aviv Efrat</w:t>
            </w:r>
          </w:p>
        </w:tc>
      </w:tr>
      <w:tr>
        <w:trPr>
          <w:trHeight w:val="20"/>
        </w:trPr>
        <w:tc>
          <w:tcPr>
            <w:tcW w:w="3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920" w:type="dxa"/>
            <w:vAlign w:val="bottom"/>
          </w:tcPr>
          <w:p>
            <w:pPr>
              <w:spacing w:after="0"/>
              <w:rPr>
                <w:sz w:val="21"/>
                <w:szCs w:val="21"/>
                <w:color w:val="auto"/>
              </w:rPr>
            </w:pPr>
          </w:p>
        </w:tc>
        <w:tc>
          <w:tcPr>
            <w:tcW w:w="6700" w:type="dxa"/>
            <w:vAlign w:val="bottom"/>
            <w:gridSpan w:val="3"/>
          </w:tcPr>
          <w:p>
            <w:pPr>
              <w:ind w:left="194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920" w:type="dxa"/>
            <w:vAlign w:val="bottom"/>
          </w:tcPr>
          <w:p>
            <w:pPr>
              <w:spacing w:after="0"/>
              <w:rPr>
                <w:sz w:val="23"/>
                <w:szCs w:val="23"/>
                <w:color w:val="auto"/>
              </w:rPr>
            </w:pPr>
          </w:p>
        </w:tc>
        <w:tc>
          <w:tcPr>
            <w:tcW w:w="6700" w:type="dxa"/>
            <w:vAlign w:val="bottom"/>
            <w:gridSpan w:val="3"/>
          </w:tcPr>
          <w:p>
            <w:pPr>
              <w:ind w:left="196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52"/>
              <w:spacing w:after="0"/>
              <w:rPr>
                <w:sz w:val="20"/>
                <w:szCs w:val="20"/>
                <w:color w:val="auto"/>
              </w:rPr>
            </w:pPr>
            <w:r>
              <w:rPr>
                <w:rFonts w:ascii="Arial" w:cs="Arial" w:eastAsia="Arial" w:hAnsi="Arial"/>
                <w:sz w:val="22"/>
                <w:szCs w:val="22"/>
                <w:color w:val="auto"/>
                <w:w w:val="87"/>
              </w:rPr>
              <w:t>February 06, 2014</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8" w:right="459" w:bottom="1440" w:gutter="0" w:footer="0" w:header="0"/>
        </w:sectPr>
      </w:pPr>
    </w:p>
    <w:bookmarkStart w:id="2" w:name="page3"/>
    <w:bookmarkEnd w:id="2"/>
    <w:p>
      <w:pPr>
        <w:spacing w:after="0"/>
        <w:rPr>
          <w:sz w:val="20"/>
          <w:szCs w:val="20"/>
          <w:color w:val="auto"/>
        </w:rPr>
      </w:pPr>
      <w:r>
        <w:rPr>
          <w:rFonts w:ascii="Arial" w:cs="Arial" w:eastAsia="Arial" w:hAnsi="Arial"/>
          <w:sz w:val="21"/>
          <w:szCs w:val="21"/>
          <w:b w:val="1"/>
          <w:bCs w:val="1"/>
          <w:color w:val="auto"/>
        </w:rPr>
        <w:t>PennantPark Floating Rate Capital Ltd. Announces Financial Results for the Quarter Ended December 31, 2013</w:t>
      </w:r>
    </w:p>
    <w:p>
      <w:pPr>
        <w:spacing w:after="0" w:line="224"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auto"/>
        </w:rPr>
        <w:t>NEW YORK, NY -- (Marketwired - February 06, 2014) - PennantPark Floating Rate Capital Ltd. (NASDAQ: PFLT) announced today financial results for its first fiscal quarter ended December 31, 2013.</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HIGHLIGHTS</w:t>
      </w:r>
    </w:p>
    <w:p>
      <w:pPr>
        <w:spacing w:after="0" w:line="238" w:lineRule="auto"/>
        <w:rPr>
          <w:sz w:val="20"/>
          <w:szCs w:val="20"/>
          <w:color w:val="auto"/>
        </w:rPr>
      </w:pPr>
      <w:r>
        <w:rPr>
          <w:rFonts w:ascii="Courier New" w:cs="Courier New" w:eastAsia="Courier New" w:hAnsi="Courier New"/>
          <w:sz w:val="18"/>
          <w:szCs w:val="18"/>
          <w:color w:val="auto"/>
        </w:rPr>
        <w:t>Quarter ended December 31, 2013</w:t>
      </w:r>
    </w:p>
    <w:p>
      <w:pPr>
        <w:spacing w:after="0" w:line="238" w:lineRule="auto"/>
        <w:rPr>
          <w:sz w:val="20"/>
          <w:szCs w:val="20"/>
          <w:color w:val="auto"/>
        </w:rPr>
      </w:pPr>
      <w:r>
        <w:rPr>
          <w:rFonts w:ascii="Courier New" w:cs="Courier New" w:eastAsia="Courier New" w:hAnsi="Courier New"/>
          <w:sz w:val="18"/>
          <w:szCs w:val="18"/>
          <w:color w:val="auto"/>
        </w:rPr>
        <w:t>($ in millions, except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640" w:type="dxa"/>
            <w:vAlign w:val="bottom"/>
          </w:tcPr>
          <w:p>
            <w:pPr>
              <w:spacing w:after="0"/>
              <w:rPr>
                <w:sz w:val="20"/>
                <w:szCs w:val="20"/>
                <w:color w:val="auto"/>
              </w:rPr>
            </w:pPr>
            <w:r>
              <w:rPr>
                <w:rFonts w:ascii="Courier New" w:cs="Courier New" w:eastAsia="Courier New" w:hAnsi="Courier New"/>
                <w:sz w:val="18"/>
                <w:szCs w:val="18"/>
                <w:color w:val="auto"/>
              </w:rPr>
              <w:t>Assets and Liabilities:</w:t>
            </w: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6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 portfolio</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370.9</w:t>
            </w:r>
          </w:p>
        </w:tc>
      </w:tr>
      <w:tr>
        <w:trPr>
          <w:trHeight w:val="203"/>
        </w:trPr>
        <w:tc>
          <w:tcPr>
            <w:tcW w:w="6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assets</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212.1</w:t>
            </w:r>
          </w:p>
        </w:tc>
      </w:tr>
      <w:tr>
        <w:trPr>
          <w:trHeight w:val="203"/>
        </w:trPr>
        <w:tc>
          <w:tcPr>
            <w:tcW w:w="6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14.24</w:t>
            </w:r>
          </w:p>
        </w:tc>
      </w:tr>
      <w:tr>
        <w:trPr>
          <w:trHeight w:val="203"/>
        </w:trPr>
        <w:tc>
          <w:tcPr>
            <w:tcW w:w="6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Credit Facility (cost $139.2)</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139.2</w:t>
            </w:r>
          </w:p>
        </w:tc>
      </w:tr>
      <w:tr>
        <w:trPr>
          <w:trHeight w:val="405"/>
        </w:trPr>
        <w:tc>
          <w:tcPr>
            <w:tcW w:w="6640" w:type="dxa"/>
            <w:vAlign w:val="bottom"/>
          </w:tcPr>
          <w:p>
            <w:pPr>
              <w:spacing w:after="0"/>
              <w:rPr>
                <w:sz w:val="20"/>
                <w:szCs w:val="20"/>
                <w:color w:val="auto"/>
              </w:rPr>
            </w:pPr>
            <w:r>
              <w:rPr>
                <w:rFonts w:ascii="Courier New" w:cs="Courier New" w:eastAsia="Courier New" w:hAnsi="Courier New"/>
                <w:sz w:val="18"/>
                <w:szCs w:val="18"/>
                <w:color w:val="auto"/>
              </w:rPr>
              <w:t>Yield on debt investments at quarter-end</w:t>
            </w:r>
          </w:p>
        </w:tc>
        <w:tc>
          <w:tcPr>
            <w:tcW w:w="6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8.1%</w:t>
            </w:r>
          </w:p>
        </w:tc>
      </w:tr>
      <w:tr>
        <w:trPr>
          <w:trHeight w:val="405"/>
        </w:trPr>
        <w:tc>
          <w:tcPr>
            <w:tcW w:w="6640" w:type="dxa"/>
            <w:vAlign w:val="bottom"/>
          </w:tcPr>
          <w:p>
            <w:pPr>
              <w:spacing w:after="0"/>
              <w:rPr>
                <w:sz w:val="20"/>
                <w:szCs w:val="20"/>
                <w:color w:val="auto"/>
              </w:rPr>
            </w:pPr>
            <w:r>
              <w:rPr>
                <w:rFonts w:ascii="Courier New" w:cs="Courier New" w:eastAsia="Courier New" w:hAnsi="Courier New"/>
                <w:sz w:val="18"/>
                <w:szCs w:val="18"/>
                <w:color w:val="auto"/>
              </w:rPr>
              <w:t>Operating Results:</w:t>
            </w: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6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3.2</w:t>
            </w:r>
          </w:p>
        </w:tc>
      </w:tr>
      <w:tr>
        <w:trPr>
          <w:trHeight w:val="203"/>
        </w:trPr>
        <w:tc>
          <w:tcPr>
            <w:tcW w:w="6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GAAP net investment income per share</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0.22</w:t>
            </w:r>
          </w:p>
        </w:tc>
      </w:tr>
      <w:tr>
        <w:trPr>
          <w:trHeight w:val="203"/>
        </w:trPr>
        <w:tc>
          <w:tcPr>
            <w:tcW w:w="6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 gain incentive fee accrued but not paid per share</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0.01</w:t>
            </w:r>
          </w:p>
        </w:tc>
      </w:tr>
      <w:tr>
        <w:trPr>
          <w:trHeight w:val="203"/>
        </w:trPr>
        <w:tc>
          <w:tcPr>
            <w:tcW w:w="6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Credit Facility amendment costs per share</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0.05</w:t>
            </w:r>
          </w:p>
        </w:tc>
      </w:tr>
      <w:tr>
        <w:trPr>
          <w:trHeight w:val="203"/>
        </w:trPr>
        <w:tc>
          <w:tcPr>
            <w:tcW w:w="6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Core net investment income per share (1)</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0.28</w:t>
            </w:r>
          </w:p>
        </w:tc>
      </w:tr>
      <w:tr>
        <w:trPr>
          <w:trHeight w:val="203"/>
        </w:trPr>
        <w:tc>
          <w:tcPr>
            <w:tcW w:w="6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Distributions declared per share</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0.268</w:t>
            </w:r>
          </w:p>
        </w:tc>
      </w:tr>
      <w:tr>
        <w:trPr>
          <w:trHeight w:val="405"/>
        </w:trPr>
        <w:tc>
          <w:tcPr>
            <w:tcW w:w="6640" w:type="dxa"/>
            <w:vAlign w:val="bottom"/>
          </w:tcPr>
          <w:p>
            <w:pPr>
              <w:spacing w:after="0"/>
              <w:rPr>
                <w:sz w:val="20"/>
                <w:szCs w:val="20"/>
                <w:color w:val="auto"/>
              </w:rPr>
            </w:pPr>
            <w:r>
              <w:rPr>
                <w:rFonts w:ascii="Courier New" w:cs="Courier New" w:eastAsia="Courier New" w:hAnsi="Courier New"/>
                <w:sz w:val="18"/>
                <w:szCs w:val="18"/>
                <w:color w:val="auto"/>
              </w:rPr>
              <w:t>Portfolio Activity:</w:t>
            </w: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6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 of investments</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103.9</w:t>
            </w:r>
          </w:p>
        </w:tc>
      </w:tr>
      <w:tr>
        <w:trPr>
          <w:trHeight w:val="203"/>
        </w:trPr>
        <w:tc>
          <w:tcPr>
            <w:tcW w:w="6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Sales and repayments of investments</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55.4</w:t>
            </w:r>
          </w:p>
        </w:tc>
      </w:tr>
      <w:tr>
        <w:trPr>
          <w:trHeight w:val="405"/>
        </w:trPr>
        <w:tc>
          <w:tcPr>
            <w:tcW w:w="6640" w:type="dxa"/>
            <w:vAlign w:val="bottom"/>
          </w:tcPr>
          <w:p>
            <w:pPr>
              <w:ind w:left="220"/>
              <w:spacing w:after="0"/>
              <w:rPr>
                <w:sz w:val="20"/>
                <w:szCs w:val="20"/>
                <w:color w:val="auto"/>
              </w:rPr>
            </w:pPr>
            <w:r>
              <w:rPr>
                <w:rFonts w:ascii="Courier New" w:cs="Courier New" w:eastAsia="Courier New" w:hAnsi="Courier New"/>
                <w:sz w:val="18"/>
                <w:szCs w:val="18"/>
                <w:color w:val="auto"/>
              </w:rPr>
              <w:t>Number of new portfolio companies invested</w:t>
            </w:r>
          </w:p>
        </w:tc>
        <w:tc>
          <w:tcPr>
            <w:tcW w:w="64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17</w:t>
            </w:r>
          </w:p>
        </w:tc>
      </w:tr>
      <w:tr>
        <w:trPr>
          <w:trHeight w:val="203"/>
        </w:trPr>
        <w:tc>
          <w:tcPr>
            <w:tcW w:w="6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 existing portfolio companies invested</w:t>
            </w:r>
          </w:p>
        </w:tc>
        <w:tc>
          <w:tcPr>
            <w:tcW w:w="64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6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 portfolio companies at quarter-end</w:t>
            </w:r>
          </w:p>
        </w:tc>
        <w:tc>
          <w:tcPr>
            <w:tcW w:w="64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85</w:t>
            </w:r>
          </w:p>
        </w:tc>
      </w:tr>
    </w:tbl>
    <w:p>
      <w:pPr>
        <w:spacing w:after="0" w:line="399" w:lineRule="exact"/>
        <w:rPr>
          <w:sz w:val="20"/>
          <w:szCs w:val="20"/>
          <w:color w:val="auto"/>
        </w:rPr>
      </w:pPr>
    </w:p>
    <w:p>
      <w:pPr>
        <w:ind w:right="20" w:firstLine="8"/>
        <w:spacing w:after="0" w:line="235" w:lineRule="auto"/>
        <w:tabs>
          <w:tab w:leader="none" w:pos="306" w:val="left"/>
        </w:tabs>
        <w:numPr>
          <w:ilvl w:val="0"/>
          <w:numId w:val="2"/>
        </w:numPr>
        <w:rPr>
          <w:rFonts w:ascii="Arial" w:cs="Arial" w:eastAsia="Arial" w:hAnsi="Arial"/>
          <w:sz w:val="22"/>
          <w:szCs w:val="22"/>
          <w:color w:val="auto"/>
        </w:rPr>
      </w:pPr>
      <w:r>
        <w:rPr>
          <w:rFonts w:ascii="Arial" w:cs="Arial" w:eastAsia="Arial" w:hAnsi="Arial"/>
          <w:sz w:val="22"/>
          <w:szCs w:val="22"/>
          <w:color w:val="auto"/>
        </w:rPr>
        <w:t>Core net investment income is a non-GAAP financial measure. The Company believes that core net investment income provides useful information to investors and management because it reflects the Company's financial performance excluding both the charges related to incentive fee on net unrealized gains accrued under GAAP but not payable unless such net unrealized gains are realized and the costs associated with amending our senior secured revolving credit facility, or the Credit Facility. The presentation of this additional information is not meant to be considered in isolation or as a substitute for financial results prepared in accordance with GAAP.</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AT 10:00 A.M. ET ON FEBRUARY 7, 2014</w:t>
      </w:r>
    </w:p>
    <w:p>
      <w:pPr>
        <w:spacing w:after="0" w:line="212"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PennantPark Floating Rate Capital Ltd. ("we," "our," "us" or "Company") will host a conference call at 10:00 a.m. (Eastern Time) on Friday, February 7, 2014 to discuss its financial results. All interested parties are welcome to participate. You can access the conference call by dialing (888) 337-8169 approximately 5-10 minutes prior to the call. International callers should dial (719)</w:t>
      </w:r>
    </w:p>
    <w:p>
      <w:pPr>
        <w:spacing w:after="0" w:line="1" w:lineRule="exact"/>
        <w:rPr>
          <w:sz w:val="20"/>
          <w:szCs w:val="20"/>
          <w:color w:val="auto"/>
        </w:rPr>
      </w:pPr>
    </w:p>
    <w:p>
      <w:pPr>
        <w:jc w:val="both"/>
        <w:ind w:right="340"/>
        <w:spacing w:after="0" w:line="234" w:lineRule="auto"/>
        <w:rPr>
          <w:sz w:val="20"/>
          <w:szCs w:val="20"/>
          <w:color w:val="auto"/>
        </w:rPr>
      </w:pPr>
      <w:r>
        <w:rPr>
          <w:rFonts w:ascii="Arial" w:cs="Arial" w:eastAsia="Arial" w:hAnsi="Arial"/>
          <w:sz w:val="22"/>
          <w:szCs w:val="22"/>
          <w:color w:val="auto"/>
        </w:rPr>
        <w:t>325-2432. All callers should reference PennantPark Floating Rate Capital Ltd. An archived replay of the call will be available through February 21, 2014 by calling (888) 203-1112. International callers please dial (719) 457-0820. For all phone replays, please reference conference ID #7868388.</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2" w:lineRule="exact"/>
        <w:rPr>
          <w:sz w:val="20"/>
          <w:szCs w:val="20"/>
          <w:color w:val="auto"/>
        </w:rPr>
      </w:pPr>
    </w:p>
    <w:p>
      <w:pPr>
        <w:ind w:right="100"/>
        <w:spacing w:after="0" w:line="246" w:lineRule="auto"/>
        <w:rPr>
          <w:sz w:val="20"/>
          <w:szCs w:val="20"/>
          <w:color w:val="auto"/>
        </w:rPr>
      </w:pPr>
      <w:r>
        <w:rPr>
          <w:rFonts w:ascii="Arial" w:cs="Arial" w:eastAsia="Arial" w:hAnsi="Arial"/>
          <w:sz w:val="21"/>
          <w:szCs w:val="21"/>
          <w:color w:val="auto"/>
        </w:rPr>
        <w:t>As of December 31, 2013, our portfolio totaled $370.9 million and consisted of $326.2 million of senior secured loans, $31.6 million of second lien secured debt and $13.1 million of subordinated debt, preferred and common equity investments. Our debt portfolio consisted of 93% variable-rate investments (including 90% with a London Interbank Offered Rate, or LIBOR, or prime floor) and 7% fixed-rate investments. Overall, the portfolio had unrealized appreciation of $0.8 million. Our overall portfolio consisted of 85 companies with an average investment size of $4.4 million, had a weighted average yield on debt investments of 8.1%, and was invested 88% in senior secured loans, 8% in second lien secured debt and 4% in subordinated debt, preferred and common equity investments.</w:t>
      </w:r>
    </w:p>
    <w:p>
      <w:pPr>
        <w:spacing w:after="0" w:line="184" w:lineRule="exact"/>
        <w:rPr>
          <w:sz w:val="20"/>
          <w:szCs w:val="20"/>
          <w:color w:val="auto"/>
        </w:rPr>
      </w:pPr>
    </w:p>
    <w:p>
      <w:pPr>
        <w:ind w:right="220"/>
        <w:spacing w:after="0" w:line="234" w:lineRule="auto"/>
        <w:rPr>
          <w:sz w:val="20"/>
          <w:szCs w:val="20"/>
          <w:color w:val="auto"/>
        </w:rPr>
      </w:pPr>
      <w:r>
        <w:rPr>
          <w:rFonts w:ascii="Arial" w:cs="Arial" w:eastAsia="Arial" w:hAnsi="Arial"/>
          <w:sz w:val="22"/>
          <w:szCs w:val="22"/>
          <w:color w:val="auto"/>
        </w:rPr>
        <w:t>As of September 30, 2013, our portfolio totaled $317.8 million and consisted of $281.0 million of senior secured loans, $27.5 million of second lien secured debt and $9.3 million of subordinated debt, preferred and common equity investments. Our debt portfolio consisted of 92% variable-rate investments (including 89% with a LIBOR, or prime floor) and 8% fixed-rate investments. Overall, the portfolio had unrealized depreciation of $1.5 million. Our overall portfolio consisted of 83 companies with an average investment size of $3.8 million, had a weighted average yield on debt investments of 8.1%, and was invested 88% in senior secured loans, 9% in second lien secured debt and 3% in subordinated debt, preferred and common equity investments.</w:t>
      </w:r>
    </w:p>
    <w:p>
      <w:pPr>
        <w:spacing w:after="0" w:line="191"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the three months ended December 31, 2013, we invested $103.9 million in 17 new and 11 existing portfolio companies with a weighted average yield on debt investments of 7.7%. Sales and repayments of investments for the three months ended December 31, 2013 totaled $55.4 million.</w:t>
      </w:r>
    </w:p>
    <w:p>
      <w:pPr>
        <w:sectPr>
          <w:pgSz w:w="11900" w:h="16838" w:orient="portrait"/>
          <w:cols w:equalWidth="0" w:num="1">
            <w:col w:w="11240"/>
          </w:cols>
          <w:pgMar w:left="320" w:top="111" w:right="339" w:bottom="47" w:gutter="0" w:footer="0" w:header="0"/>
        </w:sectPr>
      </w:pPr>
    </w:p>
    <w:bookmarkStart w:id="3" w:name="page4"/>
    <w:bookmarkEnd w:id="3"/>
    <w:p>
      <w:pPr>
        <w:spacing w:after="0" w:line="115"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the three months ended December 31, 2012, we invested $38.9 million in 12 new and two existing portfolio companies with a weighted average yield on debt investments of 9.6%. Sales and repayments of investments for the three months ended December 31, 2012 totaled $30.3 million.</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Set forth below are the results of operations for the three months ended December 31, 2013 and 2012.</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Income</w:t>
      </w:r>
    </w:p>
    <w:p>
      <w:pPr>
        <w:spacing w:after="0" w:line="212" w:lineRule="exact"/>
        <w:rPr>
          <w:sz w:val="20"/>
          <w:szCs w:val="20"/>
          <w:color w:val="auto"/>
        </w:rPr>
      </w:pPr>
    </w:p>
    <w:p>
      <w:pPr>
        <w:ind w:right="160"/>
        <w:spacing w:after="0" w:line="282" w:lineRule="auto"/>
        <w:rPr>
          <w:sz w:val="20"/>
          <w:szCs w:val="20"/>
          <w:color w:val="auto"/>
        </w:rPr>
      </w:pPr>
      <w:r>
        <w:rPr>
          <w:rFonts w:ascii="Arial" w:cs="Arial" w:eastAsia="Arial" w:hAnsi="Arial"/>
          <w:sz w:val="19"/>
          <w:szCs w:val="19"/>
          <w:color w:val="auto"/>
        </w:rPr>
        <w:t>Investment income for the three months ended December 31, 2013 was $6.8 million and was attributable to $5.5 million from senior secured loan investments and $1.3 million from second lien secured debt and subordinated debt investments. This compares to investment income for the three months ended December 31, 2012, which was $4.0 million, and was attributable to $3.3 million from senior secured loan investments and $0.7 million from second lien secured debt and subordinated debt investments. The increase in investment income over the prior year is primarily due to the growth of our portfolio.</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pacing w:after="0" w:line="212" w:lineRule="exact"/>
        <w:rPr>
          <w:sz w:val="20"/>
          <w:szCs w:val="20"/>
          <w:color w:val="auto"/>
        </w:rPr>
      </w:pPr>
    </w:p>
    <w:p>
      <w:pPr>
        <w:ind w:right="80"/>
        <w:spacing w:after="0" w:line="274" w:lineRule="auto"/>
        <w:rPr>
          <w:sz w:val="20"/>
          <w:szCs w:val="20"/>
          <w:color w:val="auto"/>
        </w:rPr>
      </w:pPr>
      <w:r>
        <w:rPr>
          <w:rFonts w:ascii="Arial" w:cs="Arial" w:eastAsia="Arial" w:hAnsi="Arial"/>
          <w:sz w:val="19"/>
          <w:szCs w:val="19"/>
          <w:color w:val="auto"/>
        </w:rPr>
        <w:t>Expenses for the three months ended December 31, 2013 totaled $3.6 million. Base management fee for the same period totaled $0.9 million, incentive fees totaled $0.7 million (including $0.4 million on realized gains and $0.2 million on unrealized gains accrued but not paid), Credit Facility expenses totaled $1.4 million (including $0.7 million of Credit Facility amendment expenses), general and administrative expenses totaled $0.5 million and excise taxes were $0.1 million. This compares to expenses for the three months ended December 31, 2012, which totaled $1.9 million. Base management fee for the same period totaled $0.5 million, incentive fees totaled $0.4 million (including less than $0.1 million on unrealized gains accrued but not paid), Credit Facility expenses totaled $0.5 million, general and administrative expenses totaled $0.5 million and excise taxes were less than $0.1 million. The increase in management fee, incentive fee and Credit Facility expenses was due to the growth of our portfolio and expanding our borrowing capacity under our Credit Facility.</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Income</w:t>
      </w:r>
    </w:p>
    <w:p>
      <w:pPr>
        <w:spacing w:after="0" w:line="212" w:lineRule="exact"/>
        <w:rPr>
          <w:sz w:val="20"/>
          <w:szCs w:val="20"/>
          <w:color w:val="auto"/>
        </w:rPr>
      </w:pPr>
    </w:p>
    <w:p>
      <w:pPr>
        <w:ind w:right="40"/>
        <w:spacing w:after="0" w:line="282" w:lineRule="auto"/>
        <w:rPr>
          <w:sz w:val="20"/>
          <w:szCs w:val="20"/>
          <w:color w:val="auto"/>
        </w:rPr>
      </w:pPr>
      <w:r>
        <w:rPr>
          <w:rFonts w:ascii="Arial" w:cs="Arial" w:eastAsia="Arial" w:hAnsi="Arial"/>
          <w:sz w:val="19"/>
          <w:szCs w:val="19"/>
          <w:color w:val="auto"/>
        </w:rPr>
        <w:t>Net investment income totaled $3.2 million, or $0.22 per share, for the three months ended December 31, 2013, and $2.1 million, or $0.30 per share, for the three months ended December 31, 2012. Core net investment income, a non-GAAP financial measure, totaled $4.1 million, or $0.28 per share, for the three months ended December 31, 2013. The increase in net investment income was due to a larger portfolio, which was offset by amendment costs. In contrast, net investment income per share decreased over the same time period as a result of share issuances during the 2013 fiscal year.</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Gains or Losses</w:t>
      </w:r>
    </w:p>
    <w:p>
      <w:pPr>
        <w:spacing w:after="0" w:line="212" w:lineRule="exact"/>
        <w:rPr>
          <w:sz w:val="20"/>
          <w:szCs w:val="20"/>
          <w:color w:val="auto"/>
        </w:rPr>
      </w:pPr>
    </w:p>
    <w:p>
      <w:pPr>
        <w:ind w:right="180"/>
        <w:spacing w:after="0" w:line="238" w:lineRule="auto"/>
        <w:rPr>
          <w:sz w:val="20"/>
          <w:szCs w:val="20"/>
          <w:color w:val="auto"/>
        </w:rPr>
      </w:pPr>
      <w:r>
        <w:rPr>
          <w:rFonts w:ascii="Arial" w:cs="Arial" w:eastAsia="Arial" w:hAnsi="Arial"/>
          <w:sz w:val="22"/>
          <w:szCs w:val="22"/>
          <w:color w:val="auto"/>
        </w:rPr>
        <w:t>Sales and repayments of investments for the three months ended December 31, 2013 totaled $55.4 million and realized gains totaled $0.6 million. Sales and repayments of investments totaled $30.3 million and realized gains totaled $0.4 million for the three months ended December 31, 2012. The increase in realized gains was driven by sales and early repayments of larger sized investments.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Unrealized Appreciation or Depreciation on Investments and Credit Facility</w:t>
      </w:r>
    </w:p>
    <w:p>
      <w:pPr>
        <w:spacing w:after="0" w:line="212" w:lineRule="exact"/>
        <w:rPr>
          <w:sz w:val="20"/>
          <w:szCs w:val="20"/>
          <w:color w:val="auto"/>
        </w:rPr>
      </w:pPr>
    </w:p>
    <w:p>
      <w:pPr>
        <w:ind w:right="120"/>
        <w:spacing w:after="0" w:line="287" w:lineRule="auto"/>
        <w:rPr>
          <w:sz w:val="20"/>
          <w:szCs w:val="20"/>
          <w:color w:val="auto"/>
        </w:rPr>
      </w:pPr>
      <w:r>
        <w:rPr>
          <w:rFonts w:ascii="Arial" w:cs="Arial" w:eastAsia="Arial" w:hAnsi="Arial"/>
          <w:sz w:val="19"/>
          <w:szCs w:val="19"/>
          <w:color w:val="auto"/>
        </w:rPr>
        <w:t>For the three months ended December 31, 2013 and 2012, we reported net unrealized appreciation (depreciation) on investments of $2.2 million and $(0.4) million, respectively. As of December 31, 2013 and September 30, 2013, net unrealized appreciation (depreciation) on investments totaled $0.8 million and $(1.5) million, respectively. The change in the three month period compared to last year is the result of the reversal of unrealized gains upon exiting our investments and changes in market values.</w:t>
      </w:r>
    </w:p>
    <w:p>
      <w:pPr>
        <w:spacing w:after="0" w:line="143" w:lineRule="exact"/>
        <w:rPr>
          <w:sz w:val="20"/>
          <w:szCs w:val="20"/>
          <w:color w:val="auto"/>
        </w:rPr>
      </w:pPr>
    </w:p>
    <w:p>
      <w:pPr>
        <w:ind w:right="400"/>
        <w:spacing w:after="0" w:line="297" w:lineRule="auto"/>
        <w:rPr>
          <w:sz w:val="20"/>
          <w:szCs w:val="20"/>
          <w:color w:val="auto"/>
        </w:rPr>
      </w:pPr>
      <w:r>
        <w:rPr>
          <w:rFonts w:ascii="Arial" w:cs="Arial" w:eastAsia="Arial" w:hAnsi="Arial"/>
          <w:sz w:val="19"/>
          <w:szCs w:val="19"/>
          <w:color w:val="auto"/>
        </w:rPr>
        <w:t>For the three months ended December 31, 2013 and 2012, our Credit Facility had an unrealized appreciation of zero and $0.4 million, respectively. As of December 31, 2013 and September 30, 2013, net unrealized appreciation on our Credit Facility totaled zero. The change in the three month period compared to last year was due to changes in the capital markets.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Increase in Net Assets Resulting from Operations</w:t>
      </w:r>
    </w:p>
    <w:p>
      <w:pPr>
        <w:spacing w:after="0" w:line="212" w:lineRule="exact"/>
        <w:rPr>
          <w:sz w:val="20"/>
          <w:szCs w:val="20"/>
          <w:color w:val="auto"/>
        </w:rPr>
      </w:pPr>
    </w:p>
    <w:p>
      <w:pPr>
        <w:jc w:val="both"/>
        <w:ind w:right="40"/>
        <w:spacing w:after="0" w:line="297" w:lineRule="auto"/>
        <w:rPr>
          <w:sz w:val="20"/>
          <w:szCs w:val="20"/>
          <w:color w:val="auto"/>
        </w:rPr>
      </w:pPr>
      <w:r>
        <w:rPr>
          <w:rFonts w:ascii="Arial" w:cs="Arial" w:eastAsia="Arial" w:hAnsi="Arial"/>
          <w:sz w:val="19"/>
          <w:szCs w:val="19"/>
          <w:color w:val="auto"/>
        </w:rPr>
        <w:t>Net increase in net assets resulting from operations totaled $6.1 million, or $0.41 per share, for the three months ended December 31, 2013. This compares to a net change in net assets resulting from operations which totaled $1.8 million, or $0.26 per share, for the three months ended December 31, 2012. We continue to find investment opportunities to grow net assets from operations.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Our liquidity and capital resources are derived from public offerings, our Credit Facility,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the rotation of our portfolio and proceeds from public and private offerings of securities to finance our investment objectives.</w:t>
      </w:r>
    </w:p>
    <w:p>
      <w:pPr>
        <w:spacing w:after="0" w:line="187" w:lineRule="exact"/>
        <w:rPr>
          <w:sz w:val="20"/>
          <w:szCs w:val="20"/>
          <w:color w:val="auto"/>
        </w:rPr>
      </w:pPr>
    </w:p>
    <w:p>
      <w:pPr>
        <w:ind w:right="160"/>
        <w:spacing w:after="0" w:line="328" w:lineRule="auto"/>
        <w:rPr>
          <w:sz w:val="20"/>
          <w:szCs w:val="20"/>
          <w:color w:val="auto"/>
        </w:rPr>
      </w:pPr>
      <w:r>
        <w:rPr>
          <w:rFonts w:ascii="Arial" w:cs="Arial" w:eastAsia="Arial" w:hAnsi="Arial"/>
          <w:sz w:val="19"/>
          <w:szCs w:val="19"/>
          <w:color w:val="auto"/>
        </w:rPr>
        <w:t>As of December 31, 2013 and September 30, 2013, PennantPark Floating Rate Funding I, LLC's, or Funding I, had $139.2 million and $99.6 million of outstanding borrowings under the Credit Facility, respectively, and carried an interest rate of 2.17%</w:t>
      </w:r>
    </w:p>
    <w:p>
      <w:pPr>
        <w:sectPr>
          <w:pgSz w:w="11900" w:h="16954" w:orient="portrait"/>
          <w:cols w:equalWidth="0" w:num="1">
            <w:col w:w="11240"/>
          </w:cols>
          <w:pgMar w:left="320" w:top="118" w:right="339" w:bottom="0" w:gutter="0" w:footer="0" w:header="0"/>
        </w:sectPr>
      </w:pPr>
    </w:p>
    <w:bookmarkStart w:id="4" w:name="page5"/>
    <w:bookmarkEnd w:id="4"/>
    <w:p>
      <w:pPr>
        <w:spacing w:after="0" w:line="10" w:lineRule="exact"/>
        <w:rPr>
          <w:sz w:val="20"/>
          <w:szCs w:val="20"/>
          <w:color w:val="auto"/>
        </w:rPr>
      </w:pPr>
    </w:p>
    <w:p>
      <w:pPr>
        <w:spacing w:after="0"/>
        <w:rPr>
          <w:sz w:val="20"/>
          <w:szCs w:val="20"/>
          <w:color w:val="auto"/>
        </w:rPr>
      </w:pPr>
      <w:r>
        <w:rPr>
          <w:rFonts w:ascii="Arial" w:cs="Arial" w:eastAsia="Arial" w:hAnsi="Arial"/>
          <w:sz w:val="22"/>
          <w:szCs w:val="22"/>
          <w:color w:val="auto"/>
        </w:rPr>
        <w:t>and 2.18%, respectively, excluding the 0.375% undrawn commitment fee.</w:t>
      </w:r>
    </w:p>
    <w:p>
      <w:pPr>
        <w:spacing w:after="0" w:line="207" w:lineRule="exact"/>
        <w:rPr>
          <w:sz w:val="20"/>
          <w:szCs w:val="20"/>
          <w:color w:val="auto"/>
        </w:rPr>
      </w:pPr>
    </w:p>
    <w:p>
      <w:pPr>
        <w:ind w:right="260"/>
        <w:spacing w:after="0" w:line="328" w:lineRule="auto"/>
        <w:rPr>
          <w:sz w:val="20"/>
          <w:szCs w:val="20"/>
          <w:color w:val="auto"/>
        </w:rPr>
      </w:pPr>
      <w:r>
        <w:rPr>
          <w:rFonts w:ascii="Arial" w:cs="Arial" w:eastAsia="Arial" w:hAnsi="Arial"/>
          <w:sz w:val="19"/>
          <w:szCs w:val="19"/>
          <w:color w:val="auto"/>
        </w:rPr>
        <w:t>The annualized weighted average cost of debt for the three months ended December 31, 2013 and 2012, inclusive of the fee on the undrawn commitment on the Credit Facility but excluding amendment costs, was 2.46% and 2.69%, respectively.</w:t>
      </w:r>
    </w:p>
    <w:p>
      <w:pPr>
        <w:spacing w:after="0" w:line="105" w:lineRule="exact"/>
        <w:rPr>
          <w:sz w:val="20"/>
          <w:szCs w:val="20"/>
          <w:color w:val="auto"/>
        </w:rPr>
      </w:pPr>
    </w:p>
    <w:p>
      <w:pPr>
        <w:ind w:right="80"/>
        <w:spacing w:after="0" w:line="257" w:lineRule="auto"/>
        <w:rPr>
          <w:sz w:val="20"/>
          <w:szCs w:val="20"/>
          <w:color w:val="auto"/>
        </w:rPr>
      </w:pPr>
      <w:r>
        <w:rPr>
          <w:rFonts w:ascii="Arial" w:cs="Arial" w:eastAsia="Arial" w:hAnsi="Arial"/>
          <w:sz w:val="21"/>
          <w:szCs w:val="21"/>
          <w:color w:val="auto"/>
        </w:rPr>
        <w:t>Our operating activities used cash of $34.9 million for the three months ended December 31, 2013, and our financing activities provided cash of $35.7 million for the same period. Our operating activities used cash primarily for our investment activities and our financing activities provided cash primarily from net draws under the Credit Facility.</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Our operating activities used cash of $8.5 million for the three months ended December 31, 2012, and our financing activities provided cash of $8.6 million for the same period. Our operating activities used cash primarily for net investing that was financed by net draws under the Credit Facility.</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12" w:lineRule="exact"/>
        <w:rPr>
          <w:sz w:val="20"/>
          <w:szCs w:val="20"/>
          <w:color w:val="auto"/>
        </w:rPr>
      </w:pPr>
    </w:p>
    <w:p>
      <w:pPr>
        <w:ind w:right="80"/>
        <w:spacing w:after="0" w:line="234" w:lineRule="auto"/>
        <w:rPr>
          <w:sz w:val="20"/>
          <w:szCs w:val="20"/>
          <w:color w:val="auto"/>
        </w:rPr>
      </w:pPr>
      <w:r>
        <w:rPr>
          <w:rFonts w:ascii="Arial" w:cs="Arial" w:eastAsia="Arial" w:hAnsi="Arial"/>
          <w:sz w:val="22"/>
          <w:szCs w:val="22"/>
          <w:color w:val="auto"/>
        </w:rPr>
        <w:t>During the three months ended December 31, 2013 and 2012, we declared to stockholders distributions of approximately $0.268 and $0.248 per share, respectively, for total distributions of $4.0 million and $1.7 million, respectively.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Tax characteristics of distributions will be reported to stockholders on Form 1099-DIV after the end of the calendar year and in our periodic reports filed with the Securities and Exchange Commission, or the SEC.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2"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The Company makes available on its website its report on Form 10-Q filed with the SEC and stockholders may find the report on its website at www.pennantpark.com.</w:t>
      </w:r>
    </w:p>
    <w:p>
      <w:pPr>
        <w:spacing w:after="0" w:line="200" w:lineRule="exact"/>
        <w:rPr>
          <w:sz w:val="20"/>
          <w:szCs w:val="20"/>
          <w:color w:val="auto"/>
        </w:rPr>
      </w:pPr>
    </w:p>
    <w:p>
      <w:pPr>
        <w:spacing w:after="0" w:line="398" w:lineRule="exact"/>
        <w:rPr>
          <w:sz w:val="20"/>
          <w:szCs w:val="20"/>
          <w:color w:val="auto"/>
        </w:rPr>
      </w:pPr>
    </w:p>
    <w:p>
      <w:pPr>
        <w:jc w:val="center"/>
        <w:ind w:right="3300"/>
        <w:spacing w:after="0"/>
        <w:rPr>
          <w:sz w:val="20"/>
          <w:szCs w:val="20"/>
          <w:color w:val="auto"/>
        </w:rPr>
      </w:pPr>
      <w:r>
        <w:rPr>
          <w:rFonts w:ascii="Courier New" w:cs="Courier New" w:eastAsia="Courier New" w:hAnsi="Courier New"/>
          <w:sz w:val="18"/>
          <w:szCs w:val="18"/>
          <w:color w:val="auto"/>
        </w:rPr>
        <w:t>PENNANTPARK FLOATING RATE CAPITAL LTD. AND SUBSIDIARY</w:t>
      </w:r>
    </w:p>
    <w:p>
      <w:pPr>
        <w:jc w:val="center"/>
        <w:ind w:right="3300"/>
        <w:spacing w:after="0" w:line="238" w:lineRule="auto"/>
        <w:rPr>
          <w:sz w:val="20"/>
          <w:szCs w:val="20"/>
          <w:color w:val="auto"/>
        </w:rPr>
      </w:pPr>
      <w:r>
        <w:rPr>
          <w:rFonts w:ascii="Courier New" w:cs="Courier New" w:eastAsia="Courier New" w:hAnsi="Courier New"/>
          <w:sz w:val="18"/>
          <w:szCs w:val="18"/>
          <w:color w:val="auto"/>
        </w:rPr>
        <w:t>CONSOLIDATED STATEMENTS OF ASSETS AND LIABILITIES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00" w:type="dxa"/>
            <w:vAlign w:val="bottom"/>
          </w:tcPr>
          <w:p>
            <w:pPr>
              <w:spacing w:after="0"/>
              <w:rPr>
                <w:sz w:val="17"/>
                <w:szCs w:val="17"/>
                <w:color w:val="auto"/>
              </w:rPr>
            </w:pPr>
          </w:p>
        </w:tc>
        <w:tc>
          <w:tcPr>
            <w:tcW w:w="1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December 31,</w:t>
            </w:r>
          </w:p>
        </w:tc>
        <w:tc>
          <w:tcPr>
            <w:tcW w:w="15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9"/>
              </w:rPr>
              <w:t>September 30,</w:t>
            </w:r>
          </w:p>
        </w:tc>
      </w:tr>
      <w:tr>
        <w:trPr>
          <w:trHeight w:val="203"/>
        </w:trPr>
        <w:tc>
          <w:tcPr>
            <w:tcW w:w="4900" w:type="dxa"/>
            <w:vAlign w:val="bottom"/>
          </w:tcPr>
          <w:p>
            <w:pPr>
              <w:spacing w:after="0"/>
              <w:rPr>
                <w:sz w:val="17"/>
                <w:szCs w:val="17"/>
                <w:color w:val="auto"/>
              </w:rPr>
            </w:pPr>
          </w:p>
        </w:tc>
        <w:tc>
          <w:tcPr>
            <w:tcW w:w="15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2013</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2013</w:t>
            </w:r>
          </w:p>
        </w:tc>
      </w:tr>
      <w:tr>
        <w:trPr>
          <w:trHeight w:val="203"/>
        </w:trPr>
        <w:tc>
          <w:tcPr>
            <w:tcW w:w="4900" w:type="dxa"/>
            <w:vAlign w:val="bottom"/>
          </w:tcPr>
          <w:p>
            <w:pPr>
              <w:spacing w:after="0"/>
              <w:rPr>
                <w:sz w:val="17"/>
                <w:szCs w:val="17"/>
                <w:color w:val="auto"/>
              </w:rPr>
            </w:pP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(unaudited)</w:t>
            </w:r>
          </w:p>
        </w:tc>
        <w:tc>
          <w:tcPr>
            <w:tcW w:w="1540" w:type="dxa"/>
            <w:vAlign w:val="bottom"/>
          </w:tcPr>
          <w:p>
            <w:pPr>
              <w:spacing w:after="0"/>
              <w:rPr>
                <w:sz w:val="17"/>
                <w:szCs w:val="17"/>
                <w:color w:val="auto"/>
              </w:rPr>
            </w:pPr>
          </w:p>
        </w:tc>
      </w:tr>
      <w:tr>
        <w:trPr>
          <w:trHeight w:val="203"/>
        </w:trPr>
        <w:tc>
          <w:tcPr>
            <w:tcW w:w="4900" w:type="dxa"/>
            <w:vAlign w:val="bottom"/>
          </w:tcPr>
          <w:p>
            <w:pPr>
              <w:spacing w:after="0"/>
              <w:rPr>
                <w:sz w:val="17"/>
                <w:szCs w:val="17"/>
                <w:color w:val="auto"/>
              </w:rPr>
            </w:pP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5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Investments at fair value</w:t>
            </w:r>
          </w:p>
        </w:tc>
        <w:tc>
          <w:tcPr>
            <w:tcW w:w="15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 non-affiliated investments,</w:t>
            </w:r>
          </w:p>
        </w:tc>
        <w:tc>
          <w:tcPr>
            <w:tcW w:w="15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at fair value (cost - $370,169,860 and</w:t>
            </w:r>
          </w:p>
        </w:tc>
        <w:tc>
          <w:tcPr>
            <w:tcW w:w="15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$319,283,468, respectively)</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$ 370,925,077</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$ 317,803,894</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equivalents</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5,315,022</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4,578,249</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receivable</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1,908,159</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2,140,802</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Receivable for investments sold</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6,358,359</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3,659,185</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 and other assets</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521,379</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619,737</w:t>
            </w:r>
          </w:p>
        </w:tc>
      </w:tr>
      <w:tr>
        <w:trPr>
          <w:trHeight w:val="203"/>
        </w:trPr>
        <w:tc>
          <w:tcPr>
            <w:tcW w:w="4900" w:type="dxa"/>
            <w:vAlign w:val="bottom"/>
          </w:tcPr>
          <w:p>
            <w:pPr>
              <w:spacing w:after="0"/>
              <w:rPr>
                <w:sz w:val="17"/>
                <w:szCs w:val="17"/>
                <w:color w:val="auto"/>
              </w:rPr>
            </w:pP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2"/>
        </w:trPr>
        <w:tc>
          <w:tcPr>
            <w:tcW w:w="4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assets</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385,027,996</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328,801,867</w:t>
            </w:r>
          </w:p>
        </w:tc>
      </w:tr>
      <w:tr>
        <w:trPr>
          <w:trHeight w:val="203"/>
        </w:trPr>
        <w:tc>
          <w:tcPr>
            <w:tcW w:w="4900" w:type="dxa"/>
            <w:vAlign w:val="bottom"/>
          </w:tcPr>
          <w:p>
            <w:pPr>
              <w:spacing w:after="0"/>
              <w:rPr>
                <w:sz w:val="17"/>
                <w:szCs w:val="17"/>
                <w:color w:val="auto"/>
              </w:rPr>
            </w:pP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w:t>
            </w:r>
          </w:p>
        </w:tc>
        <w:tc>
          <w:tcPr>
            <w:tcW w:w="15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Distributions payable</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1,340,825</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1,303,580</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Payable for investments purchased</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26,635,500</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14,021,588</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Unfunded investments</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2,376,000</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934,555</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Credit Facility payable (cost - $139,200,000</w:t>
            </w:r>
          </w:p>
        </w:tc>
        <w:tc>
          <w:tcPr>
            <w:tcW w:w="15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2"/>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$99,600,000, respectively)</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139,200,000</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99,600,000</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payable on Credit Facility</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278,917</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189,934</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Management fee payable</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881,803</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731,635</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Performance-based incentive fees payable</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1,347,033</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1,164,090</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other expenses</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829,973</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790,091</w:t>
            </w:r>
          </w:p>
        </w:tc>
      </w:tr>
      <w:tr>
        <w:trPr>
          <w:trHeight w:val="203"/>
        </w:trPr>
        <w:tc>
          <w:tcPr>
            <w:tcW w:w="4900" w:type="dxa"/>
            <w:vAlign w:val="bottom"/>
          </w:tcPr>
          <w:p>
            <w:pPr>
              <w:spacing w:after="0"/>
              <w:rPr>
                <w:sz w:val="17"/>
                <w:szCs w:val="17"/>
                <w:color w:val="auto"/>
              </w:rPr>
            </w:pP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172,890,051</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118,735,473</w:t>
            </w:r>
          </w:p>
        </w:tc>
      </w:tr>
      <w:tr>
        <w:trPr>
          <w:trHeight w:val="203"/>
        </w:trPr>
        <w:tc>
          <w:tcPr>
            <w:tcW w:w="4900" w:type="dxa"/>
            <w:vAlign w:val="bottom"/>
          </w:tcPr>
          <w:p>
            <w:pPr>
              <w:spacing w:after="0"/>
              <w:rPr>
                <w:sz w:val="17"/>
                <w:szCs w:val="17"/>
                <w:color w:val="auto"/>
              </w:rPr>
            </w:pP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assets</w:t>
            </w:r>
          </w:p>
        </w:tc>
        <w:tc>
          <w:tcPr>
            <w:tcW w:w="15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 14,898,056 shares issued and</w:t>
            </w:r>
          </w:p>
        </w:tc>
        <w:tc>
          <w:tcPr>
            <w:tcW w:w="15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outstanding. Par value $0.001 per share and</w:t>
            </w:r>
          </w:p>
        </w:tc>
        <w:tc>
          <w:tcPr>
            <w:tcW w:w="15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2"/>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100,000,000 shares authorized.</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14,898</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14,898</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Paid-in capital in excess of par value</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207,481,368</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207,481,368</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(Distributions in excess of) Undistributed net</w:t>
            </w:r>
          </w:p>
        </w:tc>
        <w:tc>
          <w:tcPr>
            <w:tcW w:w="15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 income</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(282,531)</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474,766</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 net realized gain on investments</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4,168,993</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3,574,936</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unrealized appreciation (depreciation) on</w:t>
            </w:r>
          </w:p>
        </w:tc>
        <w:tc>
          <w:tcPr>
            <w:tcW w:w="15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2"/>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755,217</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(1,479,574)</w:t>
            </w:r>
          </w:p>
        </w:tc>
      </w:tr>
      <w:tr>
        <w:trPr>
          <w:trHeight w:val="202"/>
        </w:trPr>
        <w:tc>
          <w:tcPr>
            <w:tcW w:w="4900" w:type="dxa"/>
            <w:vAlign w:val="bottom"/>
          </w:tcPr>
          <w:p>
            <w:pPr>
              <w:spacing w:after="0"/>
              <w:rPr>
                <w:sz w:val="17"/>
                <w:szCs w:val="17"/>
                <w:color w:val="auto"/>
              </w:rPr>
            </w:pP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net assets</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$ 212,137,945</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$ 210,066,394</w:t>
            </w:r>
          </w:p>
        </w:tc>
      </w:tr>
      <w:tr>
        <w:trPr>
          <w:trHeight w:val="203"/>
        </w:trPr>
        <w:tc>
          <w:tcPr>
            <w:tcW w:w="4900" w:type="dxa"/>
            <w:vAlign w:val="bottom"/>
          </w:tcPr>
          <w:p>
            <w:pPr>
              <w:spacing w:after="0"/>
              <w:rPr>
                <w:sz w:val="17"/>
                <w:szCs w:val="17"/>
                <w:color w:val="auto"/>
              </w:rPr>
            </w:pP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2"/>
        </w:trPr>
        <w:tc>
          <w:tcPr>
            <w:tcW w:w="4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liabilities and net assets</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$ 385,027,996</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$ 328,801,867</w:t>
            </w:r>
          </w:p>
        </w:tc>
      </w:tr>
      <w:tr>
        <w:trPr>
          <w:trHeight w:val="202"/>
        </w:trPr>
        <w:tc>
          <w:tcPr>
            <w:tcW w:w="4900" w:type="dxa"/>
            <w:vAlign w:val="bottom"/>
          </w:tcPr>
          <w:p>
            <w:pPr>
              <w:spacing w:after="0"/>
              <w:rPr>
                <w:sz w:val="17"/>
                <w:szCs w:val="17"/>
                <w:color w:val="auto"/>
              </w:rPr>
            </w:pP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bl>
    <w:p>
      <w:pPr>
        <w:sectPr>
          <w:pgSz w:w="11900" w:h="16849" w:orient="portrait"/>
          <w:cols w:equalWidth="0" w:num="1">
            <w:col w:w="11220"/>
          </w:cols>
          <w:pgMar w:left="320" w:top="118" w:right="359" w:bottom="0" w:gutter="0" w:footer="0" w:header="0"/>
        </w:sectPr>
      </w:pPr>
    </w:p>
    <w:bookmarkStart w:id="5" w:name="page6"/>
    <w:bookmarkEnd w:id="5"/>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00" w:type="dxa"/>
            <w:vAlign w:val="bottom"/>
          </w:tcPr>
          <w:p>
            <w:pPr>
              <w:spacing w:after="0"/>
              <w:rPr>
                <w:sz w:val="20"/>
                <w:szCs w:val="20"/>
                <w:color w:val="auto"/>
              </w:rPr>
            </w:pPr>
            <w:r>
              <w:rPr>
                <w:rFonts w:ascii="Courier New" w:cs="Courier New" w:eastAsia="Courier New" w:hAnsi="Courier New"/>
                <w:sz w:val="18"/>
                <w:szCs w:val="18"/>
                <w:color w:val="auto"/>
              </w:rPr>
              <w:t>Net asset value per share</w:t>
            </w:r>
          </w:p>
        </w:tc>
        <w:tc>
          <w:tcPr>
            <w:tcW w:w="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14.24</w:t>
            </w:r>
          </w:p>
        </w:tc>
        <w:tc>
          <w:tcPr>
            <w:tcW w:w="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14.10</w:t>
            </w:r>
          </w:p>
        </w:tc>
      </w:tr>
      <w:tr>
        <w:trPr>
          <w:trHeight w:val="203"/>
        </w:trPr>
        <w:tc>
          <w:tcPr>
            <w:tcW w:w="490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810"/>
        </w:trPr>
        <w:tc>
          <w:tcPr>
            <w:tcW w:w="6860" w:type="dxa"/>
            <w:vAlign w:val="bottom"/>
            <w:gridSpan w:val="4"/>
          </w:tcPr>
          <w:p>
            <w:pPr>
              <w:jc w:val="center"/>
              <w:ind w:left="952"/>
              <w:spacing w:after="0"/>
              <w:rPr>
                <w:sz w:val="20"/>
                <w:szCs w:val="20"/>
                <w:color w:val="auto"/>
              </w:rPr>
            </w:pPr>
            <w:r>
              <w:rPr>
                <w:rFonts w:ascii="Courier New" w:cs="Courier New" w:eastAsia="Courier New" w:hAnsi="Courier New"/>
                <w:sz w:val="18"/>
                <w:szCs w:val="18"/>
                <w:color w:val="auto"/>
                <w:w w:val="97"/>
              </w:rPr>
              <w:t>PENNANTPARK FLOATING RATE CAPITAL LTD. AND SUBSIDIARY</w:t>
            </w:r>
          </w:p>
        </w:tc>
        <w:tc>
          <w:tcPr>
            <w:tcW w:w="1160" w:type="dxa"/>
            <w:vAlign w:val="bottom"/>
          </w:tcPr>
          <w:p>
            <w:pPr>
              <w:spacing w:after="0"/>
              <w:rPr>
                <w:sz w:val="24"/>
                <w:szCs w:val="24"/>
                <w:color w:val="auto"/>
              </w:rPr>
            </w:pPr>
          </w:p>
        </w:tc>
      </w:tr>
      <w:tr>
        <w:trPr>
          <w:trHeight w:val="203"/>
        </w:trPr>
        <w:tc>
          <w:tcPr>
            <w:tcW w:w="6480" w:type="dxa"/>
            <w:vAlign w:val="bottom"/>
            <w:gridSpan w:val="3"/>
          </w:tcPr>
          <w:p>
            <w:pPr>
              <w:jc w:val="center"/>
              <w:ind w:left="1332"/>
              <w:spacing w:after="0" w:line="203" w:lineRule="exact"/>
              <w:rPr>
                <w:sz w:val="20"/>
                <w:szCs w:val="20"/>
                <w:color w:val="auto"/>
              </w:rPr>
            </w:pPr>
            <w:r>
              <w:rPr>
                <w:rFonts w:ascii="Courier New" w:cs="Courier New" w:eastAsia="Courier New" w:hAnsi="Courier New"/>
                <w:sz w:val="18"/>
                <w:szCs w:val="18"/>
                <w:color w:val="auto"/>
                <w:w w:val="97"/>
              </w:rPr>
              <w:t>CONSOLIDATED STATEMENTS OF OPERATIONS</w:t>
            </w: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900" w:type="dxa"/>
            <w:vAlign w:val="bottom"/>
          </w:tcPr>
          <w:p>
            <w:pPr>
              <w:jc w:val="center"/>
              <w:ind w:left="2932"/>
              <w:spacing w:after="0" w:line="203" w:lineRule="exact"/>
              <w:rPr>
                <w:sz w:val="20"/>
                <w:szCs w:val="20"/>
                <w:color w:val="auto"/>
              </w:rPr>
            </w:pPr>
            <w:r>
              <w:rPr>
                <w:rFonts w:ascii="Courier New" w:cs="Courier New" w:eastAsia="Courier New" w:hAnsi="Courier New"/>
                <w:sz w:val="18"/>
                <w:szCs w:val="18"/>
                <w:color w:val="auto"/>
                <w:w w:val="97"/>
              </w:rPr>
              <w:t>(Unaudited)</w:t>
            </w: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05"/>
        </w:trPr>
        <w:tc>
          <w:tcPr>
            <w:tcW w:w="4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540" w:type="dxa"/>
            <w:vAlign w:val="bottom"/>
            <w:gridSpan w:val="3"/>
          </w:tcPr>
          <w:p>
            <w:pPr>
              <w:jc w:val="right"/>
              <w:ind w:right="45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4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540" w:type="dxa"/>
            <w:vAlign w:val="bottom"/>
            <w:gridSpan w:val="3"/>
          </w:tcPr>
          <w:p>
            <w:pPr>
              <w:jc w:val="right"/>
              <w:ind w:right="772"/>
              <w:spacing w:after="0" w:line="203" w:lineRule="exact"/>
              <w:rPr>
                <w:sz w:val="20"/>
                <w:szCs w:val="20"/>
                <w:color w:val="auto"/>
              </w:rPr>
            </w:pPr>
            <w:r>
              <w:rPr>
                <w:rFonts w:ascii="Courier New" w:cs="Courier New" w:eastAsia="Courier New" w:hAnsi="Courier New"/>
                <w:sz w:val="18"/>
                <w:szCs w:val="18"/>
                <w:color w:val="auto"/>
              </w:rPr>
              <w:t>December 31,</w:t>
            </w:r>
          </w:p>
        </w:tc>
      </w:tr>
      <w:tr>
        <w:trPr>
          <w:trHeight w:val="203"/>
        </w:trPr>
        <w:tc>
          <w:tcPr>
            <w:tcW w:w="4900" w:type="dxa"/>
            <w:vAlign w:val="bottom"/>
          </w:tcPr>
          <w:p>
            <w:pPr>
              <w:spacing w:after="0"/>
              <w:rPr>
                <w:sz w:val="17"/>
                <w:szCs w:val="17"/>
                <w:color w:val="auto"/>
              </w:rPr>
            </w:pPr>
          </w:p>
        </w:tc>
        <w:tc>
          <w:tcPr>
            <w:tcW w:w="3120" w:type="dxa"/>
            <w:vAlign w:val="bottom"/>
            <w:gridSpan w:val="4"/>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2013</w:t>
            </w:r>
          </w:p>
        </w:tc>
        <w:tc>
          <w:tcPr>
            <w:tcW w:w="380" w:type="dxa"/>
            <w:vAlign w:val="bottom"/>
          </w:tcPr>
          <w:p>
            <w:pPr>
              <w:spacing w:after="0"/>
              <w:rPr>
                <w:sz w:val="17"/>
                <w:szCs w:val="17"/>
                <w:color w:val="auto"/>
              </w:rPr>
            </w:pP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2012</w:t>
            </w:r>
          </w:p>
        </w:tc>
      </w:tr>
      <w:tr>
        <w:trPr>
          <w:trHeight w:val="203"/>
        </w:trPr>
        <w:tc>
          <w:tcPr>
            <w:tcW w:w="4900" w:type="dxa"/>
            <w:vAlign w:val="bottom"/>
          </w:tcPr>
          <w:p>
            <w:pPr>
              <w:spacing w:after="0"/>
              <w:rPr>
                <w:sz w:val="17"/>
                <w:szCs w:val="17"/>
                <w:color w:val="auto"/>
              </w:rPr>
            </w:pP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income:</w:t>
            </w: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non-controlled, non-affiliated</w:t>
            </w: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6,754,247</w:t>
            </w:r>
          </w:p>
        </w:tc>
        <w:tc>
          <w:tcPr>
            <w:tcW w:w="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3,638,227</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income</w:t>
            </w:r>
          </w:p>
        </w:tc>
        <w:tc>
          <w:tcPr>
            <w:tcW w:w="5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89,646</w:t>
            </w:r>
          </w:p>
        </w:tc>
        <w:tc>
          <w:tcPr>
            <w:tcW w:w="38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324,446</w:t>
            </w:r>
          </w:p>
        </w:tc>
      </w:tr>
      <w:tr>
        <w:trPr>
          <w:trHeight w:val="203"/>
        </w:trPr>
        <w:tc>
          <w:tcPr>
            <w:tcW w:w="4900" w:type="dxa"/>
            <w:vAlign w:val="bottom"/>
          </w:tcPr>
          <w:p>
            <w:pPr>
              <w:spacing w:after="0"/>
              <w:rPr>
                <w:sz w:val="17"/>
                <w:szCs w:val="17"/>
                <w:color w:val="auto"/>
              </w:rPr>
            </w:pP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investment income</w:t>
            </w:r>
          </w:p>
        </w:tc>
        <w:tc>
          <w:tcPr>
            <w:tcW w:w="5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6,843,893</w:t>
            </w:r>
          </w:p>
        </w:tc>
        <w:tc>
          <w:tcPr>
            <w:tcW w:w="38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3,962,673</w:t>
            </w:r>
          </w:p>
        </w:tc>
      </w:tr>
      <w:tr>
        <w:trPr>
          <w:trHeight w:val="203"/>
        </w:trPr>
        <w:tc>
          <w:tcPr>
            <w:tcW w:w="4900" w:type="dxa"/>
            <w:vAlign w:val="bottom"/>
          </w:tcPr>
          <w:p>
            <w:pPr>
              <w:spacing w:after="0"/>
              <w:rPr>
                <w:sz w:val="17"/>
                <w:szCs w:val="17"/>
                <w:color w:val="auto"/>
              </w:rPr>
            </w:pP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Base management fee</w:t>
            </w:r>
          </w:p>
        </w:tc>
        <w:tc>
          <w:tcPr>
            <w:tcW w:w="5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881,803</w:t>
            </w:r>
          </w:p>
        </w:tc>
        <w:tc>
          <w:tcPr>
            <w:tcW w:w="38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458,986</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Performance-based incentive fee</w:t>
            </w:r>
          </w:p>
        </w:tc>
        <w:tc>
          <w:tcPr>
            <w:tcW w:w="5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683,150</w:t>
            </w:r>
          </w:p>
        </w:tc>
        <w:tc>
          <w:tcPr>
            <w:tcW w:w="38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417,029</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Interest and expenses on the Credit Facility</w:t>
            </w:r>
          </w:p>
        </w:tc>
        <w:tc>
          <w:tcPr>
            <w:tcW w:w="5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736,437</w:t>
            </w:r>
          </w:p>
        </w:tc>
        <w:tc>
          <w:tcPr>
            <w:tcW w:w="38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471,068</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Administrative services expenses</w:t>
            </w:r>
          </w:p>
        </w:tc>
        <w:tc>
          <w:tcPr>
            <w:tcW w:w="5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201,000</w:t>
            </w:r>
          </w:p>
        </w:tc>
        <w:tc>
          <w:tcPr>
            <w:tcW w:w="38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155,145</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general and administrative expenses</w:t>
            </w:r>
          </w:p>
        </w:tc>
        <w:tc>
          <w:tcPr>
            <w:tcW w:w="5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290,640</w:t>
            </w:r>
          </w:p>
        </w:tc>
        <w:tc>
          <w:tcPr>
            <w:tcW w:w="38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367,500</w:t>
            </w:r>
          </w:p>
        </w:tc>
      </w:tr>
      <w:tr>
        <w:trPr>
          <w:trHeight w:val="203"/>
        </w:trPr>
        <w:tc>
          <w:tcPr>
            <w:tcW w:w="4900" w:type="dxa"/>
            <w:vAlign w:val="bottom"/>
          </w:tcPr>
          <w:p>
            <w:pPr>
              <w:spacing w:after="0"/>
              <w:rPr>
                <w:sz w:val="17"/>
                <w:szCs w:val="17"/>
                <w:color w:val="auto"/>
              </w:rPr>
            </w:pP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Expenses before excise tax expense and</w:t>
            </w: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amendment costs</w:t>
            </w:r>
          </w:p>
        </w:tc>
        <w:tc>
          <w:tcPr>
            <w:tcW w:w="5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2,793,030</w:t>
            </w:r>
          </w:p>
        </w:tc>
        <w:tc>
          <w:tcPr>
            <w:tcW w:w="38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1,869,728</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Excise tax</w:t>
            </w:r>
          </w:p>
        </w:tc>
        <w:tc>
          <w:tcPr>
            <w:tcW w:w="5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110,000</w:t>
            </w:r>
          </w:p>
        </w:tc>
        <w:tc>
          <w:tcPr>
            <w:tcW w:w="38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34,072</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Credit Facility amendment costs</w:t>
            </w:r>
          </w:p>
        </w:tc>
        <w:tc>
          <w:tcPr>
            <w:tcW w:w="5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712,930</w:t>
            </w:r>
          </w:p>
        </w:tc>
        <w:tc>
          <w:tcPr>
            <w:tcW w:w="38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spacing w:after="0"/>
              <w:rPr>
                <w:sz w:val="17"/>
                <w:szCs w:val="17"/>
                <w:color w:val="auto"/>
              </w:rPr>
            </w:pP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expenses</w:t>
            </w:r>
          </w:p>
        </w:tc>
        <w:tc>
          <w:tcPr>
            <w:tcW w:w="5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3,615,960</w:t>
            </w:r>
          </w:p>
        </w:tc>
        <w:tc>
          <w:tcPr>
            <w:tcW w:w="38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1,903,800</w:t>
            </w:r>
          </w:p>
        </w:tc>
      </w:tr>
      <w:tr>
        <w:trPr>
          <w:trHeight w:val="203"/>
        </w:trPr>
        <w:tc>
          <w:tcPr>
            <w:tcW w:w="4900" w:type="dxa"/>
            <w:vAlign w:val="bottom"/>
          </w:tcPr>
          <w:p>
            <w:pPr>
              <w:spacing w:after="0"/>
              <w:rPr>
                <w:sz w:val="17"/>
                <w:szCs w:val="17"/>
                <w:color w:val="auto"/>
              </w:rPr>
            </w:pP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5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3,227,933</w:t>
            </w:r>
          </w:p>
        </w:tc>
        <w:tc>
          <w:tcPr>
            <w:tcW w:w="38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2,058,873</w:t>
            </w:r>
          </w:p>
        </w:tc>
      </w:tr>
      <w:tr>
        <w:trPr>
          <w:trHeight w:val="203"/>
        </w:trPr>
        <w:tc>
          <w:tcPr>
            <w:tcW w:w="4900" w:type="dxa"/>
            <w:vAlign w:val="bottom"/>
          </w:tcPr>
          <w:p>
            <w:pPr>
              <w:spacing w:after="0"/>
              <w:rPr>
                <w:sz w:val="17"/>
                <w:szCs w:val="17"/>
                <w:color w:val="auto"/>
              </w:rPr>
            </w:pP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Realized and unrealized gain (loss) on</w:t>
            </w: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 and Credit Facility:</w:t>
            </w: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realized gain on non-controlled, non-</w:t>
            </w: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affiliated investments</w:t>
            </w:r>
          </w:p>
        </w:tc>
        <w:tc>
          <w:tcPr>
            <w:tcW w:w="5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594,057</w:t>
            </w:r>
          </w:p>
        </w:tc>
        <w:tc>
          <w:tcPr>
            <w:tcW w:w="38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442,843</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change in unrealized appreciation</w:t>
            </w: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on:</w:t>
            </w: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 non-affiliated investments</w:t>
            </w:r>
          </w:p>
        </w:tc>
        <w:tc>
          <w:tcPr>
            <w:tcW w:w="5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2,234,791</w:t>
            </w:r>
          </w:p>
        </w:tc>
        <w:tc>
          <w:tcPr>
            <w:tcW w:w="38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(358,785)</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Credit Facility appreciation</w:t>
            </w:r>
          </w:p>
        </w:tc>
        <w:tc>
          <w:tcPr>
            <w:tcW w:w="5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(377,500)</w:t>
            </w:r>
          </w:p>
        </w:tc>
      </w:tr>
      <w:tr>
        <w:trPr>
          <w:trHeight w:val="203"/>
        </w:trPr>
        <w:tc>
          <w:tcPr>
            <w:tcW w:w="4900" w:type="dxa"/>
            <w:vAlign w:val="bottom"/>
          </w:tcPr>
          <w:p>
            <w:pPr>
              <w:spacing w:after="0"/>
              <w:rPr>
                <w:sz w:val="17"/>
                <w:szCs w:val="17"/>
                <w:color w:val="auto"/>
              </w:rPr>
            </w:pP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change in unrealized appreciation</w:t>
            </w: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2"/>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(depreciation) on investments and Credit</w:t>
            </w: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Facility</w:t>
            </w:r>
          </w:p>
        </w:tc>
        <w:tc>
          <w:tcPr>
            <w:tcW w:w="5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2,234,791</w:t>
            </w:r>
          </w:p>
        </w:tc>
        <w:tc>
          <w:tcPr>
            <w:tcW w:w="38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(736,285)</w:t>
            </w:r>
          </w:p>
        </w:tc>
      </w:tr>
      <w:tr>
        <w:trPr>
          <w:trHeight w:val="203"/>
        </w:trPr>
        <w:tc>
          <w:tcPr>
            <w:tcW w:w="4900" w:type="dxa"/>
            <w:vAlign w:val="bottom"/>
          </w:tcPr>
          <w:p>
            <w:pPr>
              <w:spacing w:after="0"/>
              <w:rPr>
                <w:sz w:val="17"/>
                <w:szCs w:val="17"/>
                <w:color w:val="auto"/>
              </w:rPr>
            </w:pP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realized and unrealized gain (loss) from</w:t>
            </w: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 and Credit Facility</w:t>
            </w:r>
          </w:p>
        </w:tc>
        <w:tc>
          <w:tcPr>
            <w:tcW w:w="5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2,828,848</w:t>
            </w:r>
          </w:p>
        </w:tc>
        <w:tc>
          <w:tcPr>
            <w:tcW w:w="38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(293,442)</w:t>
            </w:r>
          </w:p>
        </w:tc>
      </w:tr>
      <w:tr>
        <w:trPr>
          <w:trHeight w:val="203"/>
        </w:trPr>
        <w:tc>
          <w:tcPr>
            <w:tcW w:w="4900" w:type="dxa"/>
            <w:vAlign w:val="bottom"/>
          </w:tcPr>
          <w:p>
            <w:pPr>
              <w:spacing w:after="0"/>
              <w:rPr>
                <w:sz w:val="17"/>
                <w:szCs w:val="17"/>
                <w:color w:val="auto"/>
              </w:rPr>
            </w:pP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in net assets resulting from</w:t>
            </w: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w:t>
            </w:r>
          </w:p>
        </w:tc>
        <w:tc>
          <w:tcPr>
            <w:tcW w:w="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6,056,781</w:t>
            </w:r>
          </w:p>
        </w:tc>
        <w:tc>
          <w:tcPr>
            <w:tcW w:w="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1,765,431</w:t>
            </w:r>
          </w:p>
        </w:tc>
      </w:tr>
      <w:tr>
        <w:trPr>
          <w:trHeight w:val="203"/>
        </w:trPr>
        <w:tc>
          <w:tcPr>
            <w:tcW w:w="4900" w:type="dxa"/>
            <w:vAlign w:val="bottom"/>
          </w:tcPr>
          <w:p>
            <w:pPr>
              <w:spacing w:after="0"/>
              <w:rPr>
                <w:sz w:val="17"/>
                <w:szCs w:val="17"/>
                <w:color w:val="auto"/>
              </w:rPr>
            </w:pP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in net assets resulting from</w:t>
            </w: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 per common share</w:t>
            </w:r>
          </w:p>
        </w:tc>
        <w:tc>
          <w:tcPr>
            <w:tcW w:w="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0.41</w:t>
            </w:r>
          </w:p>
        </w:tc>
        <w:tc>
          <w:tcPr>
            <w:tcW w:w="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0.26</w:t>
            </w:r>
          </w:p>
        </w:tc>
      </w:tr>
      <w:tr>
        <w:trPr>
          <w:trHeight w:val="203"/>
        </w:trPr>
        <w:tc>
          <w:tcPr>
            <w:tcW w:w="4900" w:type="dxa"/>
            <w:vAlign w:val="bottom"/>
          </w:tcPr>
          <w:p>
            <w:pPr>
              <w:spacing w:after="0"/>
              <w:rPr>
                <w:sz w:val="17"/>
                <w:szCs w:val="17"/>
                <w:color w:val="auto"/>
              </w:rPr>
            </w:pP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investment income per common share</w:t>
            </w:r>
          </w:p>
        </w:tc>
        <w:tc>
          <w:tcPr>
            <w:tcW w:w="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0.22</w:t>
            </w:r>
          </w:p>
        </w:tc>
        <w:tc>
          <w:tcPr>
            <w:tcW w:w="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0.30</w:t>
            </w:r>
          </w:p>
        </w:tc>
      </w:tr>
      <w:tr>
        <w:trPr>
          <w:trHeight w:val="203"/>
        </w:trPr>
        <w:tc>
          <w:tcPr>
            <w:tcW w:w="4900" w:type="dxa"/>
            <w:vAlign w:val="bottom"/>
          </w:tcPr>
          <w:p>
            <w:pPr>
              <w:spacing w:after="0"/>
              <w:rPr>
                <w:sz w:val="17"/>
                <w:szCs w:val="17"/>
                <w:color w:val="auto"/>
              </w:rPr>
            </w:pP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bl>
    <w:p>
      <w:pPr>
        <w:spacing w:after="0" w:line="3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FLOATING RATE CAPITAL LTD.</w:t>
      </w:r>
    </w:p>
    <w:p>
      <w:pPr>
        <w:spacing w:after="0" w:line="212" w:lineRule="exact"/>
        <w:rPr>
          <w:sz w:val="20"/>
          <w:szCs w:val="20"/>
          <w:color w:val="auto"/>
        </w:rPr>
      </w:pPr>
    </w:p>
    <w:p>
      <w:pPr>
        <w:ind w:right="52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14" w:lineRule="exact"/>
        <w:rPr>
          <w:sz w:val="20"/>
          <w:szCs w:val="20"/>
          <w:color w:val="auto"/>
        </w:rPr>
      </w:pPr>
    </w:p>
    <w:p>
      <w:pPr>
        <w:jc w:val="both"/>
        <w:ind w:right="60"/>
        <w:spacing w:after="0" w:line="26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2"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w:t>
      </w:r>
    </w:p>
    <w:p>
      <w:pPr>
        <w:sectPr>
          <w:pgSz w:w="11900" w:h="16947" w:orient="portrait"/>
          <w:cols w:equalWidth="0" w:num="1">
            <w:col w:w="11160"/>
          </w:cols>
          <w:pgMar w:left="320" w:top="136" w:right="419" w:bottom="0" w:gutter="0" w:footer="0" w:header="0"/>
        </w:sectPr>
      </w:pPr>
    </w:p>
    <w:bookmarkStart w:id="6" w:name="page7"/>
    <w:bookmarkEnd w:id="6"/>
    <w:p>
      <w:pPr>
        <w:ind w:right="520"/>
        <w:spacing w:after="0" w:line="251" w:lineRule="auto"/>
        <w:rPr>
          <w:sz w:val="20"/>
          <w:szCs w:val="20"/>
          <w:color w:val="auto"/>
        </w:rPr>
      </w:pPr>
      <w:r>
        <w:rPr>
          <w:rFonts w:ascii="Arial" w:cs="Arial" w:eastAsia="Arial" w:hAnsi="Arial"/>
          <w:sz w:val="22"/>
          <w:szCs w:val="22"/>
          <w:color w:val="auto"/>
        </w:rPr>
        <w:t>from time to time in filings with the SEC. The Company undertakes no duty to update any forward-looking statement made herein. All forward-looking statements speak only as of the date of this press release.</w:t>
      </w:r>
    </w:p>
    <w:p>
      <w:pPr>
        <w:spacing w:after="0" w:line="173"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 You should not place undue influence on such forward-looking statements as such statements speak only as of the date on which they are made. We do not undertake to update our forward-looking statements unless required by law.</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rPr>
          <w:sz w:val="20"/>
          <w:szCs w:val="20"/>
          <w:color w:val="auto"/>
        </w:rPr>
      </w:pPr>
      <w:r>
        <w:rPr>
          <w:rFonts w:ascii="Courier New" w:cs="Courier New" w:eastAsia="Courier New" w:hAnsi="Courier New"/>
          <w:sz w:val="18"/>
          <w:szCs w:val="18"/>
          <w:color w:val="auto"/>
        </w:rPr>
        <w:t>Reception: (212) 905-1000</w:t>
      </w:r>
    </w:p>
    <w:p>
      <w:pPr>
        <w:spacing w:after="0" w:line="237" w:lineRule="auto"/>
        <w:rPr>
          <w:sz w:val="20"/>
          <w:szCs w:val="20"/>
          <w:color w:val="auto"/>
        </w:rPr>
      </w:pPr>
      <w:r>
        <w:rPr>
          <w:rFonts w:ascii="Courier New" w:cs="Courier New" w:eastAsia="Courier New" w:hAnsi="Courier New"/>
          <w:sz w:val="18"/>
          <w:szCs w:val="18"/>
          <w:color w:val="auto"/>
        </w:rPr>
        <w:t>www.pennantpark.com</w:t>
      </w:r>
    </w:p>
    <w:sectPr>
      <w:pgSz w:w="11900" w:h="16838" w:orient="portrait"/>
      <w:cols w:equalWidth="0" w:num="1">
        <w:col w:w="11200"/>
      </w:cols>
      <w:pgMar w:left="320" w:top="11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2020-05-05T12:04:35Z</dcterms:created>
  <dcterms:modified xsi:type="dcterms:W3CDTF">2020-05-05T12:04:35Z</dcterms:modified>
</cp:coreProperties>
</file>