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February 9, 2021</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bl>
    <w:p>
      <w:pPr>
        <w:ind w:right="2140" w:firstLine="291"/>
        <w:spacing w:after="0" w:line="490" w:lineRule="auto"/>
        <w:tabs>
          <w:tab w:leader="none" w:pos="478"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ectPr>
          <w:pgSz w:w="11900" w:h="16838" w:orient="portrait"/>
          <w:cols w:equalWidth="0" w:num="1">
            <w:col w:w="11100"/>
          </w:cols>
          <w:pgMar w:left="320" w:top="724" w:right="479" w:bottom="1440" w:gutter="0" w:footer="0" w:header="0"/>
          <w:type w:val="continuous"/>
        </w:sectPr>
      </w:pPr>
    </w:p>
    <w:p>
      <w:pPr>
        <w:jc w:val="center"/>
        <w:ind w:left="32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left="320"/>
        <w:spacing w:after="0"/>
        <w:rPr>
          <w:sz w:val="20"/>
          <w:szCs w:val="20"/>
          <w:color w:val="auto"/>
        </w:rPr>
      </w:pPr>
      <w:r>
        <w:rPr>
          <w:rFonts w:ascii="Arial" w:cs="Arial" w:eastAsia="Arial" w:hAnsi="Arial"/>
          <w:sz w:val="16"/>
          <w:szCs w:val="16"/>
          <w:color w:val="auto"/>
        </w:rPr>
        <w:t>Common Stock, par value $0.001 per share</w:t>
      </w:r>
    </w:p>
    <w:p>
      <w:pPr>
        <w:spacing w:after="0" w:line="20" w:lineRule="exact"/>
        <w:rPr>
          <w:sz w:val="24"/>
          <w:szCs w:val="24"/>
          <w:color w:val="auto"/>
        </w:rPr>
      </w:pPr>
      <w:r>
        <w:rPr>
          <w:sz w:val="24"/>
          <w:szCs w:val="24"/>
          <w:color w:val="auto"/>
        </w:rPr>
        <w:br w:type="column"/>
      </w:r>
    </w:p>
    <w:p>
      <w:pPr>
        <w:jc w:val="center"/>
        <w:ind w:right="180"/>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jc w:val="center"/>
        <w:ind w:right="180"/>
        <w:spacing w:after="0"/>
        <w:rPr>
          <w:sz w:val="20"/>
          <w:szCs w:val="20"/>
          <w:color w:val="auto"/>
        </w:rPr>
      </w:pPr>
      <w:r>
        <w:rPr>
          <w:rFonts w:ascii="Arial" w:cs="Arial" w:eastAsia="Arial" w:hAnsi="Arial"/>
          <w:sz w:val="18"/>
          <w:szCs w:val="18"/>
          <w:color w:val="auto"/>
        </w:rPr>
        <w:t>PFLT</w:t>
      </w:r>
    </w:p>
    <w:p>
      <w:pPr>
        <w:spacing w:after="0" w:line="20" w:lineRule="exact"/>
        <w:rPr>
          <w:sz w:val="24"/>
          <w:szCs w:val="24"/>
          <w:color w:val="auto"/>
        </w:rPr>
      </w:pPr>
      <w:r>
        <w:rPr>
          <w:sz w:val="24"/>
          <w:szCs w:val="24"/>
          <w:color w:val="auto"/>
        </w:rPr>
        <w:br w:type="column"/>
      </w:r>
    </w:p>
    <w:p>
      <w:pPr>
        <w:jc w:val="center"/>
        <w:ind w:right="340"/>
        <w:spacing w:after="0"/>
        <w:rPr>
          <w:sz w:val="20"/>
          <w:szCs w:val="20"/>
          <w:color w:val="auto"/>
        </w:rPr>
      </w:pPr>
      <w:r>
        <w:rPr>
          <w:rFonts w:ascii="Arial" w:cs="Arial" w:eastAsia="Arial" w:hAnsi="Arial"/>
          <w:sz w:val="16"/>
          <w:szCs w:val="16"/>
          <w:b w:val="1"/>
          <w:bCs w:val="1"/>
          <w:color w:val="auto"/>
        </w:rPr>
        <w:t>Name of Each Exchange on Which Registered</w:t>
      </w:r>
    </w:p>
    <w:p>
      <w:pPr>
        <w:spacing w:after="0" w:line="50" w:lineRule="exact"/>
        <w:rPr>
          <w:sz w:val="24"/>
          <w:szCs w:val="24"/>
          <w:color w:val="auto"/>
        </w:rPr>
      </w:pPr>
    </w:p>
    <w:p>
      <w:pPr>
        <w:jc w:val="center"/>
        <w:ind w:right="340"/>
        <w:spacing w:after="0"/>
        <w:rPr>
          <w:sz w:val="20"/>
          <w:szCs w:val="20"/>
          <w:color w:val="auto"/>
        </w:rPr>
      </w:pPr>
      <w:r>
        <w:rPr>
          <w:rFonts w:ascii="Arial" w:cs="Arial" w:eastAsia="Arial" w:hAnsi="Arial"/>
          <w:sz w:val="18"/>
          <w:szCs w:val="18"/>
          <w:color w:val="auto"/>
        </w:rPr>
        <w:t>The Nasdaq Stock Market LLC</w:t>
      </w:r>
    </w:p>
    <w:p>
      <w:pPr>
        <w:spacing w:after="0" w:line="200" w:lineRule="exact"/>
        <w:rPr>
          <w:sz w:val="24"/>
          <w:szCs w:val="24"/>
          <w:color w:val="auto"/>
        </w:rPr>
      </w:pPr>
    </w:p>
    <w:p>
      <w:pPr>
        <w:sectPr>
          <w:pgSz w:w="11900" w:h="16838" w:orient="portrait"/>
          <w:cols w:equalWidth="0" w:num="3">
            <w:col w:w="4200" w:space="720"/>
            <w:col w:w="1600" w:space="720"/>
            <w:col w:w="3860"/>
          </w:cols>
          <w:pgMar w:left="320" w:top="724" w:right="479" w:bottom="1440" w:gutter="0" w:footer="0" w:header="0"/>
          <w:type w:val="continuous"/>
        </w:sectPr>
      </w:pPr>
    </w:p>
    <w:p>
      <w:pPr>
        <w:spacing w:after="0" w:line="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183515</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February 9, 2021, PennantPark Floating Rate Capital Ltd., or the Company, issued a press release announcing its financial results for the first fiscal quarter ended December 31, 2020. A copy of the press release is furnished as Exhibit 99.1 to this report pursuant to Item 2.02 on Form 8-K and Regulation FD.</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 For information concerning the COVID-19 pandemic and its potential impact on the Company’s business and operating results, see the Company’s Quarterly Report on Form 10-Q for the quarter ended December 31, 2020, including “Item 2. Management's Discussion and Analysis of Financial Condition and Results of Operations – COVID-19 Developments”.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as well as changes in the economy and risks associated with possible disruption in the Company’s operations or the economy generally due to terrorism, natural disasters or pandemics such as COVID-19.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4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PennantPark Floating Rate Capital Ltd.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its historical experience and present expectations.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0" w:right="9340" w:hanging="592"/>
        <w:spacing w:after="0" w:line="313" w:lineRule="auto"/>
        <w:tabs>
          <w:tab w:leader="none" w:pos="27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statements: </w:t>
      </w:r>
      <w:r>
        <w:rPr>
          <w:rFonts w:ascii="Arial" w:cs="Arial" w:eastAsia="Arial" w:hAnsi="Arial"/>
          <w:sz w:val="15"/>
          <w:szCs w:val="15"/>
          <w:color w:val="auto"/>
        </w:rPr>
        <w:t>None</w:t>
      </w:r>
    </w:p>
    <w:p>
      <w:pPr>
        <w:ind w:left="600" w:right="8440" w:hanging="592"/>
        <w:spacing w:after="0" w:line="250" w:lineRule="auto"/>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820" w:hanging="592"/>
        <w:spacing w:after="0" w:line="250" w:lineRule="auto"/>
        <w:tabs>
          <w:tab w:leader="none" w:pos="2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of PennantPark Floating Rate Capital Ltd. dated February 9,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5000" w:type="dxa"/>
            <w:vAlign w:val="bottom"/>
            <w:gridSpan w:val="3"/>
          </w:tcPr>
          <w:p>
            <w:pPr>
              <w:ind w:left="1900"/>
              <w:spacing w:after="0"/>
              <w:rPr>
                <w:sz w:val="20"/>
                <w:szCs w:val="20"/>
                <w:color w:val="auto"/>
              </w:rPr>
            </w:pPr>
            <w:r>
              <w:rPr>
                <w:rFonts w:ascii="Arial" w:cs="Arial" w:eastAsia="Arial" w:hAnsi="Arial"/>
                <w:sz w:val="18"/>
                <w:szCs w:val="18"/>
                <w:b w:val="1"/>
                <w:bCs w:val="1"/>
                <w:color w:val="auto"/>
                <w:w w:val="92"/>
              </w:rPr>
              <w:t>PennantPark Floating Rate Capital Ltd.</w:t>
            </w:r>
          </w:p>
        </w:tc>
      </w:tr>
      <w:tr>
        <w:trPr>
          <w:trHeight w:val="608"/>
        </w:trPr>
        <w:tc>
          <w:tcPr>
            <w:tcW w:w="3560" w:type="dxa"/>
            <w:vAlign w:val="bottom"/>
          </w:tcPr>
          <w:p>
            <w:pPr>
              <w:spacing w:after="0"/>
              <w:rPr>
                <w:sz w:val="20"/>
                <w:szCs w:val="20"/>
                <w:color w:val="auto"/>
              </w:rPr>
            </w:pPr>
            <w:r>
              <w:rPr>
                <w:rFonts w:ascii="Arial" w:cs="Arial" w:eastAsia="Arial" w:hAnsi="Arial"/>
                <w:sz w:val="18"/>
                <w:szCs w:val="18"/>
                <w:color w:val="auto"/>
              </w:rPr>
              <w:t>Date: February 9, 2021</w:t>
            </w:r>
          </w:p>
        </w:tc>
        <w:tc>
          <w:tcPr>
            <w:tcW w:w="5000" w:type="dxa"/>
            <w:vAlign w:val="bottom"/>
            <w:gridSpan w:val="3"/>
          </w:tcPr>
          <w:p>
            <w:pPr>
              <w:ind w:left="1900"/>
              <w:spacing w:after="0"/>
              <w:rPr>
                <w:sz w:val="20"/>
                <w:szCs w:val="20"/>
                <w:color w:val="auto"/>
              </w:rPr>
            </w:pPr>
            <w:r>
              <w:rPr>
                <w:rFonts w:ascii="Arial" w:cs="Arial" w:eastAsia="Arial" w:hAnsi="Arial"/>
                <w:sz w:val="18"/>
                <w:szCs w:val="18"/>
                <w:color w:val="auto"/>
              </w:rPr>
              <w:t>By: /s/ Aviv Efrat</w:t>
            </w:r>
          </w:p>
        </w:tc>
      </w:tr>
      <w:tr>
        <w:trPr>
          <w:trHeight w:val="222"/>
        </w:trPr>
        <w:tc>
          <w:tcPr>
            <w:tcW w:w="35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1460" w:type="dxa"/>
            <w:vAlign w:val="bottom"/>
          </w:tcPr>
          <w:p>
            <w:pPr>
              <w:spacing w:after="0"/>
              <w:rPr>
                <w:sz w:val="19"/>
                <w:szCs w:val="19"/>
                <w:color w:val="auto"/>
              </w:rPr>
            </w:pPr>
          </w:p>
        </w:tc>
      </w:tr>
      <w:tr>
        <w:trPr>
          <w:trHeight w:val="230"/>
        </w:trPr>
        <w:tc>
          <w:tcPr>
            <w:tcW w:w="35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w w:val="99"/>
              </w:rPr>
              <w:t>Chief Financial Officer &amp; Treasurer</w:t>
            </w:r>
          </w:p>
        </w:tc>
      </w:tr>
    </w:tbl>
    <w:p>
      <w:pPr>
        <w:sectPr>
          <w:pgSz w:w="11900" w:h="16838" w:orient="portrait"/>
          <w:cols w:equalWidth="0" w:num="1">
            <w:col w:w="11200"/>
          </w:cols>
          <w:pgMar w:left="320" w:top="337" w:right="379" w:bottom="1440" w:gutter="0" w:footer="0" w:header="0"/>
        </w:sectPr>
      </w:pPr>
    </w:p>
    <w:bookmarkStart w:id="3" w:name="page4"/>
    <w:bookmarkEnd w:id="3"/>
    <w:p>
      <w:pPr>
        <w:spacing w:after="0" w:line="57"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PennantPark Floating Rate Capital Ltd. Announces Financial Results for the Quarter Ended December 31, 2020</w:t>
      </w:r>
    </w:p>
    <w:p>
      <w:pPr>
        <w:spacing w:after="0" w:line="224" w:lineRule="exact"/>
        <w:rPr>
          <w:sz w:val="20"/>
          <w:szCs w:val="20"/>
          <w:color w:val="auto"/>
        </w:rPr>
      </w:pPr>
    </w:p>
    <w:p>
      <w:pPr>
        <w:spacing w:after="0"/>
        <w:rPr>
          <w:sz w:val="20"/>
          <w:szCs w:val="20"/>
          <w:color w:val="auto"/>
        </w:rPr>
      </w:pPr>
      <w:r>
        <w:rPr>
          <w:rFonts w:ascii="Arial" w:cs="Arial" w:eastAsia="Arial" w:hAnsi="Arial"/>
          <w:sz w:val="21"/>
          <w:szCs w:val="21"/>
          <w:color w:val="auto"/>
        </w:rPr>
        <w:t>NEW YORK, Feb. 09, 2021 (GLOBE NEWSWIRE) -- PennantPark Floating Rate Capital Ltd. (NASDAQ: PFLT) (TASE:</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PFLT) announced today financial results for the first fiscal quarter ended December 31, 2020.</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HIGHLIGHTS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Quarter ended December 31, 2020</w:t>
      </w:r>
    </w:p>
    <w:p>
      <w:pPr>
        <w:spacing w:after="0"/>
        <w:rPr>
          <w:sz w:val="20"/>
          <w:szCs w:val="20"/>
          <w:color w:val="auto"/>
        </w:rPr>
      </w:pPr>
      <w:r>
        <w:rPr>
          <w:rFonts w:ascii="Arial" w:cs="Arial" w:eastAsia="Arial" w:hAnsi="Arial"/>
          <w:sz w:val="22"/>
          <w:szCs w:val="22"/>
          <w:color w:val="auto"/>
        </w:rPr>
        <w:t>($ in millions, except per share amounts)</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5500" w:type="dxa"/>
            <w:vAlign w:val="bottom"/>
          </w:tcPr>
          <w:p>
            <w:pPr>
              <w:spacing w:after="0"/>
              <w:rPr>
                <w:sz w:val="20"/>
                <w:szCs w:val="20"/>
                <w:color w:val="auto"/>
              </w:rPr>
            </w:pPr>
            <w:r>
              <w:rPr>
                <w:rFonts w:ascii="Arial" w:cs="Arial" w:eastAsia="Arial" w:hAnsi="Arial"/>
                <w:sz w:val="22"/>
                <w:szCs w:val="22"/>
                <w:color w:val="auto"/>
              </w:rPr>
              <w:t>Assets and Liabilities:</w:t>
            </w:r>
          </w:p>
        </w:tc>
        <w:tc>
          <w:tcPr>
            <w:tcW w:w="140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320"/>
        </w:trPr>
        <w:tc>
          <w:tcPr>
            <w:tcW w:w="5500" w:type="dxa"/>
            <w:vAlign w:val="bottom"/>
          </w:tcPr>
          <w:p>
            <w:pPr>
              <w:ind w:left="120"/>
              <w:spacing w:after="0" w:line="319" w:lineRule="exact"/>
              <w:rPr>
                <w:sz w:val="20"/>
                <w:szCs w:val="20"/>
                <w:color w:val="auto"/>
              </w:rPr>
            </w:pPr>
            <w:r>
              <w:rPr>
                <w:rFonts w:ascii="Arial" w:cs="Arial" w:eastAsia="Arial" w:hAnsi="Arial"/>
                <w:sz w:val="22"/>
                <w:szCs w:val="22"/>
                <w:color w:val="auto"/>
              </w:rPr>
              <w:t xml:space="preserve">Investment portfolio </w:t>
            </w:r>
            <w:r>
              <w:rPr>
                <w:rFonts w:ascii="Arial" w:cs="Arial" w:eastAsia="Arial" w:hAnsi="Arial"/>
                <w:sz w:val="35"/>
                <w:szCs w:val="35"/>
                <w:color w:val="auto"/>
                <w:vertAlign w:val="superscript"/>
              </w:rPr>
              <w:t>(1)</w:t>
            </w:r>
          </w:p>
        </w:tc>
        <w:tc>
          <w:tcPr>
            <w:tcW w:w="140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800" w:type="dxa"/>
            <w:vAlign w:val="bottom"/>
          </w:tcPr>
          <w:p>
            <w:pPr>
              <w:jc w:val="right"/>
              <w:spacing w:after="0"/>
              <w:rPr>
                <w:sz w:val="20"/>
                <w:szCs w:val="20"/>
                <w:color w:val="auto"/>
              </w:rPr>
            </w:pPr>
            <w:r>
              <w:rPr>
                <w:rFonts w:ascii="Arial" w:cs="Arial" w:eastAsia="Arial" w:hAnsi="Arial"/>
                <w:sz w:val="22"/>
                <w:szCs w:val="22"/>
                <w:color w:val="auto"/>
              </w:rPr>
              <w:t>1,067.3</w:t>
            </w:r>
          </w:p>
        </w:tc>
      </w:tr>
      <w:tr>
        <w:trPr>
          <w:trHeight w:val="270"/>
        </w:trPr>
        <w:tc>
          <w:tcPr>
            <w:tcW w:w="5500" w:type="dxa"/>
            <w:vAlign w:val="bottom"/>
          </w:tcPr>
          <w:p>
            <w:pPr>
              <w:ind w:left="120"/>
              <w:spacing w:after="0"/>
              <w:rPr>
                <w:sz w:val="20"/>
                <w:szCs w:val="20"/>
                <w:color w:val="auto"/>
              </w:rPr>
            </w:pPr>
            <w:r>
              <w:rPr>
                <w:rFonts w:ascii="Arial" w:cs="Arial" w:eastAsia="Arial" w:hAnsi="Arial"/>
                <w:sz w:val="22"/>
                <w:szCs w:val="22"/>
                <w:color w:val="auto"/>
              </w:rPr>
              <w:t>PSSL investment portfolio</w:t>
            </w:r>
          </w:p>
        </w:tc>
        <w:tc>
          <w:tcPr>
            <w:tcW w:w="140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800" w:type="dxa"/>
            <w:vAlign w:val="bottom"/>
          </w:tcPr>
          <w:p>
            <w:pPr>
              <w:jc w:val="right"/>
              <w:spacing w:after="0"/>
              <w:rPr>
                <w:sz w:val="20"/>
                <w:szCs w:val="20"/>
                <w:color w:val="auto"/>
              </w:rPr>
            </w:pPr>
            <w:r>
              <w:rPr>
                <w:rFonts w:ascii="Arial" w:cs="Arial" w:eastAsia="Arial" w:hAnsi="Arial"/>
                <w:sz w:val="22"/>
                <w:szCs w:val="22"/>
                <w:color w:val="auto"/>
              </w:rPr>
              <w:t>382.2</w:t>
            </w:r>
          </w:p>
        </w:tc>
      </w:tr>
      <w:tr>
        <w:trPr>
          <w:trHeight w:val="270"/>
        </w:trPr>
        <w:tc>
          <w:tcPr>
            <w:tcW w:w="5500" w:type="dxa"/>
            <w:vAlign w:val="bottom"/>
          </w:tcPr>
          <w:p>
            <w:pPr>
              <w:ind w:left="120"/>
              <w:spacing w:after="0"/>
              <w:rPr>
                <w:sz w:val="20"/>
                <w:szCs w:val="20"/>
                <w:color w:val="auto"/>
              </w:rPr>
            </w:pPr>
            <w:r>
              <w:rPr>
                <w:rFonts w:ascii="Arial" w:cs="Arial" w:eastAsia="Arial" w:hAnsi="Arial"/>
                <w:sz w:val="22"/>
                <w:szCs w:val="22"/>
                <w:color w:val="auto"/>
              </w:rPr>
              <w:t>Net assets</w:t>
            </w:r>
          </w:p>
        </w:tc>
        <w:tc>
          <w:tcPr>
            <w:tcW w:w="140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800" w:type="dxa"/>
            <w:vAlign w:val="bottom"/>
          </w:tcPr>
          <w:p>
            <w:pPr>
              <w:jc w:val="right"/>
              <w:spacing w:after="0"/>
              <w:rPr>
                <w:sz w:val="20"/>
                <w:szCs w:val="20"/>
                <w:color w:val="auto"/>
              </w:rPr>
            </w:pPr>
            <w:r>
              <w:rPr>
                <w:rFonts w:ascii="Arial" w:cs="Arial" w:eastAsia="Arial" w:hAnsi="Arial"/>
                <w:sz w:val="22"/>
                <w:szCs w:val="22"/>
                <w:color w:val="auto"/>
              </w:rPr>
              <w:t>492.4</w:t>
            </w:r>
          </w:p>
        </w:tc>
      </w:tr>
      <w:tr>
        <w:trPr>
          <w:trHeight w:val="270"/>
        </w:trPr>
        <w:tc>
          <w:tcPr>
            <w:tcW w:w="5500" w:type="dxa"/>
            <w:vAlign w:val="bottom"/>
          </w:tcPr>
          <w:p>
            <w:pPr>
              <w:ind w:left="120"/>
              <w:spacing w:after="0"/>
              <w:rPr>
                <w:sz w:val="20"/>
                <w:szCs w:val="20"/>
                <w:color w:val="auto"/>
              </w:rPr>
            </w:pPr>
            <w:r>
              <w:rPr>
                <w:rFonts w:ascii="Arial" w:cs="Arial" w:eastAsia="Arial" w:hAnsi="Arial"/>
                <w:sz w:val="22"/>
                <w:szCs w:val="22"/>
                <w:color w:val="auto"/>
              </w:rPr>
              <w:t>GAAP net asset value per share</w:t>
            </w:r>
          </w:p>
        </w:tc>
        <w:tc>
          <w:tcPr>
            <w:tcW w:w="140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800" w:type="dxa"/>
            <w:vAlign w:val="bottom"/>
          </w:tcPr>
          <w:p>
            <w:pPr>
              <w:jc w:val="right"/>
              <w:spacing w:after="0"/>
              <w:rPr>
                <w:sz w:val="20"/>
                <w:szCs w:val="20"/>
                <w:color w:val="auto"/>
              </w:rPr>
            </w:pPr>
            <w:r>
              <w:rPr>
                <w:rFonts w:ascii="Arial" w:cs="Arial" w:eastAsia="Arial" w:hAnsi="Arial"/>
                <w:sz w:val="22"/>
                <w:szCs w:val="22"/>
                <w:color w:val="auto"/>
              </w:rPr>
              <w:t>12.70</w:t>
            </w:r>
          </w:p>
        </w:tc>
      </w:tr>
      <w:tr>
        <w:trPr>
          <w:trHeight w:val="274"/>
        </w:trPr>
        <w:tc>
          <w:tcPr>
            <w:tcW w:w="5500" w:type="dxa"/>
            <w:vAlign w:val="bottom"/>
          </w:tcPr>
          <w:p>
            <w:pPr>
              <w:ind w:left="120"/>
              <w:spacing w:after="0"/>
              <w:rPr>
                <w:sz w:val="20"/>
                <w:szCs w:val="20"/>
                <w:color w:val="auto"/>
              </w:rPr>
            </w:pPr>
            <w:r>
              <w:rPr>
                <w:rFonts w:ascii="Arial" w:cs="Arial" w:eastAsia="Arial" w:hAnsi="Arial"/>
                <w:sz w:val="22"/>
                <w:szCs w:val="22"/>
                <w:color w:val="auto"/>
              </w:rPr>
              <w:t>Increase GAAP net asset value per share</w:t>
            </w:r>
          </w:p>
        </w:tc>
        <w:tc>
          <w:tcPr>
            <w:tcW w:w="1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327"/>
        </w:trPr>
        <w:tc>
          <w:tcPr>
            <w:tcW w:w="5500" w:type="dxa"/>
            <w:vAlign w:val="bottom"/>
          </w:tcPr>
          <w:p>
            <w:pPr>
              <w:ind w:left="120"/>
              <w:spacing w:after="0" w:line="326" w:lineRule="exact"/>
              <w:rPr>
                <w:sz w:val="20"/>
                <w:szCs w:val="20"/>
                <w:color w:val="auto"/>
              </w:rPr>
            </w:pPr>
            <w:r>
              <w:rPr>
                <w:rFonts w:ascii="Arial" w:cs="Arial" w:eastAsia="Arial" w:hAnsi="Arial"/>
                <w:sz w:val="22"/>
                <w:szCs w:val="22"/>
                <w:color w:val="auto"/>
              </w:rPr>
              <w:t xml:space="preserve">Adjusted net asset value per share </w:t>
            </w:r>
            <w:r>
              <w:rPr>
                <w:rFonts w:ascii="Arial" w:cs="Arial" w:eastAsia="Arial" w:hAnsi="Arial"/>
                <w:sz w:val="35"/>
                <w:szCs w:val="35"/>
                <w:color w:val="auto"/>
                <w:vertAlign w:val="superscript"/>
              </w:rPr>
              <w:t>(2)</w:t>
            </w:r>
          </w:p>
        </w:tc>
        <w:tc>
          <w:tcPr>
            <w:tcW w:w="140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800" w:type="dxa"/>
            <w:vAlign w:val="bottom"/>
          </w:tcPr>
          <w:p>
            <w:pPr>
              <w:jc w:val="right"/>
              <w:spacing w:after="0"/>
              <w:rPr>
                <w:sz w:val="20"/>
                <w:szCs w:val="20"/>
                <w:color w:val="auto"/>
              </w:rPr>
            </w:pPr>
            <w:r>
              <w:rPr>
                <w:rFonts w:ascii="Arial" w:cs="Arial" w:eastAsia="Arial" w:hAnsi="Arial"/>
                <w:sz w:val="22"/>
                <w:szCs w:val="22"/>
                <w:color w:val="auto"/>
              </w:rPr>
              <w:t>12.32</w:t>
            </w:r>
          </w:p>
        </w:tc>
      </w:tr>
      <w:tr>
        <w:trPr>
          <w:trHeight w:val="471"/>
        </w:trPr>
        <w:tc>
          <w:tcPr>
            <w:tcW w:w="5500" w:type="dxa"/>
            <w:vAlign w:val="bottom"/>
          </w:tcPr>
          <w:p>
            <w:pPr>
              <w:ind w:left="120"/>
              <w:spacing w:after="0"/>
              <w:rPr>
                <w:sz w:val="20"/>
                <w:szCs w:val="20"/>
                <w:color w:val="auto"/>
              </w:rPr>
            </w:pPr>
            <w:r>
              <w:rPr>
                <w:rFonts w:ascii="Arial" w:cs="Arial" w:eastAsia="Arial" w:hAnsi="Arial"/>
                <w:sz w:val="22"/>
                <w:szCs w:val="22"/>
                <w:color w:val="auto"/>
              </w:rPr>
              <w:t xml:space="preserve">Increase in adjusted net asset value per share </w:t>
            </w:r>
            <w:r>
              <w:rPr>
                <w:rFonts w:ascii="Arial" w:cs="Arial" w:eastAsia="Arial" w:hAnsi="Arial"/>
                <w:sz w:val="35"/>
                <w:szCs w:val="35"/>
                <w:color w:val="auto"/>
                <w:vertAlign w:val="superscript"/>
              </w:rPr>
              <w:t>(2)</w:t>
            </w:r>
          </w:p>
        </w:tc>
        <w:tc>
          <w:tcPr>
            <w:tcW w:w="14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2"/>
                <w:szCs w:val="22"/>
                <w:color w:val="auto"/>
              </w:rPr>
              <w:t>4.3%</w:t>
            </w:r>
          </w:p>
        </w:tc>
      </w:tr>
      <w:tr>
        <w:trPr>
          <w:trHeight w:val="386"/>
        </w:trPr>
        <w:tc>
          <w:tcPr>
            <w:tcW w:w="5500" w:type="dxa"/>
            <w:vAlign w:val="bottom"/>
          </w:tcPr>
          <w:p>
            <w:pPr>
              <w:ind w:left="120"/>
              <w:spacing w:after="0"/>
              <w:rPr>
                <w:sz w:val="20"/>
                <w:szCs w:val="20"/>
                <w:color w:val="auto"/>
              </w:rPr>
            </w:pPr>
            <w:r>
              <w:rPr>
                <w:rFonts w:ascii="Arial" w:cs="Arial" w:eastAsia="Arial" w:hAnsi="Arial"/>
                <w:sz w:val="22"/>
                <w:szCs w:val="22"/>
                <w:color w:val="auto"/>
              </w:rPr>
              <w:t>Credit Facility</w:t>
            </w:r>
          </w:p>
        </w:tc>
        <w:tc>
          <w:tcPr>
            <w:tcW w:w="140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800" w:type="dxa"/>
            <w:vAlign w:val="bottom"/>
          </w:tcPr>
          <w:p>
            <w:pPr>
              <w:jc w:val="right"/>
              <w:spacing w:after="0"/>
              <w:rPr>
                <w:sz w:val="20"/>
                <w:szCs w:val="20"/>
                <w:color w:val="auto"/>
              </w:rPr>
            </w:pPr>
            <w:r>
              <w:rPr>
                <w:rFonts w:ascii="Arial" w:cs="Arial" w:eastAsia="Arial" w:hAnsi="Arial"/>
                <w:sz w:val="22"/>
                <w:szCs w:val="22"/>
                <w:color w:val="auto"/>
              </w:rPr>
              <w:t>253.3</w:t>
            </w:r>
          </w:p>
        </w:tc>
      </w:tr>
      <w:tr>
        <w:trPr>
          <w:trHeight w:val="270"/>
        </w:trPr>
        <w:tc>
          <w:tcPr>
            <w:tcW w:w="5500" w:type="dxa"/>
            <w:vAlign w:val="bottom"/>
          </w:tcPr>
          <w:p>
            <w:pPr>
              <w:ind w:left="120"/>
              <w:spacing w:after="0"/>
              <w:rPr>
                <w:sz w:val="20"/>
                <w:szCs w:val="20"/>
                <w:color w:val="auto"/>
              </w:rPr>
            </w:pPr>
            <w:r>
              <w:rPr>
                <w:rFonts w:ascii="Arial" w:cs="Arial" w:eastAsia="Arial" w:hAnsi="Arial"/>
                <w:sz w:val="22"/>
                <w:szCs w:val="22"/>
                <w:color w:val="auto"/>
              </w:rPr>
              <w:t>2023 Notes</w:t>
            </w:r>
          </w:p>
        </w:tc>
        <w:tc>
          <w:tcPr>
            <w:tcW w:w="140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800" w:type="dxa"/>
            <w:vAlign w:val="bottom"/>
          </w:tcPr>
          <w:p>
            <w:pPr>
              <w:jc w:val="right"/>
              <w:spacing w:after="0"/>
              <w:rPr>
                <w:sz w:val="20"/>
                <w:szCs w:val="20"/>
                <w:color w:val="auto"/>
              </w:rPr>
            </w:pPr>
            <w:r>
              <w:rPr>
                <w:rFonts w:ascii="Arial" w:cs="Arial" w:eastAsia="Arial" w:hAnsi="Arial"/>
                <w:sz w:val="22"/>
                <w:szCs w:val="22"/>
                <w:color w:val="auto"/>
              </w:rPr>
              <w:t>106.6</w:t>
            </w:r>
          </w:p>
        </w:tc>
      </w:tr>
      <w:tr>
        <w:trPr>
          <w:trHeight w:val="270"/>
        </w:trPr>
        <w:tc>
          <w:tcPr>
            <w:tcW w:w="5500" w:type="dxa"/>
            <w:vAlign w:val="bottom"/>
          </w:tcPr>
          <w:p>
            <w:pPr>
              <w:ind w:left="120"/>
              <w:spacing w:after="0"/>
              <w:rPr>
                <w:sz w:val="20"/>
                <w:szCs w:val="20"/>
                <w:color w:val="auto"/>
              </w:rPr>
            </w:pPr>
            <w:r>
              <w:rPr>
                <w:rFonts w:ascii="Arial" w:cs="Arial" w:eastAsia="Arial" w:hAnsi="Arial"/>
                <w:sz w:val="22"/>
                <w:szCs w:val="22"/>
                <w:color w:val="auto"/>
              </w:rPr>
              <w:t>2031 Asset-Backed Debt</w:t>
            </w:r>
          </w:p>
        </w:tc>
        <w:tc>
          <w:tcPr>
            <w:tcW w:w="140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800" w:type="dxa"/>
            <w:vAlign w:val="bottom"/>
          </w:tcPr>
          <w:p>
            <w:pPr>
              <w:jc w:val="right"/>
              <w:spacing w:after="0"/>
              <w:rPr>
                <w:sz w:val="20"/>
                <w:szCs w:val="20"/>
                <w:color w:val="auto"/>
              </w:rPr>
            </w:pPr>
            <w:r>
              <w:rPr>
                <w:rFonts w:ascii="Arial" w:cs="Arial" w:eastAsia="Arial" w:hAnsi="Arial"/>
                <w:sz w:val="22"/>
                <w:szCs w:val="22"/>
                <w:color w:val="auto"/>
              </w:rPr>
              <w:t>225.0</w:t>
            </w:r>
          </w:p>
        </w:tc>
      </w:tr>
      <w:tr>
        <w:trPr>
          <w:trHeight w:val="274"/>
        </w:trPr>
        <w:tc>
          <w:tcPr>
            <w:tcW w:w="5500" w:type="dxa"/>
            <w:vAlign w:val="bottom"/>
          </w:tcPr>
          <w:p>
            <w:pPr>
              <w:ind w:left="120"/>
              <w:spacing w:after="0"/>
              <w:rPr>
                <w:sz w:val="20"/>
                <w:szCs w:val="20"/>
                <w:color w:val="auto"/>
              </w:rPr>
            </w:pPr>
            <w:r>
              <w:rPr>
                <w:rFonts w:ascii="Arial" w:cs="Arial" w:eastAsia="Arial" w:hAnsi="Arial"/>
                <w:sz w:val="22"/>
                <w:szCs w:val="22"/>
                <w:color w:val="auto"/>
              </w:rPr>
              <w:t>Regulatory Debt to Equity</w:t>
            </w:r>
          </w:p>
        </w:tc>
        <w:tc>
          <w:tcPr>
            <w:tcW w:w="1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22"/>
                <w:szCs w:val="22"/>
                <w:color w:val="auto"/>
              </w:rPr>
              <w:t>1.26x</w:t>
            </w:r>
          </w:p>
        </w:tc>
      </w:tr>
      <w:tr>
        <w:trPr>
          <w:trHeight w:val="327"/>
        </w:trPr>
        <w:tc>
          <w:tcPr>
            <w:tcW w:w="5500" w:type="dxa"/>
            <w:vAlign w:val="bottom"/>
          </w:tcPr>
          <w:p>
            <w:pPr>
              <w:ind w:left="120"/>
              <w:spacing w:after="0" w:line="326" w:lineRule="exact"/>
              <w:rPr>
                <w:sz w:val="20"/>
                <w:szCs w:val="20"/>
                <w:color w:val="auto"/>
              </w:rPr>
            </w:pPr>
            <w:r>
              <w:rPr>
                <w:rFonts w:ascii="Arial" w:cs="Arial" w:eastAsia="Arial" w:hAnsi="Arial"/>
                <w:sz w:val="22"/>
                <w:szCs w:val="22"/>
                <w:color w:val="auto"/>
              </w:rPr>
              <w:t xml:space="preserve">Regulatory Net Debt to Equity </w:t>
            </w:r>
            <w:r>
              <w:rPr>
                <w:rFonts w:ascii="Arial" w:cs="Arial" w:eastAsia="Arial" w:hAnsi="Arial"/>
                <w:sz w:val="35"/>
                <w:szCs w:val="35"/>
                <w:color w:val="auto"/>
                <w:vertAlign w:val="superscript"/>
              </w:rPr>
              <w:t>(3)</w:t>
            </w:r>
          </w:p>
        </w:tc>
        <w:tc>
          <w:tcPr>
            <w:tcW w:w="14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2"/>
                <w:szCs w:val="22"/>
                <w:color w:val="auto"/>
              </w:rPr>
              <w:t>1.20x</w:t>
            </w:r>
          </w:p>
        </w:tc>
      </w:tr>
      <w:tr>
        <w:trPr>
          <w:trHeight w:val="471"/>
        </w:trPr>
        <w:tc>
          <w:tcPr>
            <w:tcW w:w="5500" w:type="dxa"/>
            <w:vAlign w:val="bottom"/>
          </w:tcPr>
          <w:p>
            <w:pPr>
              <w:ind w:left="120"/>
              <w:spacing w:after="0"/>
              <w:rPr>
                <w:sz w:val="20"/>
                <w:szCs w:val="20"/>
                <w:color w:val="auto"/>
              </w:rPr>
            </w:pPr>
            <w:r>
              <w:rPr>
                <w:rFonts w:ascii="Arial" w:cs="Arial" w:eastAsia="Arial" w:hAnsi="Arial"/>
                <w:sz w:val="22"/>
                <w:szCs w:val="22"/>
                <w:color w:val="auto"/>
              </w:rPr>
              <w:t xml:space="preserve">GAAP Net Debt to Equity </w:t>
            </w:r>
            <w:r>
              <w:rPr>
                <w:rFonts w:ascii="Arial" w:cs="Arial" w:eastAsia="Arial" w:hAnsi="Arial"/>
                <w:sz w:val="35"/>
                <w:szCs w:val="35"/>
                <w:color w:val="auto"/>
                <w:vertAlign w:val="superscript"/>
              </w:rPr>
              <w:t>(4)</w:t>
            </w:r>
          </w:p>
        </w:tc>
        <w:tc>
          <w:tcPr>
            <w:tcW w:w="14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2"/>
                <w:szCs w:val="22"/>
                <w:color w:val="auto"/>
              </w:rPr>
              <w:t>1.13x</w:t>
            </w:r>
          </w:p>
        </w:tc>
      </w:tr>
      <w:tr>
        <w:trPr>
          <w:trHeight w:val="390"/>
        </w:trPr>
        <w:tc>
          <w:tcPr>
            <w:tcW w:w="5500" w:type="dxa"/>
            <w:vAlign w:val="bottom"/>
          </w:tcPr>
          <w:p>
            <w:pPr>
              <w:ind w:left="120"/>
              <w:spacing w:after="0"/>
              <w:rPr>
                <w:sz w:val="20"/>
                <w:szCs w:val="20"/>
                <w:color w:val="auto"/>
              </w:rPr>
            </w:pPr>
            <w:r>
              <w:rPr>
                <w:rFonts w:ascii="Arial" w:cs="Arial" w:eastAsia="Arial" w:hAnsi="Arial"/>
                <w:sz w:val="22"/>
                <w:szCs w:val="22"/>
                <w:color w:val="auto"/>
              </w:rPr>
              <w:t>Yield on debt investments at quarter-end</w:t>
            </w:r>
          </w:p>
        </w:tc>
        <w:tc>
          <w:tcPr>
            <w:tcW w:w="14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2"/>
                <w:szCs w:val="22"/>
                <w:color w:val="auto"/>
              </w:rPr>
              <w:t>7.5%</w:t>
            </w:r>
          </w:p>
        </w:tc>
      </w:tr>
      <w:tr>
        <w:trPr>
          <w:trHeight w:val="941"/>
        </w:trPr>
        <w:tc>
          <w:tcPr>
            <w:tcW w:w="5500" w:type="dxa"/>
            <w:vAlign w:val="bottom"/>
          </w:tcPr>
          <w:p>
            <w:pPr>
              <w:spacing w:after="0"/>
              <w:rPr>
                <w:sz w:val="20"/>
                <w:szCs w:val="20"/>
                <w:color w:val="auto"/>
              </w:rPr>
            </w:pPr>
            <w:r>
              <w:rPr>
                <w:rFonts w:ascii="Arial" w:cs="Arial" w:eastAsia="Arial" w:hAnsi="Arial"/>
                <w:sz w:val="22"/>
                <w:szCs w:val="22"/>
                <w:color w:val="auto"/>
              </w:rPr>
              <w:t>Operating Results:</w:t>
            </w:r>
          </w:p>
        </w:tc>
        <w:tc>
          <w:tcPr>
            <w:tcW w:w="14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70"/>
        </w:trPr>
        <w:tc>
          <w:tcPr>
            <w:tcW w:w="5500" w:type="dxa"/>
            <w:vAlign w:val="bottom"/>
          </w:tcPr>
          <w:p>
            <w:pPr>
              <w:ind w:left="120"/>
              <w:spacing w:after="0"/>
              <w:rPr>
                <w:sz w:val="20"/>
                <w:szCs w:val="20"/>
                <w:color w:val="auto"/>
              </w:rPr>
            </w:pPr>
            <w:r>
              <w:rPr>
                <w:rFonts w:ascii="Arial" w:cs="Arial" w:eastAsia="Arial" w:hAnsi="Arial"/>
                <w:sz w:val="22"/>
                <w:szCs w:val="22"/>
                <w:color w:val="auto"/>
              </w:rPr>
              <w:t>Net investment income</w:t>
            </w:r>
          </w:p>
        </w:tc>
        <w:tc>
          <w:tcPr>
            <w:tcW w:w="140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800" w:type="dxa"/>
            <w:vAlign w:val="bottom"/>
          </w:tcPr>
          <w:p>
            <w:pPr>
              <w:jc w:val="right"/>
              <w:spacing w:after="0"/>
              <w:rPr>
                <w:sz w:val="20"/>
                <w:szCs w:val="20"/>
                <w:color w:val="auto"/>
              </w:rPr>
            </w:pPr>
            <w:r>
              <w:rPr>
                <w:rFonts w:ascii="Arial" w:cs="Arial" w:eastAsia="Arial" w:hAnsi="Arial"/>
                <w:sz w:val="22"/>
                <w:szCs w:val="22"/>
                <w:color w:val="auto"/>
              </w:rPr>
              <w:t>10.1</w:t>
            </w:r>
          </w:p>
        </w:tc>
      </w:tr>
      <w:tr>
        <w:trPr>
          <w:trHeight w:val="270"/>
        </w:trPr>
        <w:tc>
          <w:tcPr>
            <w:tcW w:w="5500" w:type="dxa"/>
            <w:vAlign w:val="bottom"/>
          </w:tcPr>
          <w:p>
            <w:pPr>
              <w:ind w:left="120"/>
              <w:spacing w:after="0"/>
              <w:rPr>
                <w:sz w:val="20"/>
                <w:szCs w:val="20"/>
                <w:color w:val="auto"/>
              </w:rPr>
            </w:pPr>
            <w:r>
              <w:rPr>
                <w:rFonts w:ascii="Arial" w:cs="Arial" w:eastAsia="Arial" w:hAnsi="Arial"/>
                <w:sz w:val="22"/>
                <w:szCs w:val="22"/>
                <w:color w:val="auto"/>
              </w:rPr>
              <w:t>Net investment income per share</w:t>
            </w:r>
          </w:p>
        </w:tc>
        <w:tc>
          <w:tcPr>
            <w:tcW w:w="140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800" w:type="dxa"/>
            <w:vAlign w:val="bottom"/>
          </w:tcPr>
          <w:p>
            <w:pPr>
              <w:jc w:val="right"/>
              <w:spacing w:after="0"/>
              <w:rPr>
                <w:sz w:val="20"/>
                <w:szCs w:val="20"/>
                <w:color w:val="auto"/>
              </w:rPr>
            </w:pPr>
            <w:r>
              <w:rPr>
                <w:rFonts w:ascii="Arial" w:cs="Arial" w:eastAsia="Arial" w:hAnsi="Arial"/>
                <w:sz w:val="22"/>
                <w:szCs w:val="22"/>
                <w:color w:val="auto"/>
              </w:rPr>
              <w:t>0.26</w:t>
            </w:r>
          </w:p>
        </w:tc>
      </w:tr>
      <w:tr>
        <w:trPr>
          <w:trHeight w:val="274"/>
        </w:trPr>
        <w:tc>
          <w:tcPr>
            <w:tcW w:w="5500" w:type="dxa"/>
            <w:vAlign w:val="bottom"/>
          </w:tcPr>
          <w:p>
            <w:pPr>
              <w:ind w:left="120"/>
              <w:spacing w:after="0"/>
              <w:rPr>
                <w:sz w:val="20"/>
                <w:szCs w:val="20"/>
                <w:color w:val="auto"/>
              </w:rPr>
            </w:pPr>
            <w:r>
              <w:rPr>
                <w:rFonts w:ascii="Arial" w:cs="Arial" w:eastAsia="Arial" w:hAnsi="Arial"/>
                <w:sz w:val="22"/>
                <w:szCs w:val="22"/>
                <w:color w:val="auto"/>
              </w:rPr>
              <w:t>Distributions declared per share</w:t>
            </w:r>
          </w:p>
        </w:tc>
        <w:tc>
          <w:tcPr>
            <w:tcW w:w="140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800" w:type="dxa"/>
            <w:vAlign w:val="bottom"/>
          </w:tcPr>
          <w:p>
            <w:pPr>
              <w:jc w:val="right"/>
              <w:spacing w:after="0"/>
              <w:rPr>
                <w:sz w:val="20"/>
                <w:szCs w:val="20"/>
                <w:color w:val="auto"/>
              </w:rPr>
            </w:pPr>
            <w:r>
              <w:rPr>
                <w:rFonts w:ascii="Arial" w:cs="Arial" w:eastAsia="Arial" w:hAnsi="Arial"/>
                <w:sz w:val="22"/>
                <w:szCs w:val="22"/>
                <w:color w:val="auto"/>
              </w:rPr>
              <w:t>0.285</w:t>
            </w:r>
          </w:p>
        </w:tc>
      </w:tr>
      <w:tr>
        <w:trPr>
          <w:trHeight w:val="536"/>
        </w:trPr>
        <w:tc>
          <w:tcPr>
            <w:tcW w:w="5500" w:type="dxa"/>
            <w:vAlign w:val="bottom"/>
          </w:tcPr>
          <w:p>
            <w:pPr>
              <w:spacing w:after="0"/>
              <w:rPr>
                <w:sz w:val="20"/>
                <w:szCs w:val="20"/>
                <w:color w:val="auto"/>
              </w:rPr>
            </w:pPr>
            <w:r>
              <w:rPr>
                <w:rFonts w:ascii="Arial" w:cs="Arial" w:eastAsia="Arial" w:hAnsi="Arial"/>
                <w:sz w:val="22"/>
                <w:szCs w:val="22"/>
                <w:color w:val="auto"/>
              </w:rPr>
              <w:t>Portfolio Activity:</w:t>
            </w:r>
          </w:p>
        </w:tc>
        <w:tc>
          <w:tcPr>
            <w:tcW w:w="14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70"/>
        </w:trPr>
        <w:tc>
          <w:tcPr>
            <w:tcW w:w="5500" w:type="dxa"/>
            <w:vAlign w:val="bottom"/>
          </w:tcPr>
          <w:p>
            <w:pPr>
              <w:ind w:left="120"/>
              <w:spacing w:after="0"/>
              <w:rPr>
                <w:sz w:val="20"/>
                <w:szCs w:val="20"/>
                <w:color w:val="auto"/>
              </w:rPr>
            </w:pPr>
            <w:r>
              <w:rPr>
                <w:rFonts w:ascii="Arial" w:cs="Arial" w:eastAsia="Arial" w:hAnsi="Arial"/>
                <w:sz w:val="22"/>
                <w:szCs w:val="22"/>
                <w:color w:val="auto"/>
              </w:rPr>
              <w:t>Purchases of investments</w:t>
            </w:r>
          </w:p>
        </w:tc>
        <w:tc>
          <w:tcPr>
            <w:tcW w:w="140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800" w:type="dxa"/>
            <w:vAlign w:val="bottom"/>
          </w:tcPr>
          <w:p>
            <w:pPr>
              <w:jc w:val="right"/>
              <w:spacing w:after="0"/>
              <w:rPr>
                <w:sz w:val="20"/>
                <w:szCs w:val="20"/>
                <w:color w:val="auto"/>
              </w:rPr>
            </w:pPr>
            <w:r>
              <w:rPr>
                <w:rFonts w:ascii="Arial" w:cs="Arial" w:eastAsia="Arial" w:hAnsi="Arial"/>
                <w:sz w:val="22"/>
                <w:szCs w:val="22"/>
                <w:color w:val="auto"/>
              </w:rPr>
              <w:t>67.0</w:t>
            </w:r>
          </w:p>
        </w:tc>
      </w:tr>
      <w:tr>
        <w:trPr>
          <w:trHeight w:val="274"/>
        </w:trPr>
        <w:tc>
          <w:tcPr>
            <w:tcW w:w="5500" w:type="dxa"/>
            <w:vAlign w:val="bottom"/>
          </w:tcPr>
          <w:p>
            <w:pPr>
              <w:ind w:left="120"/>
              <w:spacing w:after="0"/>
              <w:rPr>
                <w:sz w:val="20"/>
                <w:szCs w:val="20"/>
                <w:color w:val="auto"/>
              </w:rPr>
            </w:pPr>
            <w:r>
              <w:rPr>
                <w:rFonts w:ascii="Arial" w:cs="Arial" w:eastAsia="Arial" w:hAnsi="Arial"/>
                <w:sz w:val="22"/>
                <w:szCs w:val="22"/>
                <w:color w:val="auto"/>
              </w:rPr>
              <w:t>Sales and repayments of investments</w:t>
            </w:r>
          </w:p>
        </w:tc>
        <w:tc>
          <w:tcPr>
            <w:tcW w:w="140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800" w:type="dxa"/>
            <w:vAlign w:val="bottom"/>
          </w:tcPr>
          <w:p>
            <w:pPr>
              <w:jc w:val="right"/>
              <w:spacing w:after="0"/>
              <w:rPr>
                <w:sz w:val="20"/>
                <w:szCs w:val="20"/>
                <w:color w:val="auto"/>
              </w:rPr>
            </w:pPr>
            <w:r>
              <w:rPr>
                <w:rFonts w:ascii="Arial" w:cs="Arial" w:eastAsia="Arial" w:hAnsi="Arial"/>
                <w:sz w:val="22"/>
                <w:szCs w:val="22"/>
                <w:color w:val="auto"/>
              </w:rPr>
              <w:t>109.6</w:t>
            </w:r>
          </w:p>
        </w:tc>
      </w:tr>
      <w:tr>
        <w:trPr>
          <w:trHeight w:val="536"/>
        </w:trPr>
        <w:tc>
          <w:tcPr>
            <w:tcW w:w="5500" w:type="dxa"/>
            <w:vAlign w:val="bottom"/>
          </w:tcPr>
          <w:p>
            <w:pPr>
              <w:ind w:left="120"/>
              <w:spacing w:after="0"/>
              <w:rPr>
                <w:sz w:val="20"/>
                <w:szCs w:val="20"/>
                <w:color w:val="auto"/>
              </w:rPr>
            </w:pPr>
            <w:r>
              <w:rPr>
                <w:rFonts w:ascii="Arial" w:cs="Arial" w:eastAsia="Arial" w:hAnsi="Arial"/>
                <w:sz w:val="22"/>
                <w:szCs w:val="22"/>
                <w:color w:val="auto"/>
              </w:rPr>
              <w:t>Number of new portfolio companies invested</w:t>
            </w:r>
          </w:p>
        </w:tc>
        <w:tc>
          <w:tcPr>
            <w:tcW w:w="14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2"/>
                <w:szCs w:val="22"/>
                <w:color w:val="auto"/>
              </w:rPr>
              <w:t>5</w:t>
            </w:r>
          </w:p>
        </w:tc>
      </w:tr>
      <w:tr>
        <w:trPr>
          <w:trHeight w:val="270"/>
        </w:trPr>
        <w:tc>
          <w:tcPr>
            <w:tcW w:w="5500" w:type="dxa"/>
            <w:vAlign w:val="bottom"/>
          </w:tcPr>
          <w:p>
            <w:pPr>
              <w:ind w:left="120"/>
              <w:spacing w:after="0"/>
              <w:rPr>
                <w:sz w:val="20"/>
                <w:szCs w:val="20"/>
                <w:color w:val="auto"/>
              </w:rPr>
            </w:pPr>
            <w:r>
              <w:rPr>
                <w:rFonts w:ascii="Arial" w:cs="Arial" w:eastAsia="Arial" w:hAnsi="Arial"/>
                <w:sz w:val="22"/>
                <w:szCs w:val="22"/>
                <w:color w:val="auto"/>
              </w:rPr>
              <w:t>Number of existing portfolio companies invested</w:t>
            </w:r>
          </w:p>
        </w:tc>
        <w:tc>
          <w:tcPr>
            <w:tcW w:w="1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22"/>
                <w:szCs w:val="22"/>
                <w:color w:val="auto"/>
              </w:rPr>
              <w:t>17</w:t>
            </w:r>
          </w:p>
        </w:tc>
      </w:tr>
      <w:tr>
        <w:trPr>
          <w:trHeight w:val="274"/>
        </w:trPr>
        <w:tc>
          <w:tcPr>
            <w:tcW w:w="5500" w:type="dxa"/>
            <w:vAlign w:val="bottom"/>
          </w:tcPr>
          <w:p>
            <w:pPr>
              <w:ind w:left="120"/>
              <w:spacing w:after="0"/>
              <w:rPr>
                <w:sz w:val="20"/>
                <w:szCs w:val="20"/>
                <w:color w:val="auto"/>
              </w:rPr>
            </w:pPr>
            <w:r>
              <w:rPr>
                <w:rFonts w:ascii="Arial" w:cs="Arial" w:eastAsia="Arial" w:hAnsi="Arial"/>
                <w:sz w:val="22"/>
                <w:szCs w:val="22"/>
                <w:color w:val="auto"/>
              </w:rPr>
              <w:t>Number of ending portfolio companies</w:t>
            </w:r>
          </w:p>
        </w:tc>
        <w:tc>
          <w:tcPr>
            <w:tcW w:w="1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22"/>
                <w:szCs w:val="22"/>
                <w:color w:val="auto"/>
              </w:rPr>
              <w:t>100</w:t>
            </w: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0"/>
        <w:spacing w:after="0"/>
        <w:rPr>
          <w:sz w:val="20"/>
          <w:szCs w:val="20"/>
          <w:color w:val="auto"/>
        </w:rPr>
      </w:pPr>
      <w:r>
        <w:rPr>
          <w:rFonts w:ascii="Arial" w:cs="Arial" w:eastAsia="Arial" w:hAnsi="Arial"/>
          <w:sz w:val="22"/>
          <w:szCs w:val="22"/>
          <w:color w:val="auto"/>
        </w:rPr>
        <w:t>________________________</w:t>
      </w:r>
    </w:p>
    <w:p>
      <w:pPr>
        <w:spacing w:after="0" w:line="21" w:lineRule="exact"/>
        <w:rPr>
          <w:sz w:val="20"/>
          <w:szCs w:val="20"/>
          <w:color w:val="auto"/>
        </w:rPr>
      </w:pPr>
    </w:p>
    <w:p>
      <w:pPr>
        <w:ind w:left="480" w:right="20" w:hanging="459"/>
        <w:spacing w:after="0" w:line="243" w:lineRule="auto"/>
        <w:tabs>
          <w:tab w:leader="none" w:pos="480" w:val="left"/>
        </w:tabs>
        <w:numPr>
          <w:ilvl w:val="0"/>
          <w:numId w:val="3"/>
        </w:numPr>
        <w:rPr>
          <w:rFonts w:ascii="Arial" w:cs="Arial" w:eastAsia="Arial" w:hAnsi="Arial"/>
          <w:sz w:val="18"/>
          <w:szCs w:val="18"/>
          <w:color w:val="auto"/>
        </w:rPr>
      </w:pPr>
      <w:r>
        <w:rPr>
          <w:rFonts w:ascii="Arial" w:cs="Arial" w:eastAsia="Arial" w:hAnsi="Arial"/>
          <w:sz w:val="22"/>
          <w:szCs w:val="22"/>
          <w:color w:val="auto"/>
        </w:rPr>
        <w:t>Includes investments in PennantPark Senior Secured Loan Fund I LLC, or PSSL, an unconsolidated joint venture, totaling $169.4 million, at fair value.</w:t>
      </w:r>
    </w:p>
    <w:p>
      <w:pPr>
        <w:jc w:val="both"/>
        <w:ind w:left="480" w:right="20" w:hanging="459"/>
        <w:spacing w:after="0" w:line="234" w:lineRule="auto"/>
        <w:tabs>
          <w:tab w:leader="none" w:pos="480" w:val="left"/>
        </w:tabs>
        <w:numPr>
          <w:ilvl w:val="0"/>
          <w:numId w:val="3"/>
        </w:numPr>
        <w:rPr>
          <w:rFonts w:ascii="Arial" w:cs="Arial" w:eastAsia="Arial" w:hAnsi="Arial"/>
          <w:sz w:val="18"/>
          <w:szCs w:val="18"/>
          <w:color w:val="auto"/>
        </w:rPr>
      </w:pPr>
      <w:r>
        <w:rPr>
          <w:rFonts w:ascii="Arial" w:cs="Arial" w:eastAsia="Arial" w:hAnsi="Arial"/>
          <w:sz w:val="22"/>
          <w:szCs w:val="22"/>
          <w:color w:val="auto"/>
        </w:rPr>
        <w:t>This is a non-GAAP financial measure. The Company believes that this number provides useful information to investors and management because it reflects the Company’s financial performance excluding the impact of the $14.8 million unrealized loss on our multi-currency senior secured revolving credit facility, as amended and restated, with Truist Bank (formerly SunTrust Bank) and other lenders, or the Credit Facility, and our 4.3% Series A notes due 2023, or the 2023 Notes. The presentation of this additional information is not meant to be considered in isolation or as a substitute for financial results prepared in accordance with GAAP.</w:t>
      </w:r>
    </w:p>
    <w:p>
      <w:pPr>
        <w:spacing w:after="0" w:line="5" w:lineRule="exact"/>
        <w:rPr>
          <w:rFonts w:ascii="Arial" w:cs="Arial" w:eastAsia="Arial" w:hAnsi="Arial"/>
          <w:sz w:val="18"/>
          <w:szCs w:val="18"/>
          <w:color w:val="auto"/>
        </w:rPr>
      </w:pPr>
    </w:p>
    <w:p>
      <w:pPr>
        <w:jc w:val="both"/>
        <w:ind w:left="480" w:right="20" w:hanging="459"/>
        <w:spacing w:after="0" w:line="236" w:lineRule="auto"/>
        <w:tabs>
          <w:tab w:leader="none" w:pos="480" w:val="left"/>
        </w:tabs>
        <w:numPr>
          <w:ilvl w:val="0"/>
          <w:numId w:val="3"/>
        </w:numPr>
        <w:rPr>
          <w:rFonts w:ascii="Arial" w:cs="Arial" w:eastAsia="Arial" w:hAnsi="Arial"/>
          <w:sz w:val="18"/>
          <w:szCs w:val="18"/>
          <w:color w:val="auto"/>
        </w:rPr>
      </w:pPr>
      <w:r>
        <w:rPr>
          <w:rFonts w:ascii="Arial" w:cs="Arial" w:eastAsia="Arial" w:hAnsi="Arial"/>
          <w:sz w:val="22"/>
          <w:szCs w:val="22"/>
          <w:color w:val="auto"/>
        </w:rPr>
        <w:t>This is a non-GAAP financial measure. The Company believes that this number provides useful information to investors and management because it reflects the Company’s financial performance net of $28.5 million of cash and cash equivalents. The presentation of this additional information is not meant to be considered in isolation or as a substitute for financial results prepared in accordance with GAAP.</w:t>
      </w:r>
    </w:p>
    <w:p>
      <w:pPr>
        <w:spacing w:after="0" w:line="4" w:lineRule="exact"/>
        <w:rPr>
          <w:rFonts w:ascii="Arial" w:cs="Arial" w:eastAsia="Arial" w:hAnsi="Arial"/>
          <w:sz w:val="18"/>
          <w:szCs w:val="18"/>
          <w:color w:val="auto"/>
        </w:rPr>
      </w:pPr>
    </w:p>
    <w:p>
      <w:pPr>
        <w:jc w:val="both"/>
        <w:ind w:left="480" w:right="20" w:hanging="459"/>
        <w:spacing w:after="0" w:line="323" w:lineRule="auto"/>
        <w:tabs>
          <w:tab w:leader="none" w:pos="480" w:val="left"/>
        </w:tabs>
        <w:numPr>
          <w:ilvl w:val="0"/>
          <w:numId w:val="3"/>
        </w:numPr>
        <w:rPr>
          <w:rFonts w:ascii="Arial" w:cs="Arial" w:eastAsia="Arial" w:hAnsi="Arial"/>
          <w:sz w:val="16"/>
          <w:szCs w:val="16"/>
          <w:color w:val="auto"/>
        </w:rPr>
      </w:pPr>
      <w:r>
        <w:rPr>
          <w:rFonts w:ascii="Arial" w:cs="Arial" w:eastAsia="Arial" w:hAnsi="Arial"/>
          <w:sz w:val="19"/>
          <w:szCs w:val="19"/>
          <w:color w:val="auto"/>
        </w:rPr>
        <w:t>This is a non-GAAP financial measure. The Company believes that this number provides useful information to investors and management because it reflects the Company’s financial performance including the impact of the $14.8 million</w:t>
      </w:r>
    </w:p>
    <w:p>
      <w:pPr>
        <w:sectPr>
          <w:pgSz w:w="11900" w:h="16895" w:orient="portrait"/>
          <w:cols w:equalWidth="0" w:num="1">
            <w:col w:w="11240"/>
          </w:cols>
          <w:pgMar w:left="320" w:top="112" w:right="339" w:bottom="0" w:gutter="0" w:footer="0" w:header="0"/>
        </w:sectPr>
      </w:pPr>
    </w:p>
    <w:bookmarkStart w:id="4" w:name="page5"/>
    <w:bookmarkEnd w:id="4"/>
    <w:p>
      <w:pPr>
        <w:jc w:val="both"/>
        <w:ind w:left="480" w:right="20"/>
        <w:spacing w:after="0"/>
        <w:rPr>
          <w:sz w:val="20"/>
          <w:szCs w:val="20"/>
          <w:color w:val="auto"/>
        </w:rPr>
      </w:pPr>
      <w:r>
        <w:rPr>
          <w:rFonts w:ascii="Arial" w:cs="Arial" w:eastAsia="Arial" w:hAnsi="Arial"/>
          <w:sz w:val="22"/>
          <w:szCs w:val="22"/>
          <w:color w:val="auto"/>
        </w:rPr>
        <w:t>unrealized loss on the Credit Facility and the 2023 Notes net of $28.5 million of cash and cash equivalents. The presentation of this additional information is not meant to be considered in isolation or as a substitute for financial results prepared in accordance with GAAP.</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AT 10:00 A.M. ET ON FEBRUARY 10, 2021</w:t>
      </w:r>
    </w:p>
    <w:p>
      <w:pPr>
        <w:spacing w:after="0" w:line="212"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PennantPark Floating Rate Capital Ltd. (“we,” “our,” “us” or the “Company”) will host a conference call at 10:00 a.m. (Eastern Time) on Wednesday, February 10, 2021 to discuss its financial results. All interested parties are welcome to participate. You can access the conference call by dialing toll-free (800) 239-9838 approximately 5-10 minutes prior to the call. International callers should dial (323) 794-2551. All callers should reference conference ID #2336989 or PennantPark Floating Rate Capital Ltd. An archived replay of the call will be available through February 24, 2021 by calling toll-free (888) 203-1112. International callers please dial (719) 457-0820. For all phone replays, please reference conference ID #2336989.</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PORTFOLIO AND INVESTMENT ACTIVITY</w:t>
      </w:r>
    </w:p>
    <w:p>
      <w:pPr>
        <w:spacing w:after="0" w:line="212"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“We are pleased with the strong performance of our portfolio this past quarter including our meaningful increase in net asset value,” said Arthur Penn, Chairman and CEO. “We are also pleased with the efficient, low cost CLO financing completed in late January for our PSSL joint venture. This long-term financing is well matched to the underlying asset base and also sets the joint venture up for growth. We believe that the combination of a growing PSSL joint venture, the rotation of equity positions into yield generating debt instruments and a growing, more optimized PFLT balance sheet should position the Company well for increased income over time.”</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As of December 31, 2020, our portfolio totaled $1,067.3 million, which consisted of $931.2 million of first lien secured debt (including $126.5 million in PSSL), $25.6 million of second lien secured debt and $110.5 million of preferred and common equity (including $42.9 million in PSSL). Our debt portfolio consisted of 98% variable-rate investments. As of December 31, 2020, we had two portfolio companies on non-accrual, representing 2.3% and 1.9% of our overall portfolio on a cost and fair value basis, respectively. Overall, the portfolio had net unrealized depreciation of $7.1 million. Our overall portfolio consisted of 100 companies with an average investment size of $10.7 million, had a weighted average yield on debt investments of 7.5%, and was invested 87% in first lien secured debt (including 12% invested in PSSL), 3% in second lien secured debt and 10% in preferred and common equity (including 4% in PSSL). As of December 31, 2020, 97% of the investments held by PSSL were first lien secured debt. For more information on how the COVID-19 pandemic has affected our business and results of operations, see our Quarterly Report on Form 10-Q for the quarter ended December 31, 2020, including “Item 7. Management's Discussion and Analysis of Financial Condition and Results of Operations – COVID-19 Developments”.</w:t>
      </w:r>
    </w:p>
    <w:p>
      <w:pPr>
        <w:spacing w:after="0" w:line="155"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As of September 30, 2020, our portfolio totaled $1,086.9 million, which consisted of $968.6 million of first lien secured debt (including $125.4 million in PSSL), $29.9 million of second lien secured debt and $88.4 million of preferred and common equity (including $39.9 million in PSSL). Our debt portfolio consisted of 99% variable-rate investments. As of September 30, 2020, we had three portfolio companies on non-accrual, representing 2.1% and 1.8% of our overall portfolio on a cost and fair value basis, respectively. Overall, the portfolio had net unrealized depreciation of $29.9 million. Our overall portfolio consisted of 102 companies with an average investment size of $10.7 million, had a weighted average yield on debt investments of 7.3%, and was invested 89% in first lien secured debt (including 12% in PSSL), 3% in second lien secured debt and 8% in preferred and common equity (including 4% in PSSL). As of September 30, 2020, 97% of the investments held by PSSL were first lien secured debt.</w:t>
      </w:r>
    </w:p>
    <w:p>
      <w:pPr>
        <w:spacing w:after="0" w:line="184" w:lineRule="exact"/>
        <w:rPr>
          <w:sz w:val="20"/>
          <w:szCs w:val="20"/>
          <w:color w:val="auto"/>
        </w:rPr>
      </w:pPr>
    </w:p>
    <w:p>
      <w:pPr>
        <w:jc w:val="both"/>
        <w:spacing w:after="0"/>
        <w:rPr>
          <w:sz w:val="20"/>
          <w:szCs w:val="20"/>
          <w:color w:val="auto"/>
        </w:rPr>
      </w:pPr>
      <w:r>
        <w:rPr>
          <w:rFonts w:ascii="Arial" w:cs="Arial" w:eastAsia="Arial" w:hAnsi="Arial"/>
          <w:sz w:val="22"/>
          <w:szCs w:val="22"/>
          <w:color w:val="auto"/>
        </w:rPr>
        <w:t>For the three months ended December 31, 2020, we invested $67.0 million in five new and 17 existing portfolio companies with a weighted average yield on debt investments of 7.6%. Sales and repayments of investments for the three months ended December 31, 2020 totaled $109.6 million.</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22"/>
          <w:szCs w:val="22"/>
          <w:color w:val="auto"/>
        </w:rPr>
        <w:t>For the three months ended December 31, 2019, we invested $239.4 million in 10 new and 31 existing portfolio companies with a weighted average yield on debt investments of 8.2%. Sales and repayments of investments for the three months ended December 31, 2019 totaled $143.7 million.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PennantPark Senior Secured Loan Fund I LLC</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As of December 31, 2020, PSSL’s portfolio totaled $382.2 million, consisted of 42 companies with an average investment size of $9.1 million and had a weighted average yield on debt investments of 7.0%. As of September 30, 2020, PSSL’s portfolio totaled $393.0 million, consisted of 45 companies with an average investment size of $8.7 million and had a weighted average yield on debt investments of 6.8%.</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For the three months ended December 31, 2020, PSSL invested $15.4 million (of which zero was purchased from the Company) in no new and five existing portfolio companies with a weighted average yield on debt investments of 7.8%. PSSL’s sales and repayments of investments for the three months ended December 31, 2020 totaled $30.6 million.</w:t>
      </w:r>
    </w:p>
    <w:p>
      <w:pPr>
        <w:spacing w:after="0" w:line="169" w:lineRule="exact"/>
        <w:rPr>
          <w:sz w:val="20"/>
          <w:szCs w:val="20"/>
          <w:color w:val="auto"/>
        </w:rPr>
      </w:pPr>
    </w:p>
    <w:p>
      <w:pPr>
        <w:jc w:val="both"/>
        <w:ind w:right="20"/>
        <w:spacing w:after="0" w:line="297" w:lineRule="auto"/>
        <w:rPr>
          <w:sz w:val="20"/>
          <w:szCs w:val="20"/>
          <w:color w:val="auto"/>
        </w:rPr>
      </w:pPr>
      <w:r>
        <w:rPr>
          <w:rFonts w:ascii="Arial" w:cs="Arial" w:eastAsia="Arial" w:hAnsi="Arial"/>
          <w:sz w:val="19"/>
          <w:szCs w:val="19"/>
          <w:color w:val="auto"/>
        </w:rPr>
        <w:t>For the three months ended December 31, 2019, PSSL invested $69.1 million (of which $68.9 million was purchased from the Company) in eight new and one existing portfolio companies with a weighted average yield on debt investments of 7.5%. PSSL’s sales and repayments of investments for the three months ended December 31, 2019 totaled $66.4 million.</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ectPr>
          <w:pgSz w:w="11900" w:h="16838" w:orient="portrait"/>
          <w:cols w:equalWidth="0" w:num="1">
            <w:col w:w="11240"/>
          </w:cols>
          <w:pgMar w:left="320" w:top="118" w:right="339" w:bottom="0" w:gutter="0" w:footer="0" w:header="0"/>
        </w:sectPr>
      </w:pPr>
    </w:p>
    <w:bookmarkStart w:id="5" w:name="page6"/>
    <w:bookmarkEnd w:id="5"/>
    <w:p>
      <w:pPr>
        <w:spacing w:after="0"/>
        <w:rPr>
          <w:sz w:val="20"/>
          <w:szCs w:val="20"/>
          <w:color w:val="auto"/>
        </w:rPr>
      </w:pPr>
      <w:r>
        <w:rPr>
          <w:rFonts w:ascii="Arial" w:cs="Arial" w:eastAsia="Arial" w:hAnsi="Arial"/>
          <w:sz w:val="22"/>
          <w:szCs w:val="22"/>
          <w:color w:val="auto"/>
        </w:rPr>
        <w:t>Set forth below are the results of operations for the three months ended December 31, 2020 and 2019.</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Investment Income</w:t>
      </w:r>
    </w:p>
    <w:p>
      <w:pPr>
        <w:spacing w:after="0" w:line="212"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Investment income for the three months ended December 31, 2020 was $20.7 million, which was attributable to $18.7 million from first lien secured debt and $2.0 million from other investments. This compares to investment income for the three months ended December 31, 2019 of $24.6 million, which was attributable to $22.4 million from first lien secured debt and $2.2 million from other investments. The decrease in investment income compared to the same period in the prior year was primarily due to a decrease in the London Inter-bank Offered Rate, or LIBOR.</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Expenses</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Expenses for the three months ended December 31, 2020 totaled $10.6 million. Base management fee for the same period totaled $2.7 million, incentive fee totaled $1.8 million, debt related interest and expenses totaled $5.3 million, general and administrative expenses totaled $0.7 million, and provision for taxes totaled $0.1 million. This compares to expenses for the three months ended December 31, 2019, which totaled $13.5 million. Base management fee for the same period totaled $2.8 million, incentive fee totaled $2.3 million, debt related interest and expenses totaled $7.3 million, general and administrative expenses totaled $1.0 million, and provision for taxes totaled $0.1 million. The decrease in expenses for the three months ended December 31, 2020 compared to the same period in the prior year was primarily due to a decrease in debt related interest and expenses.</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Investment Income</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Net investment income totaled $10.1 million, or $0.26 per share, for the three months ended December 31, 2020. Net investment income totaled $11.1 million, or $0.29 per share, for the three months ended December 31, 2019. The change in net investment income compared to the same period in the prior year was primarily due to lower investment income, partially offset by a reduction in expenses in the current period.</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Realized Gains or Losses</w:t>
      </w:r>
    </w:p>
    <w:p>
      <w:pPr>
        <w:spacing w:after="0" w:line="212"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Sales and repayments of investments for the three months ended December 31, 2020 totaled $109.6 million and net realized losses totaled $2.8 million. Sales and repayments of investments for the three months ended December 31, 2019 totaled $143.7 million and net realized gains totaled $1.0 million. The change in realized gains/losses was primarily due to changes in the market conditions of our investments and the values at which they were realized.</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Unrealized Appreciation or Depreciation on Investments, the Credit Facility and the 2023 Notes</w:t>
      </w:r>
    </w:p>
    <w:p>
      <w:pPr>
        <w:spacing w:after="0" w:line="212"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For the three months ended December 31, 2020, we reported net change in unrealized appreciation on investments of $22.8 million. For the three months ended December 31, 2019, we reported net change in unrealized depreciation on investments of $3.5 million. As of December 31, 2020 and September 30, 2020, our net unrealized depreciation on investments totaled $7.1 million and $29.9 million, respectively. The net change in unrealized appreciation on our investments compared to the same period in the prior year was primarily due to unrealized gains in our equity co-investment program, including ITC Rumba, LLC (Cano Health, LLC), as well as the financial performance of certain portfolio companies primarily driven by the market disruption caused by the COVID-19 pandemic and the uncertainty surrounding its continued adverse economic impact. For more information on how the COVID-19 pandemic has affected our business and results of operations, see our Quarterly Report on Form 10-Q for the quarter ended December 31, 2020, including “Item 7. Management's Discussion and Analysis of Financial Condition and Results of Operations – COVID-19 Developments”.</w:t>
      </w:r>
    </w:p>
    <w:p>
      <w:pPr>
        <w:spacing w:after="0" w:line="161"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For the three months ended December 31, 2020 and 2019, the Credit Facility and the 2023 Notes had a net change in unrealized (appreciation) depreciation of ($4.0) million and $1.4 million, respectively. As of December 31, 2020 and September 30, 2020, the net unrealized depreciation on the Credit Facility and the 2023 Notes totaled $14.8 million and $18.8 million, respectively. The net change in net unrealized (appreciation) depreciation compared to the same period in the prior year was primarily due to changes in the capital markets.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Change in Net Assets Resulting from Operations</w:t>
      </w:r>
    </w:p>
    <w:p>
      <w:pPr>
        <w:spacing w:after="0" w:line="212"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Net change in net assets resulting from operations totaled $26.1 million, or $0.67 per share, for the three months ended December 31, 2020. This compares to a net change in net assets resulting from operations of $10.0 million, or $0.26 per share, for the three months ended December 31, 2019. The increase in net assets from operations compared to the same period in the prior year was primarily due to unrealized gains in our equity co-investment program, including ITC Rumba, LLC (Cano Health, LLC), as well as the financial performance of certain portfolio companies primarily driven by the market disruption caused by the COVID-19 pandemic and the uncertainty surrounding its continued adverse economic impact. For more information on how the COVID-19 pandemic has affected our business and results of operations, see our Quarterly Report on Form 10-Q for the quarter ended December 31, 2020, including “Item 7. Management's Discussion and Analysis of Financial Condition and Results of Operations – COVID-19 Developments”.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12"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Our liquidity and capital resources are derived primarily from proceeds of securities offerings, debt capital and cash flows from operations, including investment sales and repayments, and income earned. Our primary use of funds from operations includes</w:t>
      </w:r>
    </w:p>
    <w:p>
      <w:pPr>
        <w:sectPr>
          <w:pgSz w:w="11900" w:h="16838" w:orient="portrait"/>
          <w:cols w:equalWidth="0" w:num="1">
            <w:col w:w="11240"/>
          </w:cols>
          <w:pgMar w:left="320" w:top="118" w:right="339" w:bottom="0" w:gutter="0" w:footer="0" w:header="0"/>
        </w:sectPr>
      </w:pPr>
    </w:p>
    <w:bookmarkStart w:id="6" w:name="page7"/>
    <w:bookmarkEnd w:id="6"/>
    <w:p>
      <w:pPr>
        <w:spacing w:after="0" w:line="86"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investments in portfolio companies and payments of fees and other operating expenses we incur. We have used, and expect to continue to use, our debt capital, proceeds from the rotation of our portfolio and proceeds from public and private offerings of securities to finance our investment objectives. For more information on how the COVID-19 pandemic may impact our ability to comply with the covenants of the Credit Facility, see our Quarterly Report on Form 10-Q for the quarter ended December 31, 2020, including “Item 7. Management's Discussion and Analysis of Financial Condition and Results of Operations – COVID-19 Developments”.</w:t>
      </w:r>
    </w:p>
    <w:p>
      <w:pPr>
        <w:spacing w:after="0" w:line="188"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The annualized weighted average cost of debt for the three months ended December 31, 2020 and 2019, inclusive of the fee on the undrawn commitment on the Credit Facility, amendment costs and debt issuance costs, was 3.3% and 4.5%, respectively. As of December 31, 2020 and September 30, 2020, we had $263.1 million and $211.4 million of unused borrowing capacity under the Credit Facility, respectively, subject to leverage and borrowing base restrictions.</w:t>
      </w:r>
    </w:p>
    <w:p>
      <w:pPr>
        <w:spacing w:after="0" w:line="174"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As of December 31, 2020 and September 30, 2020, our wholly owned subsidiary, PennantPark Floating Rate Funding I, LLC, borrowed $256.9 million and $308.6 million under the Credit Facility, respectively. The Credit Facility had a weighted average interest rate of 2.2% and 2.2%, exclusive of the fee on undrawn commitments as of December 31, 2020 and September 30, 2020, respectively.</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22"/>
          <w:szCs w:val="22"/>
          <w:color w:val="auto"/>
        </w:rPr>
        <w:t>As of December 31, 2020 and September 30, 2020, we had cash and cash equivalents of $28.5 million and $57.5 million, respectively, available for investing and general corporate purposes. We believe our liquidity and capital resources are sufficient to take advantage of market opportunities.</w:t>
      </w:r>
    </w:p>
    <w:p>
      <w:pPr>
        <w:spacing w:after="0" w:line="186"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Our operating activities provided cash of $55.5 million for the three months ended December 31, 2020, and our financing activities used cash of $83.5 million for the same period. Our operating activities provided cash primarily from our investment activities and our financing activities used cash primarily to pay down our Credit Facility and the 2023 Notes.</w:t>
      </w:r>
    </w:p>
    <w:p>
      <w:pPr>
        <w:spacing w:after="0" w:line="16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Our operating activities used cash of $66.1 million for the three months ended December 31, 2019 and our financing activities provided cash of $58.9 million for the same period. Our operating activities used cash primarily for our investment activities and our financing activities provided cash primarily from draws on our Credit Facility, partially offset by distributions paid to stockholders.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DEVELOPMENTS</w:t>
      </w:r>
    </w:p>
    <w:p>
      <w:pPr>
        <w:spacing w:after="0" w:line="212"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On January 27, 2021, PSSL, through its wholly-owned and consolidated subsidiary, PennantPark CLO II, Ltd., closed a three-year reinvestment period, eleven-year final maturity $300.7 million debt securitization in the form of a collateralized loan obligation consisting of the following classes of notes: Class A-1 Notes, Class A-1 Loans, Class A-2 Notes, Class B-1 Notes, Class B-2 Notes, Class C Notes, Class D Notes, Class E Notes and Subordinated Notes, or the Debt. PSSL will retain all of the Class E Notes and Subordinated Notes through a consolidated subsidiary. The reinvestment period for the term debt securitization ends in January 2024 and the Debt is scheduled to mature in January 2032. The term debt securitization is expected to be approximately 95% funded at close. The proceeds from the Debt were used to repay a portion of the PSSL Credit Facility, as well as repay the $50.0 million senior secured promissory note issued by PSSL. Additionally, in conjunction with the closing of this transaction PSSL’s $325.0 million senior secured revolving credit facility with Capital One, N.A. was terminated and replaced with a new $125.0 million senior secured revolving credit facility provided by Ally Bank. The Ally Bank credit facility has an interest rate spread above LIBOR (or an alternative risk-free floating interest rate index) of 260 basis points, a LIBOR floor of 25 basis points, a maturity date of January 26, 2026 and a revolving period that ends on January 26, 2024.</w:t>
      </w:r>
    </w:p>
    <w:p>
      <w:pPr>
        <w:spacing w:after="0" w:line="161"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Effective January 19, 2021, we reduced the size of the Credit Facility from $520 million to $400 million in order to reduce the cost of the unused facility fees.</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DISTRIBUTIONS</w:t>
      </w:r>
    </w:p>
    <w:p>
      <w:pPr>
        <w:spacing w:after="0" w:line="212"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During both the three months ended December 31, 2020 and 2019, we declared distributions of $0.285 per share for total distributions of $11.1 million. We monitor available net investment income to determine if a return of capital for tax purposes may occur for the fiscal year. To the extent our taxable earnings fall below the total amount of our distributions for any given fiscal year, stockholders will be 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Securities and Exchange Commission, or the SEC.</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AVAILABLE INFORMATION</w:t>
      </w:r>
    </w:p>
    <w:p>
      <w:pPr>
        <w:spacing w:after="0" w:line="212"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 xml:space="preserve">The Company makes available on its website its Quarterly Report on Form 10-Q filed with the SEC and stockholders may find such report on its website at </w:t>
      </w:r>
      <w:r>
        <w:rPr>
          <w:rFonts w:ascii="Arial" w:cs="Arial" w:eastAsia="Arial" w:hAnsi="Arial"/>
          <w:sz w:val="22"/>
          <w:szCs w:val="22"/>
          <w:u w:val="single" w:color="auto"/>
          <w:color w:val="auto"/>
        </w:rPr>
        <w:t>www.pennantpark.com</w:t>
      </w:r>
      <w:r>
        <w:rPr>
          <w:rFonts w:ascii="Arial" w:cs="Arial" w:eastAsia="Arial" w:hAnsi="Arial"/>
          <w:sz w:val="22"/>
          <w:szCs w:val="22"/>
          <w:color w:val="auto"/>
        </w:rPr>
        <w:t>.</w:t>
      </w:r>
    </w:p>
    <w:p>
      <w:pPr>
        <w:sectPr>
          <w:pgSz w:w="11900" w:h="16925" w:orient="portrait"/>
          <w:cols w:equalWidth="0" w:num="1">
            <w:col w:w="11240"/>
          </w:cols>
          <w:pgMar w:left="320" w:top="118"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PENNANTPARK FLOATING RATE CAPITAL LTD.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ASSETS AND LIABILITIES</w:t>
      </w:r>
    </w:p>
    <w:p>
      <w:pPr>
        <w:sectPr>
          <w:pgSz w:w="11900" w:h="16925" w:orient="portrait"/>
          <w:cols w:equalWidth="0" w:num="1">
            <w:col w:w="11240"/>
          </w:cols>
          <w:pgMar w:left="320" w:top="118" w:right="339" w:bottom="0" w:gutter="0" w:footer="0" w:header="0"/>
          <w:type w:val="continuous"/>
        </w:sectPr>
      </w:pPr>
    </w:p>
    <w:bookmarkStart w:id="7" w:name="page8"/>
    <w:bookmarkEnd w:id="7"/>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120" w:type="dxa"/>
            <w:vAlign w:val="bottom"/>
            <w:gridSpan w:val="2"/>
          </w:tcPr>
          <w:p>
            <w:pPr>
              <w:jc w:val="right"/>
              <w:ind w:right="360"/>
              <w:spacing w:after="0"/>
              <w:rPr>
                <w:sz w:val="20"/>
                <w:szCs w:val="20"/>
                <w:color w:val="auto"/>
              </w:rPr>
            </w:pPr>
            <w:r>
              <w:rPr>
                <w:rFonts w:ascii="Arial" w:cs="Arial" w:eastAsia="Arial" w:hAnsi="Arial"/>
                <w:sz w:val="22"/>
                <w:szCs w:val="22"/>
                <w:b w:val="1"/>
                <w:bCs w:val="1"/>
                <w:color w:val="auto"/>
                <w:w w:val="87"/>
              </w:rPr>
              <w:t>December 31, 2020</w:t>
            </w:r>
          </w:p>
        </w:tc>
        <w:tc>
          <w:tcPr>
            <w:tcW w:w="20" w:type="dxa"/>
            <w:vAlign w:val="bottom"/>
          </w:tcPr>
          <w:p>
            <w:pPr>
              <w:spacing w:after="0"/>
              <w:rPr>
                <w:sz w:val="23"/>
                <w:szCs w:val="23"/>
                <w:color w:val="auto"/>
              </w:rPr>
            </w:pPr>
          </w:p>
        </w:tc>
        <w:tc>
          <w:tcPr>
            <w:tcW w:w="2060" w:type="dxa"/>
            <w:vAlign w:val="bottom"/>
            <w:gridSpan w:val="4"/>
          </w:tcPr>
          <w:p>
            <w:pPr>
              <w:jc w:val="right"/>
              <w:ind w:right="180"/>
              <w:spacing w:after="0"/>
              <w:rPr>
                <w:sz w:val="20"/>
                <w:szCs w:val="20"/>
                <w:color w:val="auto"/>
              </w:rPr>
            </w:pPr>
            <w:r>
              <w:rPr>
                <w:rFonts w:ascii="Arial" w:cs="Arial" w:eastAsia="Arial" w:hAnsi="Arial"/>
                <w:sz w:val="22"/>
                <w:szCs w:val="22"/>
                <w:b w:val="1"/>
                <w:bCs w:val="1"/>
                <w:color w:val="auto"/>
                <w:w w:val="90"/>
              </w:rPr>
              <w:t>September 30, 2020</w:t>
            </w:r>
          </w:p>
        </w:tc>
      </w:tr>
      <w:tr>
        <w:trPr>
          <w:trHeight w:val="280"/>
        </w:trPr>
        <w:tc>
          <w:tcPr>
            <w:tcW w:w="6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20" w:type="dxa"/>
            <w:vAlign w:val="bottom"/>
            <w:gridSpan w:val="2"/>
          </w:tcPr>
          <w:p>
            <w:pPr>
              <w:jc w:val="right"/>
              <w:ind w:right="700"/>
              <w:spacing w:after="0"/>
              <w:rPr>
                <w:sz w:val="20"/>
                <w:szCs w:val="20"/>
                <w:color w:val="auto"/>
              </w:rPr>
            </w:pPr>
            <w:r>
              <w:rPr>
                <w:rFonts w:ascii="Arial" w:cs="Arial" w:eastAsia="Arial" w:hAnsi="Arial"/>
                <w:sz w:val="22"/>
                <w:szCs w:val="22"/>
                <w:b w:val="1"/>
                <w:bCs w:val="1"/>
                <w:color w:val="auto"/>
              </w:rPr>
              <w:t>(unaudited)</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9"/>
        </w:trPr>
        <w:tc>
          <w:tcPr>
            <w:tcW w:w="6840" w:type="dxa"/>
            <w:vAlign w:val="bottom"/>
          </w:tcPr>
          <w:p>
            <w:pPr>
              <w:spacing w:after="0"/>
              <w:rPr>
                <w:sz w:val="20"/>
                <w:szCs w:val="20"/>
                <w:color w:val="auto"/>
              </w:rPr>
            </w:pPr>
            <w:r>
              <w:rPr>
                <w:rFonts w:ascii="Arial" w:cs="Arial" w:eastAsia="Arial" w:hAnsi="Arial"/>
                <w:sz w:val="22"/>
                <w:szCs w:val="22"/>
                <w:b w:val="1"/>
                <w:bCs w:val="1"/>
                <w:color w:val="auto"/>
              </w:rPr>
              <w:t>Assets</w:t>
            </w:r>
          </w:p>
        </w:tc>
        <w:tc>
          <w:tcPr>
            <w:tcW w:w="140" w:type="dxa"/>
            <w:vAlign w:val="bottom"/>
            <w:tcBorders>
              <w:top w:val="single" w:sz="8" w:color="auto"/>
            </w:tcBorders>
          </w:tcPr>
          <w:p>
            <w:pPr>
              <w:spacing w:after="0"/>
              <w:rPr>
                <w:sz w:val="22"/>
                <w:szCs w:val="22"/>
                <w:color w:val="auto"/>
              </w:rPr>
            </w:pPr>
          </w:p>
        </w:tc>
        <w:tc>
          <w:tcPr>
            <w:tcW w:w="190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58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70"/>
        </w:trPr>
        <w:tc>
          <w:tcPr>
            <w:tcW w:w="6840" w:type="dxa"/>
            <w:vAlign w:val="bottom"/>
          </w:tcPr>
          <w:p>
            <w:pPr>
              <w:spacing w:after="0"/>
              <w:rPr>
                <w:sz w:val="20"/>
                <w:szCs w:val="20"/>
                <w:color w:val="auto"/>
              </w:rPr>
            </w:pPr>
            <w:r>
              <w:rPr>
                <w:rFonts w:ascii="Arial" w:cs="Arial" w:eastAsia="Arial" w:hAnsi="Arial"/>
                <w:sz w:val="22"/>
                <w:szCs w:val="22"/>
                <w:color w:val="auto"/>
              </w:rPr>
              <w:t>Investments at fair value</w:t>
            </w:r>
          </w:p>
        </w:tc>
        <w:tc>
          <w:tcPr>
            <w:tcW w:w="14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243"/>
        </w:trPr>
        <w:tc>
          <w:tcPr>
            <w:tcW w:w="6840" w:type="dxa"/>
            <w:vAlign w:val="bottom"/>
          </w:tcPr>
          <w:p>
            <w:pPr>
              <w:ind w:left="200"/>
              <w:spacing w:after="0" w:line="243" w:lineRule="exact"/>
              <w:rPr>
                <w:sz w:val="20"/>
                <w:szCs w:val="20"/>
                <w:color w:val="auto"/>
              </w:rPr>
            </w:pPr>
            <w:r>
              <w:rPr>
                <w:rFonts w:ascii="Arial" w:cs="Arial" w:eastAsia="Arial" w:hAnsi="Arial"/>
                <w:sz w:val="22"/>
                <w:szCs w:val="22"/>
                <w:color w:val="auto"/>
              </w:rPr>
              <w:t>Non-controlled, non-affiliated investments (cost—$848,575,368 and</w:t>
            </w:r>
          </w:p>
        </w:tc>
        <w:tc>
          <w:tcPr>
            <w:tcW w:w="1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70"/>
        </w:trPr>
        <w:tc>
          <w:tcPr>
            <w:tcW w:w="6840" w:type="dxa"/>
            <w:vAlign w:val="bottom"/>
          </w:tcPr>
          <w:p>
            <w:pPr>
              <w:ind w:left="200"/>
              <w:spacing w:after="0"/>
              <w:rPr>
                <w:sz w:val="20"/>
                <w:szCs w:val="20"/>
                <w:color w:val="auto"/>
              </w:rPr>
            </w:pPr>
            <w:r>
              <w:rPr>
                <w:rFonts w:ascii="Arial" w:cs="Arial" w:eastAsia="Arial" w:hAnsi="Arial"/>
                <w:sz w:val="22"/>
                <w:szCs w:val="22"/>
                <w:color w:val="auto"/>
              </w:rPr>
              <w:t>$915,874,757, respectively)</w:t>
            </w:r>
          </w:p>
        </w:tc>
        <w:tc>
          <w:tcPr>
            <w:tcW w:w="14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900" w:type="dxa"/>
            <w:vAlign w:val="bottom"/>
          </w:tcPr>
          <w:p>
            <w:pPr>
              <w:jc w:val="right"/>
              <w:spacing w:after="0"/>
              <w:rPr>
                <w:sz w:val="20"/>
                <w:szCs w:val="20"/>
                <w:color w:val="auto"/>
              </w:rPr>
            </w:pPr>
            <w:r>
              <w:rPr>
                <w:rFonts w:ascii="Arial" w:cs="Arial" w:eastAsia="Arial" w:hAnsi="Arial"/>
                <w:sz w:val="22"/>
                <w:szCs w:val="22"/>
                <w:color w:val="auto"/>
              </w:rPr>
              <w:t>868,035,566</w:t>
            </w:r>
          </w:p>
        </w:tc>
        <w:tc>
          <w:tcPr>
            <w:tcW w:w="220" w:type="dxa"/>
            <w:vAlign w:val="bottom"/>
          </w:tcPr>
          <w:p>
            <w:pPr>
              <w:spacing w:after="0"/>
              <w:rPr>
                <w:sz w:val="23"/>
                <w:szCs w:val="23"/>
                <w:color w:val="auto"/>
              </w:rPr>
            </w:pPr>
          </w:p>
        </w:tc>
        <w:tc>
          <w:tcPr>
            <w:tcW w:w="440" w:type="dxa"/>
            <w:vAlign w:val="bottom"/>
            <w:gridSpan w:val="2"/>
          </w:tcPr>
          <w:p>
            <w:pPr>
              <w:jc w:val="right"/>
              <w:ind w:right="254"/>
              <w:spacing w:after="0"/>
              <w:rPr>
                <w:sz w:val="20"/>
                <w:szCs w:val="20"/>
                <w:color w:val="auto"/>
              </w:rPr>
            </w:pPr>
            <w:r>
              <w:rPr>
                <w:rFonts w:ascii="Arial" w:cs="Arial" w:eastAsia="Arial" w:hAnsi="Arial"/>
                <w:sz w:val="19"/>
                <w:szCs w:val="19"/>
                <w:color w:val="auto"/>
                <w:w w:val="75"/>
              </w:rPr>
              <w:t>$</w:t>
            </w:r>
          </w:p>
        </w:tc>
        <w:tc>
          <w:tcPr>
            <w:tcW w:w="1600" w:type="dxa"/>
            <w:vAlign w:val="bottom"/>
            <w:gridSpan w:val="2"/>
          </w:tcPr>
          <w:p>
            <w:pPr>
              <w:jc w:val="right"/>
              <w:ind w:right="20"/>
              <w:spacing w:after="0"/>
              <w:rPr>
                <w:sz w:val="20"/>
                <w:szCs w:val="20"/>
                <w:color w:val="auto"/>
              </w:rPr>
            </w:pPr>
            <w:r>
              <w:rPr>
                <w:rFonts w:ascii="Arial" w:cs="Arial" w:eastAsia="Arial" w:hAnsi="Arial"/>
                <w:sz w:val="22"/>
                <w:szCs w:val="22"/>
                <w:color w:val="auto"/>
              </w:rPr>
              <w:t>910,552,309</w:t>
            </w:r>
          </w:p>
        </w:tc>
        <w:tc>
          <w:tcPr>
            <w:tcW w:w="40" w:type="dxa"/>
            <w:vAlign w:val="bottom"/>
          </w:tcPr>
          <w:p>
            <w:pPr>
              <w:spacing w:after="0"/>
              <w:rPr>
                <w:sz w:val="23"/>
                <w:szCs w:val="23"/>
                <w:color w:val="auto"/>
              </w:rPr>
            </w:pPr>
          </w:p>
        </w:tc>
      </w:tr>
      <w:tr>
        <w:trPr>
          <w:trHeight w:val="243"/>
        </w:trPr>
        <w:tc>
          <w:tcPr>
            <w:tcW w:w="6840" w:type="dxa"/>
            <w:vAlign w:val="bottom"/>
          </w:tcPr>
          <w:p>
            <w:pPr>
              <w:ind w:left="200"/>
              <w:spacing w:after="0" w:line="243" w:lineRule="exact"/>
              <w:rPr>
                <w:sz w:val="20"/>
                <w:szCs w:val="20"/>
                <w:color w:val="auto"/>
              </w:rPr>
            </w:pPr>
            <w:r>
              <w:rPr>
                <w:rFonts w:ascii="Arial" w:cs="Arial" w:eastAsia="Arial" w:hAnsi="Arial"/>
                <w:sz w:val="22"/>
                <w:szCs w:val="22"/>
                <w:color w:val="auto"/>
              </w:rPr>
              <w:t>Non-controlled, affiliated investments (cost—$22,908,099 and</w:t>
            </w:r>
          </w:p>
        </w:tc>
        <w:tc>
          <w:tcPr>
            <w:tcW w:w="1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70"/>
        </w:trPr>
        <w:tc>
          <w:tcPr>
            <w:tcW w:w="6840" w:type="dxa"/>
            <w:vAlign w:val="bottom"/>
          </w:tcPr>
          <w:p>
            <w:pPr>
              <w:ind w:left="200"/>
              <w:spacing w:after="0"/>
              <w:rPr>
                <w:sz w:val="20"/>
                <w:szCs w:val="20"/>
                <w:color w:val="auto"/>
              </w:rPr>
            </w:pPr>
            <w:r>
              <w:rPr>
                <w:rFonts w:ascii="Arial" w:cs="Arial" w:eastAsia="Arial" w:hAnsi="Arial"/>
                <w:sz w:val="22"/>
                <w:szCs w:val="22"/>
                <w:color w:val="auto"/>
              </w:rPr>
              <w:t>$21,964,181, respectively)</w:t>
            </w:r>
          </w:p>
        </w:tc>
        <w:tc>
          <w:tcPr>
            <w:tcW w:w="14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Arial" w:cs="Arial" w:eastAsia="Arial" w:hAnsi="Arial"/>
                <w:sz w:val="22"/>
                <w:szCs w:val="22"/>
                <w:color w:val="auto"/>
              </w:rPr>
              <w:t>7,356,141</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22"/>
                <w:szCs w:val="22"/>
                <w:color w:val="auto"/>
              </w:rPr>
              <w:t>11,086,834</w:t>
            </w:r>
          </w:p>
        </w:tc>
        <w:tc>
          <w:tcPr>
            <w:tcW w:w="40" w:type="dxa"/>
            <w:vAlign w:val="bottom"/>
          </w:tcPr>
          <w:p>
            <w:pPr>
              <w:spacing w:after="0"/>
              <w:rPr>
                <w:sz w:val="23"/>
                <w:szCs w:val="23"/>
                <w:color w:val="auto"/>
              </w:rPr>
            </w:pPr>
          </w:p>
        </w:tc>
      </w:tr>
      <w:tr>
        <w:trPr>
          <w:trHeight w:val="243"/>
        </w:trPr>
        <w:tc>
          <w:tcPr>
            <w:tcW w:w="6840" w:type="dxa"/>
            <w:vAlign w:val="bottom"/>
          </w:tcPr>
          <w:p>
            <w:pPr>
              <w:ind w:left="200"/>
              <w:spacing w:after="0" w:line="243" w:lineRule="exact"/>
              <w:rPr>
                <w:sz w:val="20"/>
                <w:szCs w:val="20"/>
                <w:color w:val="auto"/>
              </w:rPr>
            </w:pPr>
            <w:r>
              <w:rPr>
                <w:rFonts w:ascii="Arial" w:cs="Arial" w:eastAsia="Arial" w:hAnsi="Arial"/>
                <w:sz w:val="22"/>
                <w:szCs w:val="22"/>
                <w:color w:val="auto"/>
              </w:rPr>
              <w:t>Controlled, affiliated investments (cost—$202,994,878 and</w:t>
            </w:r>
          </w:p>
        </w:tc>
        <w:tc>
          <w:tcPr>
            <w:tcW w:w="1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74"/>
        </w:trPr>
        <w:tc>
          <w:tcPr>
            <w:tcW w:w="6840" w:type="dxa"/>
            <w:vAlign w:val="bottom"/>
          </w:tcPr>
          <w:p>
            <w:pPr>
              <w:ind w:left="200"/>
              <w:spacing w:after="0"/>
              <w:rPr>
                <w:sz w:val="20"/>
                <w:szCs w:val="20"/>
                <w:color w:val="auto"/>
              </w:rPr>
            </w:pPr>
            <w:r>
              <w:rPr>
                <w:rFonts w:ascii="Arial" w:cs="Arial" w:eastAsia="Arial" w:hAnsi="Arial"/>
                <w:sz w:val="22"/>
                <w:szCs w:val="22"/>
                <w:color w:val="auto"/>
              </w:rPr>
              <w:t>$179,112,500, respectively)</w:t>
            </w:r>
          </w:p>
        </w:tc>
        <w:tc>
          <w:tcPr>
            <w:tcW w:w="14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Arial" w:cs="Arial" w:eastAsia="Arial" w:hAnsi="Arial"/>
                <w:sz w:val="22"/>
                <w:szCs w:val="22"/>
                <w:color w:val="auto"/>
              </w:rPr>
              <w:t>191,953,675</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22"/>
                <w:szCs w:val="22"/>
                <w:color w:val="auto"/>
              </w:rPr>
              <w:t>165,289,324</w:t>
            </w:r>
          </w:p>
        </w:tc>
        <w:tc>
          <w:tcPr>
            <w:tcW w:w="40" w:type="dxa"/>
            <w:vAlign w:val="bottom"/>
          </w:tcPr>
          <w:p>
            <w:pPr>
              <w:spacing w:after="0"/>
              <w:rPr>
                <w:sz w:val="23"/>
                <w:szCs w:val="23"/>
                <w:color w:val="auto"/>
              </w:rPr>
            </w:pPr>
          </w:p>
        </w:tc>
      </w:tr>
      <w:tr>
        <w:trPr>
          <w:trHeight w:val="219"/>
        </w:trPr>
        <w:tc>
          <w:tcPr>
            <w:tcW w:w="6840" w:type="dxa"/>
            <w:vAlign w:val="bottom"/>
          </w:tcPr>
          <w:p>
            <w:pPr>
              <w:ind w:left="200"/>
              <w:spacing w:after="0" w:line="219" w:lineRule="exact"/>
              <w:rPr>
                <w:sz w:val="20"/>
                <w:szCs w:val="20"/>
                <w:color w:val="auto"/>
              </w:rPr>
            </w:pPr>
            <w:r>
              <w:rPr>
                <w:rFonts w:ascii="Arial" w:cs="Arial" w:eastAsia="Arial" w:hAnsi="Arial"/>
                <w:sz w:val="22"/>
                <w:szCs w:val="22"/>
                <w:color w:val="auto"/>
              </w:rPr>
              <w:t>Total of investments (cost—$1,074,478,345 and $1,116,951,438,</w:t>
            </w:r>
          </w:p>
        </w:tc>
        <w:tc>
          <w:tcPr>
            <w:tcW w:w="140" w:type="dxa"/>
            <w:vAlign w:val="bottom"/>
            <w:tcBorders>
              <w:top w:val="single" w:sz="8" w:color="auto"/>
            </w:tcBorders>
          </w:tcPr>
          <w:p>
            <w:pPr>
              <w:spacing w:after="0"/>
              <w:rPr>
                <w:sz w:val="19"/>
                <w:szCs w:val="19"/>
                <w:color w:val="auto"/>
              </w:rPr>
            </w:pPr>
          </w:p>
        </w:tc>
        <w:tc>
          <w:tcPr>
            <w:tcW w:w="1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70"/>
        </w:trPr>
        <w:tc>
          <w:tcPr>
            <w:tcW w:w="6840" w:type="dxa"/>
            <w:vAlign w:val="bottom"/>
          </w:tcPr>
          <w:p>
            <w:pPr>
              <w:ind w:left="200"/>
              <w:spacing w:after="0"/>
              <w:rPr>
                <w:sz w:val="20"/>
                <w:szCs w:val="20"/>
                <w:color w:val="auto"/>
              </w:rPr>
            </w:pPr>
            <w:r>
              <w:rPr>
                <w:rFonts w:ascii="Arial" w:cs="Arial" w:eastAsia="Arial" w:hAnsi="Arial"/>
                <w:sz w:val="22"/>
                <w:szCs w:val="22"/>
                <w:color w:val="auto"/>
              </w:rPr>
              <w:t>respectively)</w:t>
            </w:r>
          </w:p>
        </w:tc>
        <w:tc>
          <w:tcPr>
            <w:tcW w:w="14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Arial" w:cs="Arial" w:eastAsia="Arial" w:hAnsi="Arial"/>
                <w:sz w:val="22"/>
                <w:szCs w:val="22"/>
                <w:color w:val="auto"/>
              </w:rPr>
              <w:t>1,067,345,382</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22"/>
                <w:szCs w:val="22"/>
                <w:color w:val="auto"/>
              </w:rPr>
              <w:t>1,086,928,467</w:t>
            </w:r>
          </w:p>
        </w:tc>
        <w:tc>
          <w:tcPr>
            <w:tcW w:w="40" w:type="dxa"/>
            <w:vAlign w:val="bottom"/>
          </w:tcPr>
          <w:p>
            <w:pPr>
              <w:spacing w:after="0"/>
              <w:rPr>
                <w:sz w:val="23"/>
                <w:szCs w:val="23"/>
                <w:color w:val="auto"/>
              </w:rPr>
            </w:pPr>
          </w:p>
        </w:tc>
      </w:tr>
      <w:tr>
        <w:trPr>
          <w:trHeight w:val="243"/>
        </w:trPr>
        <w:tc>
          <w:tcPr>
            <w:tcW w:w="6840" w:type="dxa"/>
            <w:vAlign w:val="bottom"/>
          </w:tcPr>
          <w:p>
            <w:pPr>
              <w:spacing w:after="0" w:line="243" w:lineRule="exact"/>
              <w:rPr>
                <w:sz w:val="20"/>
                <w:szCs w:val="20"/>
                <w:color w:val="auto"/>
              </w:rPr>
            </w:pPr>
            <w:r>
              <w:rPr>
                <w:rFonts w:ascii="Arial" w:cs="Arial" w:eastAsia="Arial" w:hAnsi="Arial"/>
                <w:sz w:val="22"/>
                <w:szCs w:val="22"/>
                <w:color w:val="auto"/>
              </w:rPr>
              <w:t>Cash and cash equivalents (cost—$28,487,798 and $57,534,421,</w:t>
            </w:r>
          </w:p>
        </w:tc>
        <w:tc>
          <w:tcPr>
            <w:tcW w:w="1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70"/>
        </w:trPr>
        <w:tc>
          <w:tcPr>
            <w:tcW w:w="6840" w:type="dxa"/>
            <w:vAlign w:val="bottom"/>
          </w:tcPr>
          <w:p>
            <w:pPr>
              <w:spacing w:after="0"/>
              <w:rPr>
                <w:sz w:val="20"/>
                <w:szCs w:val="20"/>
                <w:color w:val="auto"/>
              </w:rPr>
            </w:pPr>
            <w:r>
              <w:rPr>
                <w:rFonts w:ascii="Arial" w:cs="Arial" w:eastAsia="Arial" w:hAnsi="Arial"/>
                <w:sz w:val="22"/>
                <w:szCs w:val="22"/>
                <w:color w:val="auto"/>
              </w:rPr>
              <w:t>respectively)</w:t>
            </w:r>
          </w:p>
        </w:tc>
        <w:tc>
          <w:tcPr>
            <w:tcW w:w="14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Arial" w:cs="Arial" w:eastAsia="Arial" w:hAnsi="Arial"/>
                <w:sz w:val="22"/>
                <w:szCs w:val="22"/>
                <w:color w:val="auto"/>
              </w:rPr>
              <w:t>28,488,111</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22"/>
                <w:szCs w:val="22"/>
                <w:color w:val="auto"/>
              </w:rPr>
              <w:t>57,511,928</w:t>
            </w:r>
          </w:p>
        </w:tc>
        <w:tc>
          <w:tcPr>
            <w:tcW w:w="40" w:type="dxa"/>
            <w:vAlign w:val="bottom"/>
          </w:tcPr>
          <w:p>
            <w:pPr>
              <w:spacing w:after="0"/>
              <w:rPr>
                <w:sz w:val="23"/>
                <w:szCs w:val="23"/>
                <w:color w:val="auto"/>
              </w:rPr>
            </w:pPr>
          </w:p>
        </w:tc>
      </w:tr>
      <w:tr>
        <w:trPr>
          <w:trHeight w:val="270"/>
        </w:trPr>
        <w:tc>
          <w:tcPr>
            <w:tcW w:w="6840" w:type="dxa"/>
            <w:vAlign w:val="bottom"/>
          </w:tcPr>
          <w:p>
            <w:pPr>
              <w:spacing w:after="0"/>
              <w:rPr>
                <w:sz w:val="20"/>
                <w:szCs w:val="20"/>
                <w:color w:val="auto"/>
              </w:rPr>
            </w:pPr>
            <w:r>
              <w:rPr>
                <w:rFonts w:ascii="Arial" w:cs="Arial" w:eastAsia="Arial" w:hAnsi="Arial"/>
                <w:sz w:val="22"/>
                <w:szCs w:val="22"/>
                <w:color w:val="auto"/>
              </w:rPr>
              <w:t>Interest receivable</w:t>
            </w:r>
          </w:p>
        </w:tc>
        <w:tc>
          <w:tcPr>
            <w:tcW w:w="14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Arial" w:cs="Arial" w:eastAsia="Arial" w:hAnsi="Arial"/>
                <w:sz w:val="22"/>
                <w:szCs w:val="22"/>
                <w:color w:val="auto"/>
              </w:rPr>
              <w:t>2,820,458</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22"/>
                <w:szCs w:val="22"/>
                <w:color w:val="auto"/>
              </w:rPr>
              <w:t>3,673,502</w:t>
            </w:r>
          </w:p>
        </w:tc>
        <w:tc>
          <w:tcPr>
            <w:tcW w:w="40" w:type="dxa"/>
            <w:vAlign w:val="bottom"/>
          </w:tcPr>
          <w:p>
            <w:pPr>
              <w:spacing w:after="0"/>
              <w:rPr>
                <w:sz w:val="23"/>
                <w:szCs w:val="23"/>
                <w:color w:val="auto"/>
              </w:rPr>
            </w:pPr>
          </w:p>
        </w:tc>
      </w:tr>
      <w:tr>
        <w:trPr>
          <w:trHeight w:val="274"/>
        </w:trPr>
        <w:tc>
          <w:tcPr>
            <w:tcW w:w="6840" w:type="dxa"/>
            <w:vAlign w:val="bottom"/>
          </w:tcPr>
          <w:p>
            <w:pPr>
              <w:spacing w:after="0"/>
              <w:rPr>
                <w:sz w:val="20"/>
                <w:szCs w:val="20"/>
                <w:color w:val="auto"/>
              </w:rPr>
            </w:pPr>
            <w:r>
              <w:rPr>
                <w:rFonts w:ascii="Arial" w:cs="Arial" w:eastAsia="Arial" w:hAnsi="Arial"/>
                <w:sz w:val="22"/>
                <w:szCs w:val="22"/>
                <w:color w:val="auto"/>
              </w:rPr>
              <w:t>Prepaid expenses and other assets</w:t>
            </w:r>
          </w:p>
        </w:tc>
        <w:tc>
          <w:tcPr>
            <w:tcW w:w="140" w:type="dxa"/>
            <w:vAlign w:val="bottom"/>
            <w:tcBorders>
              <w:bottom w:val="single" w:sz="8" w:color="auto"/>
            </w:tcBorders>
          </w:tcPr>
          <w:p>
            <w:pPr>
              <w:spacing w:after="0"/>
              <w:rPr>
                <w:sz w:val="23"/>
                <w:szCs w:val="23"/>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186,656</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2"/>
                <w:szCs w:val="22"/>
                <w:color w:val="auto"/>
              </w:rPr>
              <w:t>173,318</w:t>
            </w:r>
          </w:p>
        </w:tc>
        <w:tc>
          <w:tcPr>
            <w:tcW w:w="40" w:type="dxa"/>
            <w:vAlign w:val="bottom"/>
          </w:tcPr>
          <w:p>
            <w:pPr>
              <w:spacing w:after="0"/>
              <w:rPr>
                <w:sz w:val="23"/>
                <w:szCs w:val="23"/>
                <w:color w:val="auto"/>
              </w:rPr>
            </w:pPr>
          </w:p>
        </w:tc>
      </w:tr>
      <w:tr>
        <w:trPr>
          <w:trHeight w:val="267"/>
        </w:trPr>
        <w:tc>
          <w:tcPr>
            <w:tcW w:w="6840" w:type="dxa"/>
            <w:vAlign w:val="bottom"/>
          </w:tcPr>
          <w:p>
            <w:pPr>
              <w:ind w:left="720"/>
              <w:spacing w:after="0"/>
              <w:rPr>
                <w:sz w:val="20"/>
                <w:szCs w:val="20"/>
                <w:color w:val="auto"/>
              </w:rPr>
            </w:pPr>
            <w:r>
              <w:rPr>
                <w:rFonts w:ascii="Arial" w:cs="Arial" w:eastAsia="Arial" w:hAnsi="Arial"/>
                <w:sz w:val="22"/>
                <w:szCs w:val="22"/>
                <w:b w:val="1"/>
                <w:bCs w:val="1"/>
                <w:color w:val="auto"/>
              </w:rPr>
              <w:t>Total assets</w:t>
            </w:r>
          </w:p>
        </w:tc>
        <w:tc>
          <w:tcPr>
            <w:tcW w:w="14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Arial" w:cs="Arial" w:eastAsia="Arial" w:hAnsi="Arial"/>
                <w:sz w:val="22"/>
                <w:szCs w:val="22"/>
                <w:color w:val="auto"/>
              </w:rPr>
              <w:t>1,098,840,607</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22"/>
                <w:szCs w:val="22"/>
                <w:color w:val="auto"/>
              </w:rPr>
              <w:t>1,148,287,215</w:t>
            </w:r>
          </w:p>
        </w:tc>
        <w:tc>
          <w:tcPr>
            <w:tcW w:w="40" w:type="dxa"/>
            <w:vAlign w:val="bottom"/>
          </w:tcPr>
          <w:p>
            <w:pPr>
              <w:spacing w:after="0"/>
              <w:rPr>
                <w:sz w:val="23"/>
                <w:szCs w:val="23"/>
                <w:color w:val="auto"/>
              </w:rPr>
            </w:pPr>
          </w:p>
        </w:tc>
      </w:tr>
      <w:tr>
        <w:trPr>
          <w:trHeight w:val="256"/>
        </w:trPr>
        <w:tc>
          <w:tcPr>
            <w:tcW w:w="6840" w:type="dxa"/>
            <w:vAlign w:val="bottom"/>
          </w:tcPr>
          <w:p>
            <w:pPr>
              <w:spacing w:after="0"/>
              <w:rPr>
                <w:sz w:val="20"/>
                <w:szCs w:val="20"/>
                <w:color w:val="auto"/>
              </w:rPr>
            </w:pPr>
            <w:r>
              <w:rPr>
                <w:rFonts w:ascii="Arial" w:cs="Arial" w:eastAsia="Arial" w:hAnsi="Arial"/>
                <w:sz w:val="22"/>
                <w:szCs w:val="22"/>
                <w:b w:val="1"/>
                <w:bCs w:val="1"/>
                <w:color w:val="auto"/>
              </w:rPr>
              <w:t>Liabilities</w:t>
            </w:r>
          </w:p>
        </w:tc>
        <w:tc>
          <w:tcPr>
            <w:tcW w:w="140" w:type="dxa"/>
            <w:vAlign w:val="bottom"/>
            <w:tcBorders>
              <w:top w:val="single" w:sz="8" w:color="auto"/>
            </w:tcBorders>
          </w:tcPr>
          <w:p>
            <w:pPr>
              <w:spacing w:after="0"/>
              <w:rPr>
                <w:sz w:val="22"/>
                <w:szCs w:val="22"/>
                <w:color w:val="auto"/>
              </w:rPr>
            </w:pPr>
          </w:p>
        </w:tc>
        <w:tc>
          <w:tcPr>
            <w:tcW w:w="190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58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70"/>
        </w:trPr>
        <w:tc>
          <w:tcPr>
            <w:tcW w:w="6840" w:type="dxa"/>
            <w:vAlign w:val="bottom"/>
          </w:tcPr>
          <w:p>
            <w:pPr>
              <w:spacing w:after="0"/>
              <w:rPr>
                <w:sz w:val="20"/>
                <w:szCs w:val="20"/>
                <w:color w:val="auto"/>
              </w:rPr>
            </w:pPr>
            <w:r>
              <w:rPr>
                <w:rFonts w:ascii="Arial" w:cs="Arial" w:eastAsia="Arial" w:hAnsi="Arial"/>
                <w:sz w:val="22"/>
                <w:szCs w:val="22"/>
                <w:color w:val="auto"/>
              </w:rPr>
              <w:t>Distributions payable</w:t>
            </w:r>
          </w:p>
        </w:tc>
        <w:tc>
          <w:tcPr>
            <w:tcW w:w="14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Arial" w:cs="Arial" w:eastAsia="Arial" w:hAnsi="Arial"/>
                <w:sz w:val="22"/>
                <w:szCs w:val="22"/>
                <w:color w:val="auto"/>
              </w:rPr>
              <w:t>3,683,347</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22"/>
                <w:szCs w:val="22"/>
                <w:color w:val="auto"/>
              </w:rPr>
              <w:t>3,683,347</w:t>
            </w:r>
          </w:p>
        </w:tc>
        <w:tc>
          <w:tcPr>
            <w:tcW w:w="40" w:type="dxa"/>
            <w:vAlign w:val="bottom"/>
          </w:tcPr>
          <w:p>
            <w:pPr>
              <w:spacing w:after="0"/>
              <w:rPr>
                <w:sz w:val="23"/>
                <w:szCs w:val="23"/>
                <w:color w:val="auto"/>
              </w:rPr>
            </w:pPr>
          </w:p>
        </w:tc>
      </w:tr>
      <w:tr>
        <w:trPr>
          <w:trHeight w:val="270"/>
        </w:trPr>
        <w:tc>
          <w:tcPr>
            <w:tcW w:w="6840" w:type="dxa"/>
            <w:vAlign w:val="bottom"/>
          </w:tcPr>
          <w:p>
            <w:pPr>
              <w:spacing w:after="0"/>
              <w:rPr>
                <w:sz w:val="20"/>
                <w:szCs w:val="20"/>
                <w:color w:val="auto"/>
              </w:rPr>
            </w:pPr>
            <w:r>
              <w:rPr>
                <w:rFonts w:ascii="Arial" w:cs="Arial" w:eastAsia="Arial" w:hAnsi="Arial"/>
                <w:sz w:val="22"/>
                <w:szCs w:val="22"/>
                <w:color w:val="auto"/>
              </w:rPr>
              <w:t>Payable for investments purchased</w:t>
            </w:r>
          </w:p>
        </w:tc>
        <w:tc>
          <w:tcPr>
            <w:tcW w:w="14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Arial" w:cs="Arial" w:eastAsia="Arial" w:hAnsi="Arial"/>
                <w:sz w:val="22"/>
                <w:szCs w:val="22"/>
                <w:color w:val="auto"/>
              </w:rPr>
              <w:t>9,578,076</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22"/>
                <w:szCs w:val="22"/>
                <w:color w:val="auto"/>
              </w:rPr>
              <w:t>3,800,000</w:t>
            </w:r>
          </w:p>
        </w:tc>
        <w:tc>
          <w:tcPr>
            <w:tcW w:w="40" w:type="dxa"/>
            <w:vAlign w:val="bottom"/>
          </w:tcPr>
          <w:p>
            <w:pPr>
              <w:spacing w:after="0"/>
              <w:rPr>
                <w:sz w:val="23"/>
                <w:szCs w:val="23"/>
                <w:color w:val="auto"/>
              </w:rPr>
            </w:pPr>
          </w:p>
        </w:tc>
      </w:tr>
      <w:tr>
        <w:trPr>
          <w:trHeight w:val="243"/>
        </w:trPr>
        <w:tc>
          <w:tcPr>
            <w:tcW w:w="6840" w:type="dxa"/>
            <w:vAlign w:val="bottom"/>
          </w:tcPr>
          <w:p>
            <w:pPr>
              <w:spacing w:after="0" w:line="243" w:lineRule="exact"/>
              <w:rPr>
                <w:sz w:val="20"/>
                <w:szCs w:val="20"/>
                <w:color w:val="auto"/>
              </w:rPr>
            </w:pPr>
            <w:r>
              <w:rPr>
                <w:rFonts w:ascii="Arial" w:cs="Arial" w:eastAsia="Arial" w:hAnsi="Arial"/>
                <w:sz w:val="22"/>
                <w:szCs w:val="22"/>
                <w:color w:val="auto"/>
              </w:rPr>
              <w:t>Credit Facility payable, at fair value (cost—$256,900,000 and</w:t>
            </w:r>
          </w:p>
        </w:tc>
        <w:tc>
          <w:tcPr>
            <w:tcW w:w="1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70"/>
        </w:trPr>
        <w:tc>
          <w:tcPr>
            <w:tcW w:w="6840" w:type="dxa"/>
            <w:vAlign w:val="bottom"/>
          </w:tcPr>
          <w:p>
            <w:pPr>
              <w:spacing w:after="0"/>
              <w:rPr>
                <w:sz w:val="20"/>
                <w:szCs w:val="20"/>
                <w:color w:val="auto"/>
              </w:rPr>
            </w:pPr>
            <w:r>
              <w:rPr>
                <w:rFonts w:ascii="Arial" w:cs="Arial" w:eastAsia="Arial" w:hAnsi="Arial"/>
                <w:sz w:val="22"/>
                <w:szCs w:val="22"/>
                <w:color w:val="auto"/>
              </w:rPr>
              <w:t>$308,598,500, respectively)</w:t>
            </w:r>
          </w:p>
        </w:tc>
        <w:tc>
          <w:tcPr>
            <w:tcW w:w="14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Arial" w:cs="Arial" w:eastAsia="Arial" w:hAnsi="Arial"/>
                <w:sz w:val="22"/>
                <w:szCs w:val="22"/>
                <w:color w:val="auto"/>
              </w:rPr>
              <w:t>253,303,400</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22"/>
                <w:szCs w:val="22"/>
                <w:color w:val="auto"/>
              </w:rPr>
              <w:t>299,047,275</w:t>
            </w:r>
          </w:p>
        </w:tc>
        <w:tc>
          <w:tcPr>
            <w:tcW w:w="40" w:type="dxa"/>
            <w:vAlign w:val="bottom"/>
          </w:tcPr>
          <w:p>
            <w:pPr>
              <w:spacing w:after="0"/>
              <w:rPr>
                <w:sz w:val="23"/>
                <w:szCs w:val="23"/>
                <w:color w:val="auto"/>
              </w:rPr>
            </w:pPr>
          </w:p>
        </w:tc>
      </w:tr>
      <w:tr>
        <w:trPr>
          <w:trHeight w:val="243"/>
        </w:trPr>
        <w:tc>
          <w:tcPr>
            <w:tcW w:w="6840" w:type="dxa"/>
            <w:vAlign w:val="bottom"/>
          </w:tcPr>
          <w:p>
            <w:pPr>
              <w:spacing w:after="0" w:line="243" w:lineRule="exact"/>
              <w:rPr>
                <w:sz w:val="20"/>
                <w:szCs w:val="20"/>
                <w:color w:val="auto"/>
              </w:rPr>
            </w:pPr>
            <w:r>
              <w:rPr>
                <w:rFonts w:ascii="Arial" w:cs="Arial" w:eastAsia="Arial" w:hAnsi="Arial"/>
                <w:sz w:val="22"/>
                <w:szCs w:val="22"/>
                <w:color w:val="auto"/>
                <w:w w:val="95"/>
              </w:rPr>
              <w:t>2023 Notes payable, at fair value (par—$117,792,879 and $138,579,858,</w:t>
            </w:r>
          </w:p>
        </w:tc>
        <w:tc>
          <w:tcPr>
            <w:tcW w:w="1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70"/>
        </w:trPr>
        <w:tc>
          <w:tcPr>
            <w:tcW w:w="6840" w:type="dxa"/>
            <w:vAlign w:val="bottom"/>
          </w:tcPr>
          <w:p>
            <w:pPr>
              <w:spacing w:after="0"/>
              <w:rPr>
                <w:sz w:val="20"/>
                <w:szCs w:val="20"/>
                <w:color w:val="auto"/>
              </w:rPr>
            </w:pPr>
            <w:r>
              <w:rPr>
                <w:rFonts w:ascii="Arial" w:cs="Arial" w:eastAsia="Arial" w:hAnsi="Arial"/>
                <w:sz w:val="22"/>
                <w:szCs w:val="22"/>
                <w:color w:val="auto"/>
              </w:rPr>
              <w:t>respectively)</w:t>
            </w:r>
          </w:p>
        </w:tc>
        <w:tc>
          <w:tcPr>
            <w:tcW w:w="14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Arial" w:cs="Arial" w:eastAsia="Arial" w:hAnsi="Arial"/>
                <w:sz w:val="22"/>
                <w:szCs w:val="22"/>
                <w:color w:val="auto"/>
              </w:rPr>
              <w:t>106,567,218</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22"/>
                <w:szCs w:val="22"/>
                <w:color w:val="auto"/>
              </w:rPr>
              <w:t>129,295,008</w:t>
            </w:r>
          </w:p>
        </w:tc>
        <w:tc>
          <w:tcPr>
            <w:tcW w:w="40" w:type="dxa"/>
            <w:vAlign w:val="bottom"/>
          </w:tcPr>
          <w:p>
            <w:pPr>
              <w:spacing w:after="0"/>
              <w:rPr>
                <w:sz w:val="23"/>
                <w:szCs w:val="23"/>
                <w:color w:val="auto"/>
              </w:rPr>
            </w:pPr>
          </w:p>
        </w:tc>
      </w:tr>
      <w:tr>
        <w:trPr>
          <w:trHeight w:val="243"/>
        </w:trPr>
        <w:tc>
          <w:tcPr>
            <w:tcW w:w="6840" w:type="dxa"/>
            <w:vAlign w:val="bottom"/>
          </w:tcPr>
          <w:p>
            <w:pPr>
              <w:spacing w:after="0" w:line="243" w:lineRule="exact"/>
              <w:rPr>
                <w:sz w:val="20"/>
                <w:szCs w:val="20"/>
                <w:color w:val="auto"/>
              </w:rPr>
            </w:pPr>
            <w:r>
              <w:rPr>
                <w:rFonts w:ascii="Arial" w:cs="Arial" w:eastAsia="Arial" w:hAnsi="Arial"/>
                <w:sz w:val="22"/>
                <w:szCs w:val="22"/>
                <w:color w:val="auto"/>
              </w:rPr>
              <w:t>2031 Asset-Backed Debt, net (par—$228,000,000 and $228,000,000,</w:t>
            </w:r>
          </w:p>
        </w:tc>
        <w:tc>
          <w:tcPr>
            <w:tcW w:w="1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70"/>
        </w:trPr>
        <w:tc>
          <w:tcPr>
            <w:tcW w:w="6840" w:type="dxa"/>
            <w:vAlign w:val="bottom"/>
          </w:tcPr>
          <w:p>
            <w:pPr>
              <w:spacing w:after="0"/>
              <w:rPr>
                <w:sz w:val="20"/>
                <w:szCs w:val="20"/>
                <w:color w:val="auto"/>
              </w:rPr>
            </w:pPr>
            <w:r>
              <w:rPr>
                <w:rFonts w:ascii="Arial" w:cs="Arial" w:eastAsia="Arial" w:hAnsi="Arial"/>
                <w:sz w:val="22"/>
                <w:szCs w:val="22"/>
                <w:color w:val="auto"/>
              </w:rPr>
              <w:t>respectively)</w:t>
            </w:r>
          </w:p>
        </w:tc>
        <w:tc>
          <w:tcPr>
            <w:tcW w:w="14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Arial" w:cs="Arial" w:eastAsia="Arial" w:hAnsi="Arial"/>
                <w:sz w:val="22"/>
                <w:szCs w:val="22"/>
                <w:color w:val="auto"/>
              </w:rPr>
              <w:t>225,024,045</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22"/>
                <w:szCs w:val="22"/>
                <w:color w:val="auto"/>
              </w:rPr>
              <w:t>224,866,334</w:t>
            </w:r>
          </w:p>
        </w:tc>
        <w:tc>
          <w:tcPr>
            <w:tcW w:w="40" w:type="dxa"/>
            <w:vAlign w:val="bottom"/>
          </w:tcPr>
          <w:p>
            <w:pPr>
              <w:spacing w:after="0"/>
              <w:rPr>
                <w:sz w:val="23"/>
                <w:szCs w:val="23"/>
                <w:color w:val="auto"/>
              </w:rPr>
            </w:pPr>
          </w:p>
        </w:tc>
      </w:tr>
      <w:tr>
        <w:trPr>
          <w:trHeight w:val="270"/>
        </w:trPr>
        <w:tc>
          <w:tcPr>
            <w:tcW w:w="6840" w:type="dxa"/>
            <w:vAlign w:val="bottom"/>
          </w:tcPr>
          <w:p>
            <w:pPr>
              <w:spacing w:after="0"/>
              <w:rPr>
                <w:sz w:val="20"/>
                <w:szCs w:val="20"/>
                <w:color w:val="auto"/>
              </w:rPr>
            </w:pPr>
            <w:r>
              <w:rPr>
                <w:rFonts w:ascii="Arial" w:cs="Arial" w:eastAsia="Arial" w:hAnsi="Arial"/>
                <w:sz w:val="22"/>
                <w:szCs w:val="22"/>
                <w:color w:val="auto"/>
              </w:rPr>
              <w:t>Interest payable on debt</w:t>
            </w:r>
          </w:p>
        </w:tc>
        <w:tc>
          <w:tcPr>
            <w:tcW w:w="14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Arial" w:cs="Arial" w:eastAsia="Arial" w:hAnsi="Arial"/>
                <w:sz w:val="22"/>
                <w:szCs w:val="22"/>
                <w:color w:val="auto"/>
              </w:rPr>
              <w:t>1,891,525</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22"/>
                <w:szCs w:val="22"/>
                <w:color w:val="auto"/>
              </w:rPr>
              <w:t>3,601,479</w:t>
            </w:r>
          </w:p>
        </w:tc>
        <w:tc>
          <w:tcPr>
            <w:tcW w:w="40" w:type="dxa"/>
            <w:vAlign w:val="bottom"/>
          </w:tcPr>
          <w:p>
            <w:pPr>
              <w:spacing w:after="0"/>
              <w:rPr>
                <w:sz w:val="23"/>
                <w:szCs w:val="23"/>
                <w:color w:val="auto"/>
              </w:rPr>
            </w:pPr>
          </w:p>
        </w:tc>
      </w:tr>
      <w:tr>
        <w:trPr>
          <w:trHeight w:val="270"/>
        </w:trPr>
        <w:tc>
          <w:tcPr>
            <w:tcW w:w="6840" w:type="dxa"/>
            <w:vAlign w:val="bottom"/>
          </w:tcPr>
          <w:p>
            <w:pPr>
              <w:spacing w:after="0"/>
              <w:rPr>
                <w:sz w:val="20"/>
                <w:szCs w:val="20"/>
                <w:color w:val="auto"/>
              </w:rPr>
            </w:pPr>
            <w:r>
              <w:rPr>
                <w:rFonts w:ascii="Arial" w:cs="Arial" w:eastAsia="Arial" w:hAnsi="Arial"/>
                <w:sz w:val="22"/>
                <w:szCs w:val="22"/>
                <w:color w:val="auto"/>
              </w:rPr>
              <w:t>Base management fee payable</w:t>
            </w:r>
          </w:p>
        </w:tc>
        <w:tc>
          <w:tcPr>
            <w:tcW w:w="14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Arial" w:cs="Arial" w:eastAsia="Arial" w:hAnsi="Arial"/>
                <w:sz w:val="22"/>
                <w:szCs w:val="22"/>
                <w:color w:val="auto"/>
              </w:rPr>
              <w:t>2,716,172</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22"/>
                <w:szCs w:val="22"/>
                <w:color w:val="auto"/>
              </w:rPr>
              <w:t>2,776,477</w:t>
            </w:r>
          </w:p>
        </w:tc>
        <w:tc>
          <w:tcPr>
            <w:tcW w:w="40" w:type="dxa"/>
            <w:vAlign w:val="bottom"/>
          </w:tcPr>
          <w:p>
            <w:pPr>
              <w:spacing w:after="0"/>
              <w:rPr>
                <w:sz w:val="23"/>
                <w:szCs w:val="23"/>
                <w:color w:val="auto"/>
              </w:rPr>
            </w:pPr>
          </w:p>
        </w:tc>
      </w:tr>
      <w:tr>
        <w:trPr>
          <w:trHeight w:val="270"/>
        </w:trPr>
        <w:tc>
          <w:tcPr>
            <w:tcW w:w="6840" w:type="dxa"/>
            <w:vAlign w:val="bottom"/>
          </w:tcPr>
          <w:p>
            <w:pPr>
              <w:spacing w:after="0"/>
              <w:rPr>
                <w:sz w:val="20"/>
                <w:szCs w:val="20"/>
                <w:color w:val="auto"/>
              </w:rPr>
            </w:pPr>
            <w:r>
              <w:rPr>
                <w:rFonts w:ascii="Arial" w:cs="Arial" w:eastAsia="Arial" w:hAnsi="Arial"/>
                <w:sz w:val="22"/>
                <w:szCs w:val="22"/>
                <w:color w:val="auto"/>
              </w:rPr>
              <w:t>Performance-based incentive fee payable</w:t>
            </w:r>
          </w:p>
        </w:tc>
        <w:tc>
          <w:tcPr>
            <w:tcW w:w="14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Arial" w:cs="Arial" w:eastAsia="Arial" w:hAnsi="Arial"/>
                <w:sz w:val="22"/>
                <w:szCs w:val="22"/>
                <w:color w:val="auto"/>
              </w:rPr>
              <w:t>1,761,874</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22"/>
                <w:szCs w:val="22"/>
                <w:color w:val="auto"/>
              </w:rPr>
              <w:t>2,071,622</w:t>
            </w:r>
          </w:p>
        </w:tc>
        <w:tc>
          <w:tcPr>
            <w:tcW w:w="40" w:type="dxa"/>
            <w:vAlign w:val="bottom"/>
          </w:tcPr>
          <w:p>
            <w:pPr>
              <w:spacing w:after="0"/>
              <w:rPr>
                <w:sz w:val="23"/>
                <w:szCs w:val="23"/>
                <w:color w:val="auto"/>
              </w:rPr>
            </w:pPr>
          </w:p>
        </w:tc>
      </w:tr>
      <w:tr>
        <w:trPr>
          <w:trHeight w:val="274"/>
        </w:trPr>
        <w:tc>
          <w:tcPr>
            <w:tcW w:w="6840" w:type="dxa"/>
            <w:vAlign w:val="bottom"/>
          </w:tcPr>
          <w:p>
            <w:pPr>
              <w:spacing w:after="0"/>
              <w:rPr>
                <w:sz w:val="20"/>
                <w:szCs w:val="20"/>
                <w:color w:val="auto"/>
              </w:rPr>
            </w:pPr>
            <w:r>
              <w:rPr>
                <w:rFonts w:ascii="Arial" w:cs="Arial" w:eastAsia="Arial" w:hAnsi="Arial"/>
                <w:sz w:val="22"/>
                <w:szCs w:val="22"/>
                <w:color w:val="auto"/>
              </w:rPr>
              <w:t>Accrued other expenses</w:t>
            </w:r>
          </w:p>
        </w:tc>
        <w:tc>
          <w:tcPr>
            <w:tcW w:w="140" w:type="dxa"/>
            <w:vAlign w:val="bottom"/>
            <w:tcBorders>
              <w:bottom w:val="single" w:sz="8" w:color="auto"/>
            </w:tcBorders>
          </w:tcPr>
          <w:p>
            <w:pPr>
              <w:spacing w:after="0"/>
              <w:rPr>
                <w:sz w:val="23"/>
                <w:szCs w:val="23"/>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1,964,011</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2"/>
                <w:szCs w:val="22"/>
                <w:color w:val="auto"/>
              </w:rPr>
              <w:t>1,875,281</w:t>
            </w:r>
          </w:p>
        </w:tc>
        <w:tc>
          <w:tcPr>
            <w:tcW w:w="40" w:type="dxa"/>
            <w:vAlign w:val="bottom"/>
          </w:tcPr>
          <w:p>
            <w:pPr>
              <w:spacing w:after="0"/>
              <w:rPr>
                <w:sz w:val="23"/>
                <w:szCs w:val="23"/>
                <w:color w:val="auto"/>
              </w:rPr>
            </w:pPr>
          </w:p>
        </w:tc>
      </w:tr>
      <w:tr>
        <w:trPr>
          <w:trHeight w:val="267"/>
        </w:trPr>
        <w:tc>
          <w:tcPr>
            <w:tcW w:w="6840" w:type="dxa"/>
            <w:vAlign w:val="bottom"/>
          </w:tcPr>
          <w:p>
            <w:pPr>
              <w:ind w:left="720"/>
              <w:spacing w:after="0"/>
              <w:rPr>
                <w:sz w:val="20"/>
                <w:szCs w:val="20"/>
                <w:color w:val="auto"/>
              </w:rPr>
            </w:pPr>
            <w:r>
              <w:rPr>
                <w:rFonts w:ascii="Arial" w:cs="Arial" w:eastAsia="Arial" w:hAnsi="Arial"/>
                <w:sz w:val="22"/>
                <w:szCs w:val="22"/>
                <w:b w:val="1"/>
                <w:bCs w:val="1"/>
                <w:color w:val="auto"/>
              </w:rPr>
              <w:t>Total liabilities</w:t>
            </w:r>
          </w:p>
        </w:tc>
        <w:tc>
          <w:tcPr>
            <w:tcW w:w="14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Arial" w:cs="Arial" w:eastAsia="Arial" w:hAnsi="Arial"/>
                <w:sz w:val="22"/>
                <w:szCs w:val="22"/>
                <w:color w:val="auto"/>
              </w:rPr>
              <w:t>606,489,668</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22"/>
                <w:szCs w:val="22"/>
                <w:color w:val="auto"/>
              </w:rPr>
              <w:t>671,016,823</w:t>
            </w:r>
          </w:p>
        </w:tc>
        <w:tc>
          <w:tcPr>
            <w:tcW w:w="40" w:type="dxa"/>
            <w:vAlign w:val="bottom"/>
          </w:tcPr>
          <w:p>
            <w:pPr>
              <w:spacing w:after="0"/>
              <w:rPr>
                <w:sz w:val="23"/>
                <w:szCs w:val="23"/>
                <w:color w:val="auto"/>
              </w:rPr>
            </w:pPr>
          </w:p>
        </w:tc>
      </w:tr>
      <w:tr>
        <w:trPr>
          <w:trHeight w:val="250"/>
        </w:trPr>
        <w:tc>
          <w:tcPr>
            <w:tcW w:w="6840" w:type="dxa"/>
            <w:vAlign w:val="bottom"/>
          </w:tcPr>
          <w:p>
            <w:pPr>
              <w:spacing w:after="0" w:line="249" w:lineRule="exact"/>
              <w:rPr>
                <w:sz w:val="20"/>
                <w:szCs w:val="20"/>
                <w:color w:val="auto"/>
              </w:rPr>
            </w:pPr>
            <w:r>
              <w:rPr>
                <w:rFonts w:ascii="Arial" w:cs="Arial" w:eastAsia="Arial" w:hAnsi="Arial"/>
                <w:sz w:val="22"/>
                <w:szCs w:val="22"/>
                <w:color w:val="auto"/>
              </w:rPr>
              <w:t>Commitments and contingencies</w:t>
            </w:r>
          </w:p>
        </w:tc>
        <w:tc>
          <w:tcPr>
            <w:tcW w:w="140" w:type="dxa"/>
            <w:vAlign w:val="bottom"/>
            <w:tcBorders>
              <w:top w:val="single" w:sz="8" w:color="auto"/>
            </w:tcBorders>
          </w:tcPr>
          <w:p>
            <w:pPr>
              <w:spacing w:after="0"/>
              <w:rPr>
                <w:sz w:val="21"/>
                <w:szCs w:val="21"/>
                <w:color w:val="auto"/>
              </w:rPr>
            </w:pPr>
          </w:p>
        </w:tc>
        <w:tc>
          <w:tcPr>
            <w:tcW w:w="190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58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76"/>
        </w:trPr>
        <w:tc>
          <w:tcPr>
            <w:tcW w:w="6840" w:type="dxa"/>
            <w:vAlign w:val="bottom"/>
          </w:tcPr>
          <w:p>
            <w:pPr>
              <w:spacing w:after="0"/>
              <w:rPr>
                <w:sz w:val="20"/>
                <w:szCs w:val="20"/>
                <w:color w:val="auto"/>
              </w:rPr>
            </w:pPr>
            <w:r>
              <w:rPr>
                <w:rFonts w:ascii="Arial" w:cs="Arial" w:eastAsia="Arial" w:hAnsi="Arial"/>
                <w:sz w:val="22"/>
                <w:szCs w:val="22"/>
                <w:b w:val="1"/>
                <w:bCs w:val="1"/>
                <w:color w:val="auto"/>
              </w:rPr>
              <w:t>Net assets</w:t>
            </w:r>
          </w:p>
        </w:tc>
        <w:tc>
          <w:tcPr>
            <w:tcW w:w="1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43"/>
        </w:trPr>
        <w:tc>
          <w:tcPr>
            <w:tcW w:w="6840" w:type="dxa"/>
            <w:vAlign w:val="bottom"/>
          </w:tcPr>
          <w:p>
            <w:pPr>
              <w:spacing w:after="0" w:line="243" w:lineRule="exact"/>
              <w:rPr>
                <w:sz w:val="20"/>
                <w:szCs w:val="20"/>
                <w:color w:val="auto"/>
              </w:rPr>
            </w:pPr>
            <w:r>
              <w:rPr>
                <w:rFonts w:ascii="Arial" w:cs="Arial" w:eastAsia="Arial" w:hAnsi="Arial"/>
                <w:sz w:val="22"/>
                <w:szCs w:val="22"/>
                <w:color w:val="auto"/>
                <w:w w:val="91"/>
              </w:rPr>
              <w:t>Common stock, 38,772,074 shares issued and outstanding Par value $0.001</w:t>
            </w:r>
          </w:p>
        </w:tc>
        <w:tc>
          <w:tcPr>
            <w:tcW w:w="1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70"/>
        </w:trPr>
        <w:tc>
          <w:tcPr>
            <w:tcW w:w="6840" w:type="dxa"/>
            <w:vAlign w:val="bottom"/>
          </w:tcPr>
          <w:p>
            <w:pPr>
              <w:spacing w:after="0"/>
              <w:rPr>
                <w:sz w:val="20"/>
                <w:szCs w:val="20"/>
                <w:color w:val="auto"/>
              </w:rPr>
            </w:pPr>
            <w:r>
              <w:rPr>
                <w:rFonts w:ascii="Arial" w:cs="Arial" w:eastAsia="Arial" w:hAnsi="Arial"/>
                <w:sz w:val="22"/>
                <w:szCs w:val="22"/>
                <w:color w:val="auto"/>
              </w:rPr>
              <w:t>per share and 100,000,000 shares authorized</w:t>
            </w:r>
          </w:p>
        </w:tc>
        <w:tc>
          <w:tcPr>
            <w:tcW w:w="14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Arial" w:cs="Arial" w:eastAsia="Arial" w:hAnsi="Arial"/>
                <w:sz w:val="22"/>
                <w:szCs w:val="22"/>
                <w:color w:val="auto"/>
              </w:rPr>
              <w:t>38,772</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22"/>
                <w:szCs w:val="22"/>
                <w:color w:val="auto"/>
              </w:rPr>
              <w:t>38,772</w:t>
            </w:r>
          </w:p>
        </w:tc>
        <w:tc>
          <w:tcPr>
            <w:tcW w:w="40" w:type="dxa"/>
            <w:vAlign w:val="bottom"/>
          </w:tcPr>
          <w:p>
            <w:pPr>
              <w:spacing w:after="0"/>
              <w:rPr>
                <w:sz w:val="23"/>
                <w:szCs w:val="23"/>
                <w:color w:val="auto"/>
              </w:rPr>
            </w:pPr>
          </w:p>
        </w:tc>
      </w:tr>
      <w:tr>
        <w:trPr>
          <w:trHeight w:val="270"/>
        </w:trPr>
        <w:tc>
          <w:tcPr>
            <w:tcW w:w="6840" w:type="dxa"/>
            <w:vAlign w:val="bottom"/>
          </w:tcPr>
          <w:p>
            <w:pPr>
              <w:spacing w:after="0"/>
              <w:rPr>
                <w:sz w:val="20"/>
                <w:szCs w:val="20"/>
                <w:color w:val="auto"/>
              </w:rPr>
            </w:pPr>
            <w:r>
              <w:rPr>
                <w:rFonts w:ascii="Arial" w:cs="Arial" w:eastAsia="Arial" w:hAnsi="Arial"/>
                <w:sz w:val="22"/>
                <w:szCs w:val="22"/>
                <w:color w:val="auto"/>
              </w:rPr>
              <w:t>Paid-in capital in excess of par value</w:t>
            </w:r>
          </w:p>
        </w:tc>
        <w:tc>
          <w:tcPr>
            <w:tcW w:w="14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Arial" w:cs="Arial" w:eastAsia="Arial" w:hAnsi="Arial"/>
                <w:sz w:val="22"/>
                <w:szCs w:val="22"/>
                <w:color w:val="auto"/>
              </w:rPr>
              <w:t>538,151,528</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22"/>
                <w:szCs w:val="22"/>
                <w:color w:val="auto"/>
              </w:rPr>
              <w:t>538,151,528</w:t>
            </w:r>
          </w:p>
        </w:tc>
        <w:tc>
          <w:tcPr>
            <w:tcW w:w="40" w:type="dxa"/>
            <w:vAlign w:val="bottom"/>
          </w:tcPr>
          <w:p>
            <w:pPr>
              <w:spacing w:after="0"/>
              <w:rPr>
                <w:sz w:val="23"/>
                <w:szCs w:val="23"/>
                <w:color w:val="auto"/>
              </w:rPr>
            </w:pPr>
          </w:p>
        </w:tc>
      </w:tr>
      <w:tr>
        <w:trPr>
          <w:trHeight w:val="274"/>
        </w:trPr>
        <w:tc>
          <w:tcPr>
            <w:tcW w:w="6840" w:type="dxa"/>
            <w:vAlign w:val="bottom"/>
          </w:tcPr>
          <w:p>
            <w:pPr>
              <w:spacing w:after="0"/>
              <w:rPr>
                <w:sz w:val="20"/>
                <w:szCs w:val="20"/>
                <w:color w:val="auto"/>
              </w:rPr>
            </w:pPr>
            <w:r>
              <w:rPr>
                <w:rFonts w:ascii="Arial" w:cs="Arial" w:eastAsia="Arial" w:hAnsi="Arial"/>
                <w:sz w:val="22"/>
                <w:szCs w:val="22"/>
                <w:color w:val="auto"/>
              </w:rPr>
              <w:t>Distributable income</w:t>
            </w:r>
          </w:p>
        </w:tc>
        <w:tc>
          <w:tcPr>
            <w:tcW w:w="140" w:type="dxa"/>
            <w:vAlign w:val="bottom"/>
          </w:tcPr>
          <w:p>
            <w:pPr>
              <w:spacing w:after="0"/>
              <w:rPr>
                <w:sz w:val="23"/>
                <w:szCs w:val="23"/>
                <w:color w:val="auto"/>
              </w:rPr>
            </w:pPr>
          </w:p>
        </w:tc>
        <w:tc>
          <w:tcPr>
            <w:tcW w:w="2120" w:type="dxa"/>
            <w:vAlign w:val="bottom"/>
            <w:gridSpan w:val="2"/>
          </w:tcPr>
          <w:p>
            <w:pPr>
              <w:jc w:val="right"/>
              <w:ind w:right="140"/>
              <w:spacing w:after="0"/>
              <w:rPr>
                <w:sz w:val="20"/>
                <w:szCs w:val="20"/>
                <w:color w:val="auto"/>
              </w:rPr>
            </w:pPr>
            <w:r>
              <w:rPr>
                <w:rFonts w:ascii="Arial" w:cs="Arial" w:eastAsia="Arial" w:hAnsi="Arial"/>
                <w:sz w:val="22"/>
                <w:szCs w:val="22"/>
                <w:color w:val="auto"/>
              </w:rPr>
              <w:t>(45,839,361)</w:t>
            </w: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640" w:type="dxa"/>
            <w:vAlign w:val="bottom"/>
            <w:gridSpan w:val="3"/>
          </w:tcPr>
          <w:p>
            <w:pPr>
              <w:jc w:val="right"/>
              <w:spacing w:after="0"/>
              <w:rPr>
                <w:sz w:val="20"/>
                <w:szCs w:val="20"/>
                <w:color w:val="auto"/>
              </w:rPr>
            </w:pPr>
            <w:r>
              <w:rPr>
                <w:rFonts w:ascii="Arial" w:cs="Arial" w:eastAsia="Arial" w:hAnsi="Arial"/>
                <w:sz w:val="22"/>
                <w:szCs w:val="22"/>
                <w:color w:val="auto"/>
              </w:rPr>
              <w:t>(60,919,908)</w:t>
            </w:r>
          </w:p>
        </w:tc>
      </w:tr>
      <w:tr>
        <w:trPr>
          <w:trHeight w:val="267"/>
        </w:trPr>
        <w:tc>
          <w:tcPr>
            <w:tcW w:w="6840" w:type="dxa"/>
            <w:vAlign w:val="bottom"/>
          </w:tcPr>
          <w:p>
            <w:pPr>
              <w:ind w:left="720"/>
              <w:spacing w:after="0"/>
              <w:rPr>
                <w:sz w:val="20"/>
                <w:szCs w:val="20"/>
                <w:color w:val="auto"/>
              </w:rPr>
            </w:pPr>
            <w:r>
              <w:rPr>
                <w:rFonts w:ascii="Arial" w:cs="Arial" w:eastAsia="Arial" w:hAnsi="Arial"/>
                <w:sz w:val="22"/>
                <w:szCs w:val="22"/>
                <w:b w:val="1"/>
                <w:bCs w:val="1"/>
                <w:color w:val="auto"/>
              </w:rPr>
              <w:t>Total net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492,350,939</w:t>
            </w:r>
          </w:p>
        </w:tc>
        <w:tc>
          <w:tcPr>
            <w:tcW w:w="22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42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22"/>
                <w:szCs w:val="22"/>
                <w:color w:val="auto"/>
              </w:rPr>
              <w:t>477,270,392</w:t>
            </w:r>
          </w:p>
        </w:tc>
        <w:tc>
          <w:tcPr>
            <w:tcW w:w="40" w:type="dxa"/>
            <w:vAlign w:val="bottom"/>
          </w:tcPr>
          <w:p>
            <w:pPr>
              <w:spacing w:after="0"/>
              <w:rPr>
                <w:sz w:val="23"/>
                <w:szCs w:val="23"/>
                <w:color w:val="auto"/>
              </w:rPr>
            </w:pPr>
          </w:p>
        </w:tc>
      </w:tr>
      <w:tr>
        <w:trPr>
          <w:trHeight w:val="264"/>
        </w:trPr>
        <w:tc>
          <w:tcPr>
            <w:tcW w:w="6840" w:type="dxa"/>
            <w:vAlign w:val="bottom"/>
          </w:tcPr>
          <w:p>
            <w:pPr>
              <w:ind w:left="720"/>
              <w:spacing w:after="0"/>
              <w:rPr>
                <w:sz w:val="20"/>
                <w:szCs w:val="20"/>
                <w:color w:val="auto"/>
              </w:rPr>
            </w:pPr>
            <w:r>
              <w:rPr>
                <w:rFonts w:ascii="Arial" w:cs="Arial" w:eastAsia="Arial" w:hAnsi="Arial"/>
                <w:sz w:val="22"/>
                <w:szCs w:val="22"/>
                <w:b w:val="1"/>
                <w:bCs w:val="1"/>
                <w:color w:val="auto"/>
              </w:rPr>
              <w:t>Total liabilities and net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1,098,840,607</w:t>
            </w:r>
          </w:p>
        </w:tc>
        <w:tc>
          <w:tcPr>
            <w:tcW w:w="220" w:type="dxa"/>
            <w:vAlign w:val="bottom"/>
          </w:tcPr>
          <w:p>
            <w:pPr>
              <w:spacing w:after="0"/>
              <w:rPr>
                <w:sz w:val="22"/>
                <w:szCs w:val="22"/>
                <w:color w:val="auto"/>
              </w:rPr>
            </w:pPr>
          </w:p>
        </w:tc>
        <w:tc>
          <w:tcPr>
            <w:tcW w:w="440" w:type="dxa"/>
            <w:vAlign w:val="bottom"/>
            <w:tcBorders>
              <w:bottom w:val="single" w:sz="8" w:color="auto"/>
            </w:tcBorders>
            <w:gridSpan w:val="2"/>
          </w:tcPr>
          <w:p>
            <w:pPr>
              <w:jc w:val="right"/>
              <w:ind w:right="254"/>
              <w:spacing w:after="0"/>
              <w:rPr>
                <w:sz w:val="20"/>
                <w:szCs w:val="20"/>
                <w:color w:val="auto"/>
              </w:rPr>
            </w:pPr>
            <w:r>
              <w:rPr>
                <w:rFonts w:ascii="Arial" w:cs="Arial" w:eastAsia="Arial" w:hAnsi="Arial"/>
                <w:sz w:val="19"/>
                <w:szCs w:val="19"/>
                <w:color w:val="auto"/>
                <w:w w:val="75"/>
              </w:rPr>
              <w:t>$</w:t>
            </w:r>
          </w:p>
        </w:tc>
        <w:tc>
          <w:tcPr>
            <w:tcW w:w="1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2"/>
                <w:szCs w:val="22"/>
                <w:color w:val="auto"/>
              </w:rPr>
              <w:t>1,148,287,215</w:t>
            </w:r>
          </w:p>
        </w:tc>
        <w:tc>
          <w:tcPr>
            <w:tcW w:w="40" w:type="dxa"/>
            <w:vAlign w:val="bottom"/>
          </w:tcPr>
          <w:p>
            <w:pPr>
              <w:spacing w:after="0"/>
              <w:rPr>
                <w:sz w:val="22"/>
                <w:szCs w:val="22"/>
                <w:color w:val="auto"/>
              </w:rPr>
            </w:pPr>
          </w:p>
        </w:tc>
      </w:tr>
      <w:tr>
        <w:trPr>
          <w:trHeight w:val="20"/>
        </w:trPr>
        <w:tc>
          <w:tcPr>
            <w:tcW w:w="6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6840" w:type="dxa"/>
            <w:vAlign w:val="bottom"/>
          </w:tcPr>
          <w:p>
            <w:pPr>
              <w:spacing w:after="0"/>
              <w:rPr>
                <w:sz w:val="20"/>
                <w:szCs w:val="20"/>
                <w:color w:val="auto"/>
              </w:rPr>
            </w:pPr>
            <w:r>
              <w:rPr>
                <w:rFonts w:ascii="Arial" w:cs="Arial" w:eastAsia="Arial" w:hAnsi="Arial"/>
                <w:sz w:val="22"/>
                <w:szCs w:val="22"/>
                <w:b w:val="1"/>
                <w:bCs w:val="1"/>
                <w:color w:val="auto"/>
              </w:rPr>
              <w:t>Net asset value per share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12.70</w:t>
            </w:r>
          </w:p>
        </w:tc>
        <w:tc>
          <w:tcPr>
            <w:tcW w:w="22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12.31</w:t>
            </w:r>
          </w:p>
        </w:tc>
        <w:tc>
          <w:tcPr>
            <w:tcW w:w="2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r>
      <w:tr>
        <w:trPr>
          <w:trHeight w:val="20"/>
        </w:trPr>
        <w:tc>
          <w:tcPr>
            <w:tcW w:w="6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left="360" w:right="2020"/>
        <w:spacing w:after="0" w:line="243" w:lineRule="auto"/>
        <w:rPr>
          <w:sz w:val="20"/>
          <w:szCs w:val="20"/>
          <w:color w:val="auto"/>
        </w:rPr>
      </w:pPr>
      <w:r>
        <w:rPr>
          <w:rFonts w:ascii="Arial" w:cs="Arial" w:eastAsia="Arial" w:hAnsi="Arial"/>
          <w:sz w:val="22"/>
          <w:szCs w:val="22"/>
          <w:b w:val="1"/>
          <w:bCs w:val="1"/>
          <w:color w:val="auto"/>
        </w:rPr>
        <w:t>PENNANTPARK FLOATING RATE CAPITAL LTD. AND SUBSIDIARIES CONSOLIDATED STATEMENTS OF OPERATIONS (Unaudited)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68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gridSpan w:val="4"/>
          </w:tcPr>
          <w:p>
            <w:pPr>
              <w:jc w:val="right"/>
              <w:ind w:right="392"/>
              <w:spacing w:after="0"/>
              <w:rPr>
                <w:sz w:val="20"/>
                <w:szCs w:val="20"/>
                <w:color w:val="auto"/>
              </w:rPr>
            </w:pPr>
            <w:r>
              <w:rPr>
                <w:rFonts w:ascii="Arial" w:cs="Arial" w:eastAsia="Arial" w:hAnsi="Arial"/>
                <w:sz w:val="22"/>
                <w:szCs w:val="22"/>
                <w:b w:val="1"/>
                <w:bCs w:val="1"/>
                <w:color w:val="auto"/>
                <w:w w:val="94"/>
              </w:rPr>
              <w:t>Three Months Ended December 31,</w:t>
            </w:r>
          </w:p>
        </w:tc>
      </w:tr>
      <w:tr>
        <w:trPr>
          <w:trHeight w:val="265"/>
        </w:trPr>
        <w:tc>
          <w:tcPr>
            <w:tcW w:w="684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jc w:val="right"/>
              <w:ind w:right="692"/>
              <w:spacing w:after="0"/>
              <w:rPr>
                <w:sz w:val="20"/>
                <w:szCs w:val="20"/>
                <w:color w:val="auto"/>
              </w:rPr>
            </w:pPr>
            <w:r>
              <w:rPr>
                <w:rFonts w:ascii="Arial" w:cs="Arial" w:eastAsia="Arial" w:hAnsi="Arial"/>
                <w:sz w:val="22"/>
                <w:szCs w:val="22"/>
                <w:b w:val="1"/>
                <w:bCs w:val="1"/>
                <w:color w:val="auto"/>
              </w:rPr>
              <w:t>2020</w:t>
            </w:r>
          </w:p>
        </w:tc>
        <w:tc>
          <w:tcPr>
            <w:tcW w:w="22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ind w:right="692"/>
              <w:spacing w:after="0"/>
              <w:rPr>
                <w:sz w:val="20"/>
                <w:szCs w:val="20"/>
                <w:color w:val="auto"/>
              </w:rPr>
            </w:pPr>
            <w:r>
              <w:rPr>
                <w:rFonts w:ascii="Arial" w:cs="Arial" w:eastAsia="Arial" w:hAnsi="Arial"/>
                <w:sz w:val="22"/>
                <w:szCs w:val="22"/>
                <w:b w:val="1"/>
                <w:bCs w:val="1"/>
                <w:color w:val="auto"/>
              </w:rPr>
              <w:t>2019</w:t>
            </w:r>
          </w:p>
        </w:tc>
      </w:tr>
      <w:tr>
        <w:trPr>
          <w:trHeight w:val="256"/>
        </w:trPr>
        <w:tc>
          <w:tcPr>
            <w:tcW w:w="6840" w:type="dxa"/>
            <w:vAlign w:val="bottom"/>
          </w:tcPr>
          <w:p>
            <w:pPr>
              <w:spacing w:after="0"/>
              <w:rPr>
                <w:sz w:val="20"/>
                <w:szCs w:val="20"/>
                <w:color w:val="auto"/>
              </w:rPr>
            </w:pPr>
            <w:r>
              <w:rPr>
                <w:rFonts w:ascii="Arial" w:cs="Arial" w:eastAsia="Arial" w:hAnsi="Arial"/>
                <w:sz w:val="22"/>
                <w:szCs w:val="22"/>
                <w:b w:val="1"/>
                <w:bCs w:val="1"/>
                <w:color w:val="auto"/>
              </w:rPr>
              <w:t>Investment income:</w:t>
            </w:r>
          </w:p>
        </w:tc>
        <w:tc>
          <w:tcPr>
            <w:tcW w:w="30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70"/>
        </w:trPr>
        <w:tc>
          <w:tcPr>
            <w:tcW w:w="6840" w:type="dxa"/>
            <w:vAlign w:val="bottom"/>
          </w:tcPr>
          <w:p>
            <w:pPr>
              <w:spacing w:after="0"/>
              <w:rPr>
                <w:sz w:val="20"/>
                <w:szCs w:val="20"/>
                <w:color w:val="auto"/>
              </w:rPr>
            </w:pPr>
            <w:r>
              <w:rPr>
                <w:rFonts w:ascii="Arial" w:cs="Arial" w:eastAsia="Arial" w:hAnsi="Arial"/>
                <w:sz w:val="22"/>
                <w:szCs w:val="22"/>
                <w:color w:val="auto"/>
              </w:rPr>
              <w:t>From non-controlled, non-affiliated investments:</w:t>
            </w:r>
          </w:p>
        </w:tc>
        <w:tc>
          <w:tcPr>
            <w:tcW w:w="30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70"/>
        </w:trPr>
        <w:tc>
          <w:tcPr>
            <w:tcW w:w="6840" w:type="dxa"/>
            <w:vAlign w:val="bottom"/>
          </w:tcPr>
          <w:p>
            <w:pPr>
              <w:ind w:left="260"/>
              <w:spacing w:after="0"/>
              <w:rPr>
                <w:sz w:val="20"/>
                <w:szCs w:val="20"/>
                <w:color w:val="auto"/>
              </w:rPr>
            </w:pPr>
            <w:r>
              <w:rPr>
                <w:rFonts w:ascii="Arial" w:cs="Arial" w:eastAsia="Arial" w:hAnsi="Arial"/>
                <w:sz w:val="22"/>
                <w:szCs w:val="22"/>
                <w:color w:val="auto"/>
              </w:rPr>
              <w:t>Interest</w:t>
            </w:r>
          </w:p>
        </w:tc>
        <w:tc>
          <w:tcPr>
            <w:tcW w:w="300" w:type="dxa"/>
            <w:vAlign w:val="bottom"/>
          </w:tcPr>
          <w:p>
            <w:pPr>
              <w:jc w:val="right"/>
              <w:ind w:right="72"/>
              <w:spacing w:after="0"/>
              <w:rPr>
                <w:sz w:val="20"/>
                <w:szCs w:val="20"/>
                <w:color w:val="auto"/>
              </w:rPr>
            </w:pPr>
            <w:r>
              <w:rPr>
                <w:rFonts w:ascii="Arial" w:cs="Arial" w:eastAsia="Arial" w:hAnsi="Arial"/>
                <w:sz w:val="22"/>
                <w:szCs w:val="22"/>
                <w:color w:val="auto"/>
                <w:w w:val="81"/>
              </w:rPr>
              <w:t>$</w:t>
            </w:r>
          </w:p>
        </w:tc>
        <w:tc>
          <w:tcPr>
            <w:tcW w:w="1740" w:type="dxa"/>
            <w:vAlign w:val="bottom"/>
          </w:tcPr>
          <w:p>
            <w:pPr>
              <w:jc w:val="right"/>
              <w:spacing w:after="0"/>
              <w:rPr>
                <w:sz w:val="20"/>
                <w:szCs w:val="20"/>
                <w:color w:val="auto"/>
              </w:rPr>
            </w:pPr>
            <w:r>
              <w:rPr>
                <w:rFonts w:ascii="Arial" w:cs="Arial" w:eastAsia="Arial" w:hAnsi="Arial"/>
                <w:sz w:val="22"/>
                <w:szCs w:val="22"/>
                <w:color w:val="auto"/>
              </w:rPr>
              <w:t>15,301,431</w:t>
            </w:r>
          </w:p>
        </w:tc>
        <w:tc>
          <w:tcPr>
            <w:tcW w:w="660" w:type="dxa"/>
            <w:vAlign w:val="bottom"/>
            <w:gridSpan w:val="2"/>
          </w:tcPr>
          <w:p>
            <w:pPr>
              <w:jc w:val="right"/>
              <w:ind w:right="340"/>
              <w:spacing w:after="0"/>
              <w:rPr>
                <w:sz w:val="20"/>
                <w:szCs w:val="20"/>
                <w:color w:val="auto"/>
              </w:rPr>
            </w:pPr>
            <w:r>
              <w:rPr>
                <w:rFonts w:ascii="Arial" w:cs="Arial" w:eastAsia="Arial" w:hAnsi="Arial"/>
                <w:sz w:val="22"/>
                <w:szCs w:val="22"/>
                <w:color w:val="auto"/>
              </w:rPr>
              <w:t>$</w:t>
            </w:r>
          </w:p>
        </w:tc>
        <w:tc>
          <w:tcPr>
            <w:tcW w:w="1580" w:type="dxa"/>
            <w:vAlign w:val="bottom"/>
          </w:tcPr>
          <w:p>
            <w:pPr>
              <w:jc w:val="right"/>
              <w:spacing w:after="0"/>
              <w:rPr>
                <w:sz w:val="20"/>
                <w:szCs w:val="20"/>
                <w:color w:val="auto"/>
              </w:rPr>
            </w:pPr>
            <w:r>
              <w:rPr>
                <w:rFonts w:ascii="Arial" w:cs="Arial" w:eastAsia="Arial" w:hAnsi="Arial"/>
                <w:sz w:val="22"/>
                <w:szCs w:val="22"/>
                <w:color w:val="auto"/>
              </w:rPr>
              <w:t>18,909,894</w:t>
            </w:r>
          </w:p>
        </w:tc>
      </w:tr>
      <w:tr>
        <w:trPr>
          <w:trHeight w:val="270"/>
        </w:trPr>
        <w:tc>
          <w:tcPr>
            <w:tcW w:w="6840" w:type="dxa"/>
            <w:vAlign w:val="bottom"/>
          </w:tcPr>
          <w:p>
            <w:pPr>
              <w:ind w:left="260"/>
              <w:spacing w:after="0"/>
              <w:rPr>
                <w:sz w:val="20"/>
                <w:szCs w:val="20"/>
                <w:color w:val="auto"/>
              </w:rPr>
            </w:pPr>
            <w:r>
              <w:rPr>
                <w:rFonts w:ascii="Arial" w:cs="Arial" w:eastAsia="Arial" w:hAnsi="Arial"/>
                <w:sz w:val="22"/>
                <w:szCs w:val="22"/>
                <w:color w:val="auto"/>
              </w:rPr>
              <w:t>Other income</w:t>
            </w:r>
          </w:p>
        </w:tc>
        <w:tc>
          <w:tcPr>
            <w:tcW w:w="30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Arial" w:cs="Arial" w:eastAsia="Arial" w:hAnsi="Arial"/>
                <w:sz w:val="22"/>
                <w:szCs w:val="22"/>
                <w:color w:val="auto"/>
              </w:rPr>
              <w:t>881,785</w:t>
            </w: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22"/>
                <w:szCs w:val="22"/>
                <w:color w:val="auto"/>
              </w:rPr>
              <w:t>773,103</w:t>
            </w:r>
          </w:p>
        </w:tc>
      </w:tr>
      <w:tr>
        <w:trPr>
          <w:trHeight w:val="270"/>
        </w:trPr>
        <w:tc>
          <w:tcPr>
            <w:tcW w:w="6840" w:type="dxa"/>
            <w:vAlign w:val="bottom"/>
          </w:tcPr>
          <w:p>
            <w:pPr>
              <w:spacing w:after="0"/>
              <w:rPr>
                <w:sz w:val="20"/>
                <w:szCs w:val="20"/>
                <w:color w:val="auto"/>
              </w:rPr>
            </w:pPr>
            <w:r>
              <w:rPr>
                <w:rFonts w:ascii="Arial" w:cs="Arial" w:eastAsia="Arial" w:hAnsi="Arial"/>
                <w:sz w:val="22"/>
                <w:szCs w:val="22"/>
                <w:color w:val="auto"/>
              </w:rPr>
              <w:t>From non-controlled, affiliated investments:</w:t>
            </w:r>
          </w:p>
        </w:tc>
        <w:tc>
          <w:tcPr>
            <w:tcW w:w="30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70"/>
        </w:trPr>
        <w:tc>
          <w:tcPr>
            <w:tcW w:w="6840" w:type="dxa"/>
            <w:vAlign w:val="bottom"/>
          </w:tcPr>
          <w:p>
            <w:pPr>
              <w:ind w:left="260"/>
              <w:spacing w:after="0"/>
              <w:rPr>
                <w:sz w:val="20"/>
                <w:szCs w:val="20"/>
                <w:color w:val="auto"/>
              </w:rPr>
            </w:pPr>
            <w:r>
              <w:rPr>
                <w:rFonts w:ascii="Arial" w:cs="Arial" w:eastAsia="Arial" w:hAnsi="Arial"/>
                <w:sz w:val="22"/>
                <w:szCs w:val="22"/>
                <w:color w:val="auto"/>
              </w:rPr>
              <w:t>Interest</w:t>
            </w:r>
          </w:p>
        </w:tc>
        <w:tc>
          <w:tcPr>
            <w:tcW w:w="30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Arial" w:cs="Arial" w:eastAsia="Arial" w:hAnsi="Arial"/>
                <w:sz w:val="22"/>
                <w:szCs w:val="22"/>
                <w:color w:val="auto"/>
              </w:rPr>
              <w:t>96,462</w:t>
            </w: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22"/>
                <w:szCs w:val="22"/>
                <w:color w:val="auto"/>
              </w:rPr>
              <w:t>225,353</w:t>
            </w:r>
          </w:p>
        </w:tc>
      </w:tr>
      <w:tr>
        <w:trPr>
          <w:trHeight w:val="270"/>
        </w:trPr>
        <w:tc>
          <w:tcPr>
            <w:tcW w:w="6840" w:type="dxa"/>
            <w:vAlign w:val="bottom"/>
          </w:tcPr>
          <w:p>
            <w:pPr>
              <w:ind w:left="260"/>
              <w:spacing w:after="0"/>
              <w:rPr>
                <w:sz w:val="20"/>
                <w:szCs w:val="20"/>
                <w:color w:val="auto"/>
              </w:rPr>
            </w:pPr>
            <w:r>
              <w:rPr>
                <w:rFonts w:ascii="Arial" w:cs="Arial" w:eastAsia="Arial" w:hAnsi="Arial"/>
                <w:sz w:val="22"/>
                <w:szCs w:val="22"/>
                <w:color w:val="auto"/>
              </w:rPr>
              <w:t>Other income</w:t>
            </w:r>
          </w:p>
        </w:tc>
        <w:tc>
          <w:tcPr>
            <w:tcW w:w="30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Arial" w:cs="Arial" w:eastAsia="Arial" w:hAnsi="Arial"/>
                <w:sz w:val="22"/>
                <w:szCs w:val="22"/>
                <w:color w:val="auto"/>
              </w:rPr>
              <w:t>20,307</w:t>
            </w: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270"/>
        </w:trPr>
        <w:tc>
          <w:tcPr>
            <w:tcW w:w="6840" w:type="dxa"/>
            <w:vAlign w:val="bottom"/>
          </w:tcPr>
          <w:p>
            <w:pPr>
              <w:spacing w:after="0"/>
              <w:rPr>
                <w:sz w:val="20"/>
                <w:szCs w:val="20"/>
                <w:color w:val="auto"/>
              </w:rPr>
            </w:pPr>
            <w:r>
              <w:rPr>
                <w:rFonts w:ascii="Arial" w:cs="Arial" w:eastAsia="Arial" w:hAnsi="Arial"/>
                <w:sz w:val="22"/>
                <w:szCs w:val="22"/>
                <w:color w:val="auto"/>
              </w:rPr>
              <w:t>From controlled, affiliated investments:</w:t>
            </w:r>
          </w:p>
        </w:tc>
        <w:tc>
          <w:tcPr>
            <w:tcW w:w="30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70"/>
        </w:trPr>
        <w:tc>
          <w:tcPr>
            <w:tcW w:w="6840" w:type="dxa"/>
            <w:vAlign w:val="bottom"/>
          </w:tcPr>
          <w:p>
            <w:pPr>
              <w:ind w:left="260"/>
              <w:spacing w:after="0"/>
              <w:rPr>
                <w:sz w:val="20"/>
                <w:szCs w:val="20"/>
                <w:color w:val="auto"/>
              </w:rPr>
            </w:pPr>
            <w:r>
              <w:rPr>
                <w:rFonts w:ascii="Arial" w:cs="Arial" w:eastAsia="Arial" w:hAnsi="Arial"/>
                <w:sz w:val="22"/>
                <w:szCs w:val="22"/>
                <w:color w:val="auto"/>
              </w:rPr>
              <w:t>Interest</w:t>
            </w:r>
          </w:p>
        </w:tc>
        <w:tc>
          <w:tcPr>
            <w:tcW w:w="30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Arial" w:cs="Arial" w:eastAsia="Arial" w:hAnsi="Arial"/>
                <w:sz w:val="22"/>
                <w:szCs w:val="22"/>
                <w:color w:val="auto"/>
              </w:rPr>
              <w:t>2,662,876</w:t>
            </w: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22"/>
                <w:szCs w:val="22"/>
                <w:color w:val="auto"/>
              </w:rPr>
              <w:t>3,155,324</w:t>
            </w:r>
          </w:p>
        </w:tc>
      </w:tr>
      <w:tr>
        <w:trPr>
          <w:trHeight w:val="274"/>
        </w:trPr>
        <w:tc>
          <w:tcPr>
            <w:tcW w:w="6840" w:type="dxa"/>
            <w:vAlign w:val="bottom"/>
          </w:tcPr>
          <w:p>
            <w:pPr>
              <w:ind w:left="260"/>
              <w:spacing w:after="0"/>
              <w:rPr>
                <w:sz w:val="20"/>
                <w:szCs w:val="20"/>
                <w:color w:val="auto"/>
              </w:rPr>
            </w:pPr>
            <w:r>
              <w:rPr>
                <w:rFonts w:ascii="Arial" w:cs="Arial" w:eastAsia="Arial" w:hAnsi="Arial"/>
                <w:sz w:val="22"/>
                <w:szCs w:val="22"/>
                <w:color w:val="auto"/>
              </w:rPr>
              <w:t>Dividend</w:t>
            </w:r>
          </w:p>
        </w:tc>
        <w:tc>
          <w:tcPr>
            <w:tcW w:w="30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Arial" w:cs="Arial" w:eastAsia="Arial" w:hAnsi="Arial"/>
                <w:sz w:val="22"/>
                <w:szCs w:val="22"/>
                <w:color w:val="auto"/>
              </w:rPr>
              <w:t>1,575,000</w:t>
            </w: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22"/>
                <w:szCs w:val="22"/>
                <w:color w:val="auto"/>
              </w:rPr>
              <w:t>1,575,000</w:t>
            </w:r>
          </w:p>
        </w:tc>
      </w:tr>
    </w:tbl>
    <w:p>
      <w:pPr>
        <w:sectPr>
          <w:pgSz w:w="11900" w:h="16901" w:orient="portrait"/>
          <w:cols w:equalWidth="0" w:num="1">
            <w:col w:w="11180"/>
          </w:cols>
          <w:pgMar w:left="340" w:top="126" w:right="379" w:bottom="0" w:gutter="0" w:footer="0" w:header="0"/>
        </w:sectPr>
      </w:pPr>
    </w:p>
    <w:bookmarkStart w:id="8" w:name="page9"/>
    <w:bookmarkEnd w:id="8"/>
    <w:p>
      <w:pPr>
        <w:spacing w:after="0" w:line="86"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6840" w:type="dxa"/>
            <w:vAlign w:val="bottom"/>
          </w:tcPr>
          <w:p>
            <w:pPr>
              <w:ind w:left="260"/>
              <w:spacing w:after="0"/>
              <w:rPr>
                <w:sz w:val="20"/>
                <w:szCs w:val="20"/>
                <w:color w:val="auto"/>
              </w:rPr>
            </w:pPr>
            <w:r>
              <w:rPr>
                <w:rFonts w:ascii="Arial" w:cs="Arial" w:eastAsia="Arial" w:hAnsi="Arial"/>
                <w:sz w:val="22"/>
                <w:szCs w:val="22"/>
                <w:color w:val="auto"/>
              </w:rPr>
              <w:t>Other income</w:t>
            </w:r>
          </w:p>
        </w:tc>
        <w:tc>
          <w:tcPr>
            <w:tcW w:w="6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195,630</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500" w:type="dxa"/>
            <w:vAlign w:val="bottom"/>
            <w:gridSpan w:val="3"/>
          </w:tcPr>
          <w:p>
            <w:pPr>
              <w:jc w:val="right"/>
              <w:ind w:right="60"/>
              <w:spacing w:after="0"/>
              <w:rPr>
                <w:sz w:val="20"/>
                <w:szCs w:val="20"/>
                <w:color w:val="auto"/>
              </w:rPr>
            </w:pPr>
            <w:r>
              <w:rPr>
                <w:rFonts w:ascii="Arial" w:cs="Arial" w:eastAsia="Arial" w:hAnsi="Arial"/>
                <w:sz w:val="22"/>
                <w:szCs w:val="22"/>
                <w:color w:val="auto"/>
              </w:rPr>
              <w:t>—</w:t>
            </w:r>
          </w:p>
        </w:tc>
      </w:tr>
      <w:tr>
        <w:trPr>
          <w:trHeight w:val="267"/>
        </w:trPr>
        <w:tc>
          <w:tcPr>
            <w:tcW w:w="6840" w:type="dxa"/>
            <w:vAlign w:val="bottom"/>
          </w:tcPr>
          <w:p>
            <w:pPr>
              <w:ind w:left="260"/>
              <w:spacing w:after="0"/>
              <w:rPr>
                <w:sz w:val="20"/>
                <w:szCs w:val="20"/>
                <w:color w:val="auto"/>
              </w:rPr>
            </w:pPr>
            <w:r>
              <w:rPr>
                <w:rFonts w:ascii="Arial" w:cs="Arial" w:eastAsia="Arial" w:hAnsi="Arial"/>
                <w:sz w:val="22"/>
                <w:szCs w:val="22"/>
                <w:b w:val="1"/>
                <w:bCs w:val="1"/>
                <w:color w:val="auto"/>
              </w:rPr>
              <w:t>Total investment income</w:t>
            </w:r>
          </w:p>
        </w:tc>
        <w:tc>
          <w:tcPr>
            <w:tcW w:w="600" w:type="dxa"/>
            <w:vAlign w:val="bottom"/>
            <w:tcBorders>
              <w:top w:val="single" w:sz="8" w:color="auto"/>
            </w:tcBorders>
          </w:tcPr>
          <w:p>
            <w:pPr>
              <w:spacing w:after="0"/>
              <w:rPr>
                <w:sz w:val="23"/>
                <w:szCs w:val="23"/>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20,733,491</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14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22"/>
                <w:szCs w:val="22"/>
                <w:color w:val="auto"/>
              </w:rPr>
              <w:t>24,638,674</w:t>
            </w:r>
          </w:p>
        </w:tc>
        <w:tc>
          <w:tcPr>
            <w:tcW w:w="40" w:type="dxa"/>
            <w:vAlign w:val="bottom"/>
          </w:tcPr>
          <w:p>
            <w:pPr>
              <w:spacing w:after="0"/>
              <w:rPr>
                <w:sz w:val="23"/>
                <w:szCs w:val="23"/>
                <w:color w:val="auto"/>
              </w:rPr>
            </w:pPr>
          </w:p>
        </w:tc>
      </w:tr>
      <w:tr>
        <w:trPr>
          <w:trHeight w:val="256"/>
        </w:trPr>
        <w:tc>
          <w:tcPr>
            <w:tcW w:w="6840" w:type="dxa"/>
            <w:vAlign w:val="bottom"/>
          </w:tcPr>
          <w:p>
            <w:pPr>
              <w:spacing w:after="0"/>
              <w:rPr>
                <w:sz w:val="20"/>
                <w:szCs w:val="20"/>
                <w:color w:val="auto"/>
              </w:rPr>
            </w:pPr>
            <w:r>
              <w:rPr>
                <w:rFonts w:ascii="Arial" w:cs="Arial" w:eastAsia="Arial" w:hAnsi="Arial"/>
                <w:sz w:val="22"/>
                <w:szCs w:val="22"/>
                <w:b w:val="1"/>
                <w:bCs w:val="1"/>
                <w:color w:val="auto"/>
              </w:rPr>
              <w:t>Expenses:</w:t>
            </w:r>
          </w:p>
        </w:tc>
        <w:tc>
          <w:tcPr>
            <w:tcW w:w="600" w:type="dxa"/>
            <w:vAlign w:val="bottom"/>
            <w:tcBorders>
              <w:top w:val="single" w:sz="8" w:color="auto"/>
            </w:tcBorders>
          </w:tcPr>
          <w:p>
            <w:pPr>
              <w:spacing w:after="0"/>
              <w:rPr>
                <w:sz w:val="22"/>
                <w:szCs w:val="22"/>
                <w:color w:val="auto"/>
              </w:rPr>
            </w:pPr>
          </w:p>
        </w:tc>
        <w:tc>
          <w:tcPr>
            <w:tcW w:w="144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144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70"/>
        </w:trPr>
        <w:tc>
          <w:tcPr>
            <w:tcW w:w="6840" w:type="dxa"/>
            <w:vAlign w:val="bottom"/>
          </w:tcPr>
          <w:p>
            <w:pPr>
              <w:ind w:left="260"/>
              <w:spacing w:after="0"/>
              <w:rPr>
                <w:sz w:val="20"/>
                <w:szCs w:val="20"/>
                <w:color w:val="auto"/>
              </w:rPr>
            </w:pPr>
            <w:r>
              <w:rPr>
                <w:rFonts w:ascii="Arial" w:cs="Arial" w:eastAsia="Arial" w:hAnsi="Arial"/>
                <w:sz w:val="22"/>
                <w:szCs w:val="22"/>
                <w:color w:val="auto"/>
              </w:rPr>
              <w:t>Base management fee</w:t>
            </w:r>
          </w:p>
        </w:tc>
        <w:tc>
          <w:tcPr>
            <w:tcW w:w="6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2,716,172</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22"/>
                <w:szCs w:val="22"/>
                <w:color w:val="auto"/>
              </w:rPr>
              <w:t>2,830,159</w:t>
            </w:r>
          </w:p>
        </w:tc>
        <w:tc>
          <w:tcPr>
            <w:tcW w:w="40" w:type="dxa"/>
            <w:vAlign w:val="bottom"/>
          </w:tcPr>
          <w:p>
            <w:pPr>
              <w:spacing w:after="0"/>
              <w:rPr>
                <w:sz w:val="23"/>
                <w:szCs w:val="23"/>
                <w:color w:val="auto"/>
              </w:rPr>
            </w:pPr>
          </w:p>
        </w:tc>
      </w:tr>
      <w:tr>
        <w:trPr>
          <w:trHeight w:val="270"/>
        </w:trPr>
        <w:tc>
          <w:tcPr>
            <w:tcW w:w="6840" w:type="dxa"/>
            <w:vAlign w:val="bottom"/>
          </w:tcPr>
          <w:p>
            <w:pPr>
              <w:ind w:left="260"/>
              <w:spacing w:after="0"/>
              <w:rPr>
                <w:sz w:val="20"/>
                <w:szCs w:val="20"/>
                <w:color w:val="auto"/>
              </w:rPr>
            </w:pPr>
            <w:r>
              <w:rPr>
                <w:rFonts w:ascii="Arial" w:cs="Arial" w:eastAsia="Arial" w:hAnsi="Arial"/>
                <w:sz w:val="22"/>
                <w:szCs w:val="22"/>
                <w:color w:val="auto"/>
              </w:rPr>
              <w:t>Performance-based incentive fee</w:t>
            </w:r>
          </w:p>
        </w:tc>
        <w:tc>
          <w:tcPr>
            <w:tcW w:w="6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1,761,874</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22"/>
                <w:szCs w:val="22"/>
                <w:color w:val="auto"/>
              </w:rPr>
              <w:t>2,315,834</w:t>
            </w:r>
          </w:p>
        </w:tc>
        <w:tc>
          <w:tcPr>
            <w:tcW w:w="40" w:type="dxa"/>
            <w:vAlign w:val="bottom"/>
          </w:tcPr>
          <w:p>
            <w:pPr>
              <w:spacing w:after="0"/>
              <w:rPr>
                <w:sz w:val="23"/>
                <w:szCs w:val="23"/>
                <w:color w:val="auto"/>
              </w:rPr>
            </w:pPr>
          </w:p>
        </w:tc>
      </w:tr>
      <w:tr>
        <w:trPr>
          <w:trHeight w:val="270"/>
        </w:trPr>
        <w:tc>
          <w:tcPr>
            <w:tcW w:w="6840" w:type="dxa"/>
            <w:vAlign w:val="bottom"/>
          </w:tcPr>
          <w:p>
            <w:pPr>
              <w:ind w:left="260"/>
              <w:spacing w:after="0"/>
              <w:rPr>
                <w:sz w:val="20"/>
                <w:szCs w:val="20"/>
                <w:color w:val="auto"/>
              </w:rPr>
            </w:pPr>
            <w:r>
              <w:rPr>
                <w:rFonts w:ascii="Arial" w:cs="Arial" w:eastAsia="Arial" w:hAnsi="Arial"/>
                <w:sz w:val="22"/>
                <w:szCs w:val="22"/>
                <w:color w:val="auto"/>
              </w:rPr>
              <w:t>Interest and expenses on debt</w:t>
            </w:r>
          </w:p>
        </w:tc>
        <w:tc>
          <w:tcPr>
            <w:tcW w:w="6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5,341,340</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22"/>
                <w:szCs w:val="22"/>
                <w:color w:val="auto"/>
              </w:rPr>
              <w:t>7,307,264</w:t>
            </w:r>
          </w:p>
        </w:tc>
        <w:tc>
          <w:tcPr>
            <w:tcW w:w="40" w:type="dxa"/>
            <w:vAlign w:val="bottom"/>
          </w:tcPr>
          <w:p>
            <w:pPr>
              <w:spacing w:after="0"/>
              <w:rPr>
                <w:sz w:val="23"/>
                <w:szCs w:val="23"/>
                <w:color w:val="auto"/>
              </w:rPr>
            </w:pPr>
          </w:p>
        </w:tc>
      </w:tr>
      <w:tr>
        <w:trPr>
          <w:trHeight w:val="270"/>
        </w:trPr>
        <w:tc>
          <w:tcPr>
            <w:tcW w:w="6840" w:type="dxa"/>
            <w:vAlign w:val="bottom"/>
          </w:tcPr>
          <w:p>
            <w:pPr>
              <w:ind w:left="260"/>
              <w:spacing w:after="0"/>
              <w:rPr>
                <w:sz w:val="20"/>
                <w:szCs w:val="20"/>
                <w:color w:val="auto"/>
              </w:rPr>
            </w:pPr>
            <w:r>
              <w:rPr>
                <w:rFonts w:ascii="Arial" w:cs="Arial" w:eastAsia="Arial" w:hAnsi="Arial"/>
                <w:sz w:val="22"/>
                <w:szCs w:val="22"/>
                <w:color w:val="auto"/>
              </w:rPr>
              <w:t>Administrative services expenses</w:t>
            </w:r>
          </w:p>
        </w:tc>
        <w:tc>
          <w:tcPr>
            <w:tcW w:w="6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300,000</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22"/>
                <w:szCs w:val="22"/>
                <w:color w:val="auto"/>
              </w:rPr>
              <w:t>350,000</w:t>
            </w:r>
          </w:p>
        </w:tc>
        <w:tc>
          <w:tcPr>
            <w:tcW w:w="40" w:type="dxa"/>
            <w:vAlign w:val="bottom"/>
          </w:tcPr>
          <w:p>
            <w:pPr>
              <w:spacing w:after="0"/>
              <w:rPr>
                <w:sz w:val="23"/>
                <w:szCs w:val="23"/>
                <w:color w:val="auto"/>
              </w:rPr>
            </w:pPr>
          </w:p>
        </w:tc>
      </w:tr>
      <w:tr>
        <w:trPr>
          <w:trHeight w:val="274"/>
        </w:trPr>
        <w:tc>
          <w:tcPr>
            <w:tcW w:w="6840" w:type="dxa"/>
            <w:vAlign w:val="bottom"/>
          </w:tcPr>
          <w:p>
            <w:pPr>
              <w:ind w:left="260"/>
              <w:spacing w:after="0"/>
              <w:rPr>
                <w:sz w:val="20"/>
                <w:szCs w:val="20"/>
                <w:color w:val="auto"/>
              </w:rPr>
            </w:pPr>
            <w:r>
              <w:rPr>
                <w:rFonts w:ascii="Arial" w:cs="Arial" w:eastAsia="Arial" w:hAnsi="Arial"/>
                <w:sz w:val="22"/>
                <w:szCs w:val="22"/>
                <w:color w:val="auto"/>
              </w:rPr>
              <w:t>Other general and administrative expenses</w:t>
            </w:r>
          </w:p>
        </w:tc>
        <w:tc>
          <w:tcPr>
            <w:tcW w:w="60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400,000</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2"/>
                <w:szCs w:val="22"/>
                <w:color w:val="auto"/>
              </w:rPr>
              <w:t>616,077</w:t>
            </w:r>
          </w:p>
        </w:tc>
        <w:tc>
          <w:tcPr>
            <w:tcW w:w="40" w:type="dxa"/>
            <w:vAlign w:val="bottom"/>
          </w:tcPr>
          <w:p>
            <w:pPr>
              <w:spacing w:after="0"/>
              <w:rPr>
                <w:sz w:val="23"/>
                <w:szCs w:val="23"/>
                <w:color w:val="auto"/>
              </w:rPr>
            </w:pPr>
          </w:p>
        </w:tc>
      </w:tr>
      <w:tr>
        <w:trPr>
          <w:trHeight w:val="259"/>
        </w:trPr>
        <w:tc>
          <w:tcPr>
            <w:tcW w:w="6840" w:type="dxa"/>
            <w:vAlign w:val="bottom"/>
          </w:tcPr>
          <w:p>
            <w:pPr>
              <w:ind w:left="260"/>
              <w:spacing w:after="0"/>
              <w:rPr>
                <w:sz w:val="20"/>
                <w:szCs w:val="20"/>
                <w:color w:val="auto"/>
              </w:rPr>
            </w:pPr>
            <w:r>
              <w:rPr>
                <w:rFonts w:ascii="Arial" w:cs="Arial" w:eastAsia="Arial" w:hAnsi="Arial"/>
                <w:sz w:val="22"/>
                <w:szCs w:val="22"/>
                <w:b w:val="1"/>
                <w:bCs w:val="1"/>
                <w:color w:val="auto"/>
              </w:rPr>
              <w:t>Expenses before provision for taxes</w:t>
            </w:r>
          </w:p>
        </w:tc>
        <w:tc>
          <w:tcPr>
            <w:tcW w:w="6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10,519,386</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22"/>
                <w:szCs w:val="22"/>
                <w:color w:val="auto"/>
              </w:rPr>
              <w:t>13,419,334</w:t>
            </w:r>
          </w:p>
        </w:tc>
        <w:tc>
          <w:tcPr>
            <w:tcW w:w="40" w:type="dxa"/>
            <w:vAlign w:val="bottom"/>
          </w:tcPr>
          <w:p>
            <w:pPr>
              <w:spacing w:after="0"/>
              <w:rPr>
                <w:sz w:val="22"/>
                <w:szCs w:val="22"/>
                <w:color w:val="auto"/>
              </w:rPr>
            </w:pPr>
          </w:p>
        </w:tc>
      </w:tr>
      <w:tr>
        <w:trPr>
          <w:trHeight w:val="274"/>
        </w:trPr>
        <w:tc>
          <w:tcPr>
            <w:tcW w:w="6840" w:type="dxa"/>
            <w:vAlign w:val="bottom"/>
          </w:tcPr>
          <w:p>
            <w:pPr>
              <w:ind w:left="260"/>
              <w:spacing w:after="0"/>
              <w:rPr>
                <w:sz w:val="20"/>
                <w:szCs w:val="20"/>
                <w:color w:val="auto"/>
              </w:rPr>
            </w:pPr>
            <w:r>
              <w:rPr>
                <w:rFonts w:ascii="Arial" w:cs="Arial" w:eastAsia="Arial" w:hAnsi="Arial"/>
                <w:sz w:val="22"/>
                <w:szCs w:val="22"/>
                <w:color w:val="auto"/>
              </w:rPr>
              <w:t>Provision for taxes</w:t>
            </w:r>
          </w:p>
        </w:tc>
        <w:tc>
          <w:tcPr>
            <w:tcW w:w="60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100,000</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2"/>
                <w:szCs w:val="22"/>
                <w:color w:val="auto"/>
              </w:rPr>
              <w:t>100,000</w:t>
            </w:r>
          </w:p>
        </w:tc>
        <w:tc>
          <w:tcPr>
            <w:tcW w:w="40" w:type="dxa"/>
            <w:vAlign w:val="bottom"/>
          </w:tcPr>
          <w:p>
            <w:pPr>
              <w:spacing w:after="0"/>
              <w:rPr>
                <w:sz w:val="23"/>
                <w:szCs w:val="23"/>
                <w:color w:val="auto"/>
              </w:rPr>
            </w:pPr>
          </w:p>
        </w:tc>
      </w:tr>
      <w:tr>
        <w:trPr>
          <w:trHeight w:val="267"/>
        </w:trPr>
        <w:tc>
          <w:tcPr>
            <w:tcW w:w="6840" w:type="dxa"/>
            <w:vAlign w:val="bottom"/>
          </w:tcPr>
          <w:p>
            <w:pPr>
              <w:ind w:left="260"/>
              <w:spacing w:after="0"/>
              <w:rPr>
                <w:sz w:val="20"/>
                <w:szCs w:val="20"/>
                <w:color w:val="auto"/>
              </w:rPr>
            </w:pPr>
            <w:r>
              <w:rPr>
                <w:rFonts w:ascii="Arial" w:cs="Arial" w:eastAsia="Arial" w:hAnsi="Arial"/>
                <w:sz w:val="22"/>
                <w:szCs w:val="22"/>
                <w:b w:val="1"/>
                <w:bCs w:val="1"/>
                <w:color w:val="auto"/>
              </w:rPr>
              <w:t>Total expenses</w:t>
            </w:r>
          </w:p>
        </w:tc>
        <w:tc>
          <w:tcPr>
            <w:tcW w:w="60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10,619,386</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2"/>
                <w:szCs w:val="22"/>
                <w:color w:val="auto"/>
              </w:rPr>
              <w:t>13,519,334</w:t>
            </w:r>
          </w:p>
        </w:tc>
        <w:tc>
          <w:tcPr>
            <w:tcW w:w="40" w:type="dxa"/>
            <w:vAlign w:val="bottom"/>
          </w:tcPr>
          <w:p>
            <w:pPr>
              <w:spacing w:after="0"/>
              <w:rPr>
                <w:sz w:val="23"/>
                <w:szCs w:val="23"/>
                <w:color w:val="auto"/>
              </w:rPr>
            </w:pPr>
          </w:p>
        </w:tc>
      </w:tr>
      <w:tr>
        <w:trPr>
          <w:trHeight w:val="263"/>
        </w:trPr>
        <w:tc>
          <w:tcPr>
            <w:tcW w:w="6840" w:type="dxa"/>
            <w:vAlign w:val="bottom"/>
          </w:tcPr>
          <w:p>
            <w:pPr>
              <w:ind w:left="260"/>
              <w:spacing w:after="0"/>
              <w:rPr>
                <w:sz w:val="20"/>
                <w:szCs w:val="20"/>
                <w:color w:val="auto"/>
              </w:rPr>
            </w:pPr>
            <w:r>
              <w:rPr>
                <w:rFonts w:ascii="Arial" w:cs="Arial" w:eastAsia="Arial" w:hAnsi="Arial"/>
                <w:sz w:val="22"/>
                <w:szCs w:val="22"/>
                <w:b w:val="1"/>
                <w:bCs w:val="1"/>
                <w:color w:val="auto"/>
              </w:rPr>
              <w:t>Net investment income</w:t>
            </w:r>
          </w:p>
        </w:tc>
        <w:tc>
          <w:tcPr>
            <w:tcW w:w="6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10,114,105</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22"/>
                <w:szCs w:val="22"/>
                <w:color w:val="auto"/>
              </w:rPr>
              <w:t>11,119,340</w:t>
            </w:r>
          </w:p>
        </w:tc>
        <w:tc>
          <w:tcPr>
            <w:tcW w:w="40" w:type="dxa"/>
            <w:vAlign w:val="bottom"/>
          </w:tcPr>
          <w:p>
            <w:pPr>
              <w:spacing w:after="0"/>
              <w:rPr>
                <w:sz w:val="22"/>
                <w:szCs w:val="22"/>
                <w:color w:val="auto"/>
              </w:rPr>
            </w:pPr>
          </w:p>
        </w:tc>
      </w:tr>
      <w:tr>
        <w:trPr>
          <w:trHeight w:val="256"/>
        </w:trPr>
        <w:tc>
          <w:tcPr>
            <w:tcW w:w="6840" w:type="dxa"/>
            <w:vAlign w:val="bottom"/>
          </w:tcPr>
          <w:p>
            <w:pPr>
              <w:spacing w:after="0"/>
              <w:rPr>
                <w:sz w:val="20"/>
                <w:szCs w:val="20"/>
                <w:color w:val="auto"/>
              </w:rPr>
            </w:pPr>
            <w:r>
              <w:rPr>
                <w:rFonts w:ascii="Arial" w:cs="Arial" w:eastAsia="Arial" w:hAnsi="Arial"/>
                <w:sz w:val="22"/>
                <w:szCs w:val="22"/>
                <w:b w:val="1"/>
                <w:bCs w:val="1"/>
                <w:color w:val="auto"/>
              </w:rPr>
              <w:t>Realized and unrealized gain (loss) on investments and debt:</w:t>
            </w:r>
          </w:p>
        </w:tc>
        <w:tc>
          <w:tcPr>
            <w:tcW w:w="600" w:type="dxa"/>
            <w:vAlign w:val="bottom"/>
            <w:tcBorders>
              <w:top w:val="single" w:sz="8" w:color="auto"/>
            </w:tcBorders>
          </w:tcPr>
          <w:p>
            <w:pPr>
              <w:spacing w:after="0"/>
              <w:rPr>
                <w:sz w:val="22"/>
                <w:szCs w:val="22"/>
                <w:color w:val="auto"/>
              </w:rPr>
            </w:pPr>
          </w:p>
        </w:tc>
        <w:tc>
          <w:tcPr>
            <w:tcW w:w="144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144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70"/>
        </w:trPr>
        <w:tc>
          <w:tcPr>
            <w:tcW w:w="6840" w:type="dxa"/>
            <w:vAlign w:val="bottom"/>
          </w:tcPr>
          <w:p>
            <w:pPr>
              <w:spacing w:after="0"/>
              <w:rPr>
                <w:sz w:val="20"/>
                <w:szCs w:val="20"/>
                <w:color w:val="auto"/>
              </w:rPr>
            </w:pPr>
            <w:r>
              <w:rPr>
                <w:rFonts w:ascii="Arial" w:cs="Arial" w:eastAsia="Arial" w:hAnsi="Arial"/>
                <w:sz w:val="22"/>
                <w:szCs w:val="22"/>
                <w:color w:val="auto"/>
              </w:rPr>
              <w:t>Net realized (loss) gain on investments:</w:t>
            </w:r>
          </w:p>
        </w:tc>
        <w:tc>
          <w:tcPr>
            <w:tcW w:w="6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270"/>
        </w:trPr>
        <w:tc>
          <w:tcPr>
            <w:tcW w:w="6840" w:type="dxa"/>
            <w:vAlign w:val="bottom"/>
          </w:tcPr>
          <w:p>
            <w:pPr>
              <w:ind w:left="260"/>
              <w:spacing w:after="0"/>
              <w:rPr>
                <w:sz w:val="20"/>
                <w:szCs w:val="20"/>
                <w:color w:val="auto"/>
              </w:rPr>
            </w:pPr>
            <w:r>
              <w:rPr>
                <w:rFonts w:ascii="Arial" w:cs="Arial" w:eastAsia="Arial" w:hAnsi="Arial"/>
                <w:sz w:val="22"/>
                <w:szCs w:val="22"/>
                <w:color w:val="auto"/>
              </w:rPr>
              <w:t>Non-controlled, non-affiliated investments</w:t>
            </w:r>
          </w:p>
        </w:tc>
        <w:tc>
          <w:tcPr>
            <w:tcW w:w="600" w:type="dxa"/>
            <w:vAlign w:val="bottom"/>
          </w:tcPr>
          <w:p>
            <w:pPr>
              <w:spacing w:after="0"/>
              <w:rPr>
                <w:sz w:val="23"/>
                <w:szCs w:val="23"/>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22"/>
                <w:szCs w:val="22"/>
                <w:color w:val="auto"/>
              </w:rPr>
              <w:t>(1,707,698)</w:t>
            </w: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22"/>
                <w:szCs w:val="22"/>
                <w:color w:val="auto"/>
              </w:rPr>
              <w:t>1,012,313</w:t>
            </w:r>
          </w:p>
        </w:tc>
        <w:tc>
          <w:tcPr>
            <w:tcW w:w="40" w:type="dxa"/>
            <w:vAlign w:val="bottom"/>
          </w:tcPr>
          <w:p>
            <w:pPr>
              <w:spacing w:after="0"/>
              <w:rPr>
                <w:sz w:val="23"/>
                <w:szCs w:val="23"/>
                <w:color w:val="auto"/>
              </w:rPr>
            </w:pPr>
          </w:p>
        </w:tc>
      </w:tr>
      <w:tr>
        <w:trPr>
          <w:trHeight w:val="274"/>
        </w:trPr>
        <w:tc>
          <w:tcPr>
            <w:tcW w:w="6840" w:type="dxa"/>
            <w:vAlign w:val="bottom"/>
          </w:tcPr>
          <w:p>
            <w:pPr>
              <w:ind w:left="260"/>
              <w:spacing w:after="0"/>
              <w:rPr>
                <w:sz w:val="20"/>
                <w:szCs w:val="20"/>
                <w:color w:val="auto"/>
              </w:rPr>
            </w:pPr>
            <w:r>
              <w:rPr>
                <w:rFonts w:ascii="Arial" w:cs="Arial" w:eastAsia="Arial" w:hAnsi="Arial"/>
                <w:sz w:val="22"/>
                <w:szCs w:val="22"/>
                <w:color w:val="auto"/>
              </w:rPr>
              <w:t>Controlled and non-controlled, affiliated investments</w:t>
            </w:r>
          </w:p>
        </w:tc>
        <w:tc>
          <w:tcPr>
            <w:tcW w:w="600" w:type="dxa"/>
            <w:vAlign w:val="bottom"/>
          </w:tcPr>
          <w:p>
            <w:pPr>
              <w:spacing w:after="0"/>
              <w:rPr>
                <w:sz w:val="23"/>
                <w:szCs w:val="23"/>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22"/>
                <w:szCs w:val="22"/>
                <w:color w:val="auto"/>
              </w:rPr>
              <w:t>(1,052,048)</w:t>
            </w: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500" w:type="dxa"/>
            <w:vAlign w:val="bottom"/>
            <w:gridSpan w:val="3"/>
          </w:tcPr>
          <w:p>
            <w:pPr>
              <w:jc w:val="right"/>
              <w:ind w:right="60"/>
              <w:spacing w:after="0"/>
              <w:rPr>
                <w:sz w:val="20"/>
                <w:szCs w:val="20"/>
                <w:color w:val="auto"/>
              </w:rPr>
            </w:pPr>
            <w:r>
              <w:rPr>
                <w:rFonts w:ascii="Arial" w:cs="Arial" w:eastAsia="Arial" w:hAnsi="Arial"/>
                <w:sz w:val="22"/>
                <w:szCs w:val="22"/>
                <w:color w:val="auto"/>
              </w:rPr>
              <w:t>—</w:t>
            </w:r>
          </w:p>
        </w:tc>
      </w:tr>
      <w:tr>
        <w:trPr>
          <w:trHeight w:val="267"/>
        </w:trPr>
        <w:tc>
          <w:tcPr>
            <w:tcW w:w="6840" w:type="dxa"/>
            <w:vAlign w:val="bottom"/>
          </w:tcPr>
          <w:p>
            <w:pPr>
              <w:ind w:left="260"/>
              <w:spacing w:after="0"/>
              <w:rPr>
                <w:sz w:val="20"/>
                <w:szCs w:val="20"/>
                <w:color w:val="auto"/>
              </w:rPr>
            </w:pPr>
            <w:r>
              <w:rPr>
                <w:rFonts w:ascii="Arial" w:cs="Arial" w:eastAsia="Arial" w:hAnsi="Arial"/>
                <w:sz w:val="22"/>
                <w:szCs w:val="22"/>
                <w:b w:val="1"/>
                <w:bCs w:val="1"/>
                <w:color w:val="auto"/>
              </w:rPr>
              <w:t>Net realized (loss) gain on investments</w:t>
            </w:r>
          </w:p>
        </w:tc>
        <w:tc>
          <w:tcPr>
            <w:tcW w:w="600" w:type="dxa"/>
            <w:vAlign w:val="bottom"/>
            <w:tcBorders>
              <w:top w:val="single" w:sz="8" w:color="auto"/>
            </w:tcBorders>
          </w:tcPr>
          <w:p>
            <w:pPr>
              <w:spacing w:after="0"/>
              <w:rPr>
                <w:sz w:val="23"/>
                <w:szCs w:val="23"/>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(2,759,746)</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14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22"/>
                <w:szCs w:val="22"/>
                <w:color w:val="auto"/>
              </w:rPr>
              <w:t>1,012,313</w:t>
            </w:r>
          </w:p>
        </w:tc>
        <w:tc>
          <w:tcPr>
            <w:tcW w:w="40" w:type="dxa"/>
            <w:vAlign w:val="bottom"/>
          </w:tcPr>
          <w:p>
            <w:pPr>
              <w:spacing w:after="0"/>
              <w:rPr>
                <w:sz w:val="23"/>
                <w:szCs w:val="23"/>
                <w:color w:val="auto"/>
              </w:rPr>
            </w:pPr>
          </w:p>
        </w:tc>
      </w:tr>
      <w:tr>
        <w:trPr>
          <w:trHeight w:val="256"/>
        </w:trPr>
        <w:tc>
          <w:tcPr>
            <w:tcW w:w="6840" w:type="dxa"/>
            <w:vAlign w:val="bottom"/>
          </w:tcPr>
          <w:p>
            <w:pPr>
              <w:spacing w:after="0"/>
              <w:rPr>
                <w:sz w:val="20"/>
                <w:szCs w:val="20"/>
                <w:color w:val="auto"/>
              </w:rPr>
            </w:pPr>
            <w:r>
              <w:rPr>
                <w:rFonts w:ascii="Arial" w:cs="Arial" w:eastAsia="Arial" w:hAnsi="Arial"/>
                <w:sz w:val="22"/>
                <w:szCs w:val="22"/>
                <w:color w:val="auto"/>
              </w:rPr>
              <w:t>Net change in unrealized appreciation (depreciation) on:</w:t>
            </w:r>
          </w:p>
        </w:tc>
        <w:tc>
          <w:tcPr>
            <w:tcW w:w="600" w:type="dxa"/>
            <w:vAlign w:val="bottom"/>
            <w:tcBorders>
              <w:top w:val="single" w:sz="8" w:color="auto"/>
            </w:tcBorders>
          </w:tcPr>
          <w:p>
            <w:pPr>
              <w:spacing w:after="0"/>
              <w:rPr>
                <w:sz w:val="22"/>
                <w:szCs w:val="22"/>
                <w:color w:val="auto"/>
              </w:rPr>
            </w:pPr>
          </w:p>
        </w:tc>
        <w:tc>
          <w:tcPr>
            <w:tcW w:w="144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144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70"/>
        </w:trPr>
        <w:tc>
          <w:tcPr>
            <w:tcW w:w="6840" w:type="dxa"/>
            <w:vAlign w:val="bottom"/>
          </w:tcPr>
          <w:p>
            <w:pPr>
              <w:ind w:left="260"/>
              <w:spacing w:after="0"/>
              <w:rPr>
                <w:sz w:val="20"/>
                <w:szCs w:val="20"/>
                <w:color w:val="auto"/>
              </w:rPr>
            </w:pPr>
            <w:r>
              <w:rPr>
                <w:rFonts w:ascii="Arial" w:cs="Arial" w:eastAsia="Arial" w:hAnsi="Arial"/>
                <w:sz w:val="22"/>
                <w:szCs w:val="22"/>
                <w:color w:val="auto"/>
              </w:rPr>
              <w:t>Non-controlled, non-affiliated investments</w:t>
            </w:r>
          </w:p>
        </w:tc>
        <w:tc>
          <w:tcPr>
            <w:tcW w:w="6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22,537,278</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22"/>
                <w:szCs w:val="22"/>
                <w:color w:val="auto"/>
              </w:rPr>
              <w:t>2,379,358</w:t>
            </w:r>
          </w:p>
        </w:tc>
        <w:tc>
          <w:tcPr>
            <w:tcW w:w="40" w:type="dxa"/>
            <w:vAlign w:val="bottom"/>
          </w:tcPr>
          <w:p>
            <w:pPr>
              <w:spacing w:after="0"/>
              <w:rPr>
                <w:sz w:val="23"/>
                <w:szCs w:val="23"/>
                <w:color w:val="auto"/>
              </w:rPr>
            </w:pPr>
          </w:p>
        </w:tc>
      </w:tr>
      <w:tr>
        <w:trPr>
          <w:trHeight w:val="270"/>
        </w:trPr>
        <w:tc>
          <w:tcPr>
            <w:tcW w:w="6840" w:type="dxa"/>
            <w:vAlign w:val="bottom"/>
          </w:tcPr>
          <w:p>
            <w:pPr>
              <w:ind w:left="260"/>
              <w:spacing w:after="0"/>
              <w:rPr>
                <w:sz w:val="20"/>
                <w:szCs w:val="20"/>
                <w:color w:val="auto"/>
              </w:rPr>
            </w:pPr>
            <w:r>
              <w:rPr>
                <w:rFonts w:ascii="Arial" w:cs="Arial" w:eastAsia="Arial" w:hAnsi="Arial"/>
                <w:sz w:val="22"/>
                <w:szCs w:val="22"/>
                <w:color w:val="auto"/>
              </w:rPr>
              <w:t>Controlled and non-controlled, affiliated investments</w:t>
            </w:r>
          </w:p>
        </w:tc>
        <w:tc>
          <w:tcPr>
            <w:tcW w:w="6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252,766</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500" w:type="dxa"/>
            <w:vAlign w:val="bottom"/>
            <w:gridSpan w:val="3"/>
          </w:tcPr>
          <w:p>
            <w:pPr>
              <w:jc w:val="right"/>
              <w:spacing w:after="0"/>
              <w:rPr>
                <w:sz w:val="20"/>
                <w:szCs w:val="20"/>
                <w:color w:val="auto"/>
              </w:rPr>
            </w:pPr>
            <w:r>
              <w:rPr>
                <w:rFonts w:ascii="Arial" w:cs="Arial" w:eastAsia="Arial" w:hAnsi="Arial"/>
                <w:sz w:val="22"/>
                <w:szCs w:val="22"/>
                <w:color w:val="auto"/>
              </w:rPr>
              <w:t>(5,899,705)</w:t>
            </w:r>
          </w:p>
        </w:tc>
      </w:tr>
      <w:tr>
        <w:trPr>
          <w:trHeight w:val="274"/>
        </w:trPr>
        <w:tc>
          <w:tcPr>
            <w:tcW w:w="6840" w:type="dxa"/>
            <w:vAlign w:val="bottom"/>
          </w:tcPr>
          <w:p>
            <w:pPr>
              <w:ind w:left="260"/>
              <w:spacing w:after="0"/>
              <w:rPr>
                <w:sz w:val="20"/>
                <w:szCs w:val="20"/>
                <w:color w:val="auto"/>
              </w:rPr>
            </w:pPr>
            <w:r>
              <w:rPr>
                <w:rFonts w:ascii="Arial" w:cs="Arial" w:eastAsia="Arial" w:hAnsi="Arial"/>
                <w:sz w:val="22"/>
                <w:szCs w:val="22"/>
                <w:color w:val="auto"/>
              </w:rPr>
              <w:t>Debt (appreciation) depreciation</w:t>
            </w:r>
          </w:p>
        </w:tc>
        <w:tc>
          <w:tcPr>
            <w:tcW w:w="600" w:type="dxa"/>
            <w:vAlign w:val="bottom"/>
          </w:tcPr>
          <w:p>
            <w:pPr>
              <w:spacing w:after="0"/>
              <w:rPr>
                <w:sz w:val="23"/>
                <w:szCs w:val="23"/>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22"/>
                <w:szCs w:val="22"/>
                <w:color w:val="auto"/>
              </w:rPr>
              <w:t>(4,013,815)</w:t>
            </w: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22"/>
                <w:szCs w:val="22"/>
                <w:color w:val="auto"/>
              </w:rPr>
              <w:t>1,361,588</w:t>
            </w:r>
          </w:p>
        </w:tc>
        <w:tc>
          <w:tcPr>
            <w:tcW w:w="40" w:type="dxa"/>
            <w:vAlign w:val="bottom"/>
          </w:tcPr>
          <w:p>
            <w:pPr>
              <w:spacing w:after="0"/>
              <w:rPr>
                <w:sz w:val="23"/>
                <w:szCs w:val="23"/>
                <w:color w:val="auto"/>
              </w:rPr>
            </w:pPr>
          </w:p>
        </w:tc>
      </w:tr>
      <w:tr>
        <w:trPr>
          <w:trHeight w:val="213"/>
        </w:trPr>
        <w:tc>
          <w:tcPr>
            <w:tcW w:w="6840" w:type="dxa"/>
            <w:vAlign w:val="bottom"/>
          </w:tcPr>
          <w:p>
            <w:pPr>
              <w:ind w:left="260"/>
              <w:spacing w:after="0" w:line="212" w:lineRule="exact"/>
              <w:rPr>
                <w:sz w:val="20"/>
                <w:szCs w:val="20"/>
                <w:color w:val="auto"/>
              </w:rPr>
            </w:pPr>
            <w:r>
              <w:rPr>
                <w:rFonts w:ascii="Arial" w:cs="Arial" w:eastAsia="Arial" w:hAnsi="Arial"/>
                <w:sz w:val="22"/>
                <w:szCs w:val="22"/>
                <w:b w:val="1"/>
                <w:bCs w:val="1"/>
                <w:color w:val="auto"/>
                <w:w w:val="91"/>
              </w:rPr>
              <w:t>Net change in unrealized appreciation (depreciation) on investments</w:t>
            </w:r>
          </w:p>
        </w:tc>
        <w:tc>
          <w:tcPr>
            <w:tcW w:w="6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80"/>
        </w:trPr>
        <w:tc>
          <w:tcPr>
            <w:tcW w:w="6840" w:type="dxa"/>
            <w:vAlign w:val="bottom"/>
          </w:tcPr>
          <w:p>
            <w:pPr>
              <w:ind w:left="260"/>
              <w:spacing w:after="0"/>
              <w:rPr>
                <w:sz w:val="20"/>
                <w:szCs w:val="20"/>
                <w:color w:val="auto"/>
              </w:rPr>
            </w:pPr>
            <w:r>
              <w:rPr>
                <w:rFonts w:ascii="Arial" w:cs="Arial" w:eastAsia="Arial" w:hAnsi="Arial"/>
                <w:sz w:val="22"/>
                <w:szCs w:val="22"/>
                <w:b w:val="1"/>
                <w:bCs w:val="1"/>
                <w:color w:val="auto"/>
              </w:rPr>
              <w:t>and debt</w:t>
            </w:r>
          </w:p>
        </w:tc>
        <w:tc>
          <w:tcPr>
            <w:tcW w:w="6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18,776,229</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00" w:type="dxa"/>
            <w:vAlign w:val="bottom"/>
            <w:gridSpan w:val="3"/>
          </w:tcPr>
          <w:p>
            <w:pPr>
              <w:jc w:val="right"/>
              <w:spacing w:after="0"/>
              <w:rPr>
                <w:sz w:val="20"/>
                <w:szCs w:val="20"/>
                <w:color w:val="auto"/>
              </w:rPr>
            </w:pPr>
            <w:r>
              <w:rPr>
                <w:rFonts w:ascii="Arial" w:cs="Arial" w:eastAsia="Arial" w:hAnsi="Arial"/>
                <w:sz w:val="22"/>
                <w:szCs w:val="22"/>
                <w:color w:val="auto"/>
              </w:rPr>
              <w:t>(2,158,759)</w:t>
            </w:r>
          </w:p>
        </w:tc>
      </w:tr>
      <w:tr>
        <w:trPr>
          <w:trHeight w:val="267"/>
        </w:trPr>
        <w:tc>
          <w:tcPr>
            <w:tcW w:w="6840" w:type="dxa"/>
            <w:vAlign w:val="bottom"/>
          </w:tcPr>
          <w:p>
            <w:pPr>
              <w:spacing w:after="0"/>
              <w:rPr>
                <w:sz w:val="20"/>
                <w:szCs w:val="20"/>
                <w:color w:val="auto"/>
              </w:rPr>
            </w:pPr>
            <w:r>
              <w:rPr>
                <w:rFonts w:ascii="Arial" w:cs="Arial" w:eastAsia="Arial" w:hAnsi="Arial"/>
                <w:sz w:val="22"/>
                <w:szCs w:val="22"/>
                <w:b w:val="1"/>
                <w:bCs w:val="1"/>
                <w:color w:val="auto"/>
                <w:w w:val="99"/>
              </w:rPr>
              <w:t>Net realized and unrealized gain (loss) from investments and debt</w:t>
            </w:r>
          </w:p>
        </w:tc>
        <w:tc>
          <w:tcPr>
            <w:tcW w:w="600" w:type="dxa"/>
            <w:vAlign w:val="bottom"/>
            <w:tcBorders>
              <w:top w:val="single" w:sz="8" w:color="auto"/>
            </w:tcBorders>
          </w:tcPr>
          <w:p>
            <w:pPr>
              <w:spacing w:after="0"/>
              <w:rPr>
                <w:sz w:val="23"/>
                <w:szCs w:val="23"/>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16,016,483</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(1,146,446)</w:t>
            </w:r>
          </w:p>
        </w:tc>
        <w:tc>
          <w:tcPr>
            <w:tcW w:w="60" w:type="dxa"/>
            <w:vAlign w:val="bottom"/>
            <w:gridSpan w:val="2"/>
          </w:tcPr>
          <w:p>
            <w:pPr>
              <w:spacing w:after="0"/>
              <w:rPr>
                <w:sz w:val="23"/>
                <w:szCs w:val="23"/>
                <w:color w:val="auto"/>
              </w:rPr>
            </w:pPr>
          </w:p>
        </w:tc>
      </w:tr>
      <w:tr>
        <w:trPr>
          <w:trHeight w:val="264"/>
        </w:trPr>
        <w:tc>
          <w:tcPr>
            <w:tcW w:w="6840" w:type="dxa"/>
            <w:vAlign w:val="bottom"/>
          </w:tcPr>
          <w:p>
            <w:pPr>
              <w:spacing w:after="0"/>
              <w:rPr>
                <w:sz w:val="20"/>
                <w:szCs w:val="20"/>
                <w:color w:val="auto"/>
              </w:rPr>
            </w:pPr>
            <w:r>
              <w:rPr>
                <w:rFonts w:ascii="Arial" w:cs="Arial" w:eastAsia="Arial" w:hAnsi="Arial"/>
                <w:sz w:val="22"/>
                <w:szCs w:val="22"/>
                <w:b w:val="1"/>
                <w:bCs w:val="1"/>
                <w:color w:val="auto"/>
              </w:rPr>
              <w:t>Net increase in net assets resulting from operations</w:t>
            </w:r>
          </w:p>
        </w:tc>
        <w:tc>
          <w:tcPr>
            <w:tcW w:w="60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22"/>
                <w:szCs w:val="22"/>
                <w:color w:val="auto"/>
                <w:w w:val="8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26,130,588</w:t>
            </w:r>
          </w:p>
        </w:tc>
        <w:tc>
          <w:tcPr>
            <w:tcW w:w="22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560" w:type="dxa"/>
            <w:vAlign w:val="bottom"/>
            <w:tcBorders>
              <w:top w:val="single" w:sz="8" w:color="auto"/>
              <w:bottom w:val="single" w:sz="8" w:color="auto"/>
            </w:tcBorders>
          </w:tcPr>
          <w:p>
            <w:pPr>
              <w:jc w:val="right"/>
              <w:ind w:right="404"/>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22"/>
                <w:szCs w:val="22"/>
                <w:color w:val="auto"/>
              </w:rPr>
              <w:t>9,972,894</w:t>
            </w:r>
          </w:p>
        </w:tc>
        <w:tc>
          <w:tcPr>
            <w:tcW w:w="40" w:type="dxa"/>
            <w:vAlign w:val="bottom"/>
          </w:tcPr>
          <w:p>
            <w:pPr>
              <w:spacing w:after="0"/>
              <w:rPr>
                <w:sz w:val="22"/>
                <w:szCs w:val="22"/>
                <w:color w:val="auto"/>
              </w:rPr>
            </w:pPr>
          </w:p>
        </w:tc>
      </w:tr>
      <w:tr>
        <w:trPr>
          <w:trHeight w:val="20"/>
        </w:trPr>
        <w:tc>
          <w:tcPr>
            <w:tcW w:w="6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6840" w:type="dxa"/>
            <w:vAlign w:val="bottom"/>
          </w:tcPr>
          <w:p>
            <w:pPr>
              <w:spacing w:after="0"/>
              <w:rPr>
                <w:sz w:val="20"/>
                <w:szCs w:val="20"/>
                <w:color w:val="auto"/>
              </w:rPr>
            </w:pPr>
            <w:r>
              <w:rPr>
                <w:rFonts w:ascii="Arial" w:cs="Arial" w:eastAsia="Arial" w:hAnsi="Arial"/>
                <w:sz w:val="22"/>
                <w:szCs w:val="22"/>
                <w:color w:val="auto"/>
                <w:w w:val="98"/>
              </w:rPr>
              <w:t>Net increase in net assets resulting from operations per common share</w:t>
            </w:r>
          </w:p>
        </w:tc>
        <w:tc>
          <w:tcPr>
            <w:tcW w:w="60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22"/>
                <w:szCs w:val="22"/>
                <w:color w:val="auto"/>
                <w:w w:val="8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0.67</w:t>
            </w:r>
          </w:p>
        </w:tc>
        <w:tc>
          <w:tcPr>
            <w:tcW w:w="22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560" w:type="dxa"/>
            <w:vAlign w:val="bottom"/>
            <w:tcBorders>
              <w:top w:val="single" w:sz="8" w:color="auto"/>
              <w:bottom w:val="single" w:sz="8" w:color="auto"/>
            </w:tcBorders>
          </w:tcPr>
          <w:p>
            <w:pPr>
              <w:jc w:val="right"/>
              <w:ind w:right="404"/>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0.26</w:t>
            </w:r>
          </w:p>
        </w:tc>
        <w:tc>
          <w:tcPr>
            <w:tcW w:w="2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r>
      <w:tr>
        <w:trPr>
          <w:trHeight w:val="20"/>
        </w:trPr>
        <w:tc>
          <w:tcPr>
            <w:tcW w:w="6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6840" w:type="dxa"/>
            <w:vAlign w:val="bottom"/>
          </w:tcPr>
          <w:p>
            <w:pPr>
              <w:spacing w:after="0"/>
              <w:rPr>
                <w:sz w:val="20"/>
                <w:szCs w:val="20"/>
                <w:color w:val="auto"/>
              </w:rPr>
            </w:pPr>
            <w:r>
              <w:rPr>
                <w:rFonts w:ascii="Arial" w:cs="Arial" w:eastAsia="Arial" w:hAnsi="Arial"/>
                <w:sz w:val="22"/>
                <w:szCs w:val="22"/>
                <w:color w:val="auto"/>
              </w:rPr>
              <w:t>Net investment income per common share</w:t>
            </w:r>
          </w:p>
        </w:tc>
        <w:tc>
          <w:tcPr>
            <w:tcW w:w="60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22"/>
                <w:szCs w:val="22"/>
                <w:color w:val="auto"/>
                <w:w w:val="8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0.26</w:t>
            </w:r>
          </w:p>
        </w:tc>
        <w:tc>
          <w:tcPr>
            <w:tcW w:w="22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560" w:type="dxa"/>
            <w:vAlign w:val="bottom"/>
            <w:tcBorders>
              <w:top w:val="single" w:sz="8" w:color="auto"/>
              <w:bottom w:val="single" w:sz="8" w:color="auto"/>
            </w:tcBorders>
          </w:tcPr>
          <w:p>
            <w:pPr>
              <w:jc w:val="right"/>
              <w:ind w:right="404"/>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0.29</w:t>
            </w:r>
          </w:p>
        </w:tc>
        <w:tc>
          <w:tcPr>
            <w:tcW w:w="2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r>
      <w:tr>
        <w:trPr>
          <w:trHeight w:val="20"/>
        </w:trPr>
        <w:tc>
          <w:tcPr>
            <w:tcW w:w="68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FLOATING RATE CAPITAL LTD.</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INVESTMENT ADVISERS, LLC</w:t>
      </w:r>
    </w:p>
    <w:p>
      <w:pPr>
        <w:spacing w:after="0" w:line="212"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PennantPark Investment Advisers, LLC is a leading middle market credit platform, which has approximately $3.5 billion of assets under management.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New York and has offices in Chicago, Houston and Los Angeles.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12"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of 1933, as amended, and Section 21E(b)</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(2)(B) of the Securities Exchange Act of 1934, as amended, or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as well as changes in the economy and risks associated with possible disruption in the Company’s operations or the economy generally due to terrorism, natural disasters or pandemics such as COVID-19.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8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spacing w:after="0" w:line="198" w:lineRule="exact"/>
        <w:rPr>
          <w:sz w:val="20"/>
          <w:szCs w:val="20"/>
          <w:color w:val="auto"/>
        </w:rPr>
      </w:pPr>
    </w:p>
    <w:p>
      <w:pPr>
        <w:ind w:left="20"/>
        <w:spacing w:after="0"/>
        <w:tabs>
          <w:tab w:leader="none" w:pos="1360" w:val="left"/>
        </w:tabs>
        <w:rPr>
          <w:sz w:val="20"/>
          <w:szCs w:val="20"/>
          <w:color w:val="auto"/>
        </w:rPr>
      </w:pPr>
      <w:r>
        <w:rPr>
          <w:rFonts w:ascii="Arial" w:cs="Arial" w:eastAsia="Arial" w:hAnsi="Arial"/>
          <w:sz w:val="22"/>
          <w:szCs w:val="22"/>
          <w:color w:val="auto"/>
        </w:rPr>
        <w:t>CONTACT:</w:t>
        <w:tab/>
        <w:t>Aviv Efrat</w:t>
      </w:r>
    </w:p>
    <w:p>
      <w:pPr>
        <w:spacing w:after="0" w:line="8"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PennantPark Floating Rate Capital Ltd.</w:t>
      </w:r>
    </w:p>
    <w:p>
      <w:pPr>
        <w:sectPr>
          <w:pgSz w:w="11900" w:h="16925" w:orient="portrait"/>
          <w:cols w:equalWidth="0" w:num="1">
            <w:col w:w="11240"/>
          </w:cols>
          <w:pgMar w:left="320" w:top="118" w:right="339" w:bottom="0" w:gutter="0" w:footer="0" w:header="0"/>
        </w:sectPr>
      </w:pPr>
    </w:p>
    <w:bookmarkStart w:id="9" w:name="page10"/>
    <w:bookmarkEnd w:id="9"/>
    <w:p>
      <w:pPr>
        <w:ind w:left="260" w:right="6759" w:hanging="9"/>
        <w:spacing w:after="0" w:line="328" w:lineRule="auto"/>
        <w:tabs>
          <w:tab w:leader="none" w:pos="782" w:val="left"/>
        </w:tabs>
        <w:numPr>
          <w:ilvl w:val="0"/>
          <w:numId w:val="4"/>
        </w:numPr>
        <w:rPr>
          <w:rFonts w:ascii="Arial" w:cs="Arial" w:eastAsia="Arial" w:hAnsi="Arial"/>
          <w:sz w:val="19"/>
          <w:szCs w:val="19"/>
          <w:color w:val="auto"/>
        </w:rPr>
      </w:pPr>
      <w:r>
        <w:rPr>
          <w:rFonts w:ascii="Arial" w:cs="Arial" w:eastAsia="Arial" w:hAnsi="Arial"/>
          <w:sz w:val="19"/>
          <w:szCs w:val="19"/>
          <w:color w:val="auto"/>
        </w:rPr>
        <w:t xml:space="preserve">905-1000 </w:t>
      </w:r>
      <w:r>
        <w:rPr>
          <w:rFonts w:ascii="Arial" w:cs="Arial" w:eastAsia="Arial" w:hAnsi="Arial"/>
          <w:sz w:val="19"/>
          <w:szCs w:val="19"/>
          <w:u w:val="single" w:color="auto"/>
          <w:color w:val="auto"/>
        </w:rPr>
        <w:t>www.pennantpark.com</w:t>
      </w:r>
    </w:p>
    <w:sectPr>
      <w:pgSz w:w="11900" w:h="16838" w:orient="portrait"/>
      <w:cols w:equalWidth="0" w:num="1">
        <w:col w:w="9019"/>
      </w:cols>
      <w:pgMar w:left="144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2021-02-09T15:06:10Z</dcterms:created>
  <dcterms:modified xsi:type="dcterms:W3CDTF">2021-02-09T15:06:10Z</dcterms:modified>
</cp:coreProperties>
</file>