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August 4, 2021</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On August 4, 2021, PennantPark Floating Rate Capital Ltd., or the Company, issued a press release announcing its financial results for the third fiscal quarter ended June 30, 2021. A copy of the press release is furnished as Exhibit 99.1 to this report pursuant to Item 2.02 on Form 8-K and Regulation FD.</w:t>
      </w:r>
    </w:p>
    <w:p>
      <w:pPr>
        <w:spacing w:after="0" w:line="12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 For information concerning the COVID-19 pandemic and its potential impact on the Company’s business and operating results, see the Company’s Quarterly Report on Form 10-Q for the quarter ended June 30, 2021, including “Item 2. Management's Discussion and Analysis of Financial Condition and Results of Operations – COVID-19 Developments”.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the Company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as well as changes in the economy and risks associated with possible disruption in the Company’s operations or the economy generally due to terrorism, natural disasters or pandemics such as COVID-19. The Company undertakes no duty to update any forward-looking statement made herein. You should not place undue influence on such forward-looking statements as such statements speak only as of the date on which they are made.</w:t>
      </w:r>
    </w:p>
    <w:p>
      <w:pPr>
        <w:spacing w:after="0" w:line="185"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 Company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460" w:right="9340" w:hanging="452"/>
        <w:spacing w:after="0" w:line="276" w:lineRule="auto"/>
        <w:tabs>
          <w:tab w:leader="none" w:pos="265"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Financial statements: </w:t>
      </w:r>
      <w:r>
        <w:rPr>
          <w:rFonts w:ascii="Arial" w:cs="Arial" w:eastAsia="Arial" w:hAnsi="Arial"/>
          <w:sz w:val="17"/>
          <w:szCs w:val="17"/>
          <w:color w:val="auto"/>
        </w:rPr>
        <w:t>None</w:t>
      </w:r>
    </w:p>
    <w:p>
      <w:pPr>
        <w:ind w:left="460" w:right="8440" w:hanging="452"/>
        <w:spacing w:after="0" w:line="250" w:lineRule="auto"/>
        <w:tabs>
          <w:tab w:leader="none" w:pos="27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460" w:right="8820" w:hanging="452"/>
        <w:spacing w:after="0" w:line="250" w:lineRule="auto"/>
        <w:tabs>
          <w:tab w:leader="none" w:pos="25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EE"/>
          </w:rPr>
          <w:t>Press Release of PennantPark Floating Rate Capital Ltd. dated August 4,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5060" w:type="dxa"/>
            <w:vAlign w:val="bottom"/>
            <w:gridSpan w:val="3"/>
          </w:tcPr>
          <w:p>
            <w:pPr>
              <w:ind w:left="196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7"/>
        </w:trPr>
        <w:tc>
          <w:tcPr>
            <w:tcW w:w="3500" w:type="dxa"/>
            <w:vAlign w:val="bottom"/>
          </w:tcPr>
          <w:p>
            <w:pPr>
              <w:spacing w:after="0"/>
              <w:rPr>
                <w:sz w:val="20"/>
                <w:szCs w:val="20"/>
                <w:color w:val="auto"/>
              </w:rPr>
            </w:pPr>
            <w:r>
              <w:rPr>
                <w:rFonts w:ascii="Arial" w:cs="Arial" w:eastAsia="Arial" w:hAnsi="Arial"/>
                <w:sz w:val="18"/>
                <w:szCs w:val="18"/>
                <w:color w:val="auto"/>
              </w:rPr>
              <w:t>Date: August 4, 2021</w:t>
            </w:r>
          </w:p>
        </w:tc>
        <w:tc>
          <w:tcPr>
            <w:tcW w:w="5060" w:type="dxa"/>
            <w:vAlign w:val="bottom"/>
            <w:gridSpan w:val="3"/>
          </w:tcPr>
          <w:p>
            <w:pPr>
              <w:ind w:left="1960"/>
              <w:spacing w:after="0"/>
              <w:rPr>
                <w:sz w:val="20"/>
                <w:szCs w:val="20"/>
                <w:color w:val="auto"/>
              </w:rPr>
            </w:pPr>
            <w:r>
              <w:rPr>
                <w:rFonts w:ascii="Arial" w:cs="Arial" w:eastAsia="Arial" w:hAnsi="Arial"/>
                <w:sz w:val="18"/>
                <w:szCs w:val="18"/>
                <w:color w:val="auto"/>
              </w:rPr>
              <w:t>By: /s/ Richard Cheung</w:t>
            </w:r>
          </w:p>
        </w:tc>
      </w:tr>
      <w:tr>
        <w:trPr>
          <w:trHeight w:val="222"/>
        </w:trPr>
        <w:tc>
          <w:tcPr>
            <w:tcW w:w="35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Cheung</w:t>
            </w:r>
          </w:p>
        </w:tc>
        <w:tc>
          <w:tcPr>
            <w:tcW w:w="1040" w:type="dxa"/>
            <w:vAlign w:val="bottom"/>
          </w:tcPr>
          <w:p>
            <w:pPr>
              <w:spacing w:after="0"/>
              <w:rPr>
                <w:sz w:val="19"/>
                <w:szCs w:val="19"/>
                <w:color w:val="auto"/>
              </w:rPr>
            </w:pPr>
          </w:p>
        </w:tc>
      </w:tr>
      <w:tr>
        <w:trPr>
          <w:trHeight w:val="230"/>
        </w:trPr>
        <w:tc>
          <w:tcPr>
            <w:tcW w:w="35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spacing w:after="0" w:line="111"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Financial Results for the Quarter Ended June 30, 2021</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NEW YORK, Aug. 04, 2021 (GLOBE NEWSWIRE) -- PennantPark Floating Rate Capital Ltd. (NASDAQ: PFLT) (TASE:</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PFLT) announced today financial results for the third fiscal quarter ended June 30, 2021.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6980" w:type="dxa"/>
            <w:vAlign w:val="bottom"/>
          </w:tcPr>
          <w:p>
            <w:pPr>
              <w:spacing w:after="0"/>
              <w:rPr>
                <w:sz w:val="20"/>
                <w:szCs w:val="20"/>
                <w:color w:val="auto"/>
              </w:rPr>
            </w:pPr>
            <w:r>
              <w:rPr>
                <w:rFonts w:ascii="Arial" w:cs="Arial" w:eastAsia="Arial" w:hAnsi="Arial"/>
                <w:sz w:val="22"/>
                <w:szCs w:val="22"/>
                <w:b w:val="1"/>
                <w:bCs w:val="1"/>
                <w:color w:val="auto"/>
              </w:rPr>
              <w:t>HIGHLIGHTS</w:t>
            </w:r>
          </w:p>
        </w:tc>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41"/>
        </w:trPr>
        <w:tc>
          <w:tcPr>
            <w:tcW w:w="6980" w:type="dxa"/>
            <w:vAlign w:val="bottom"/>
          </w:tcPr>
          <w:p>
            <w:pPr>
              <w:ind w:left="20"/>
              <w:spacing w:after="0"/>
              <w:rPr>
                <w:sz w:val="20"/>
                <w:szCs w:val="20"/>
                <w:color w:val="auto"/>
              </w:rPr>
            </w:pPr>
            <w:r>
              <w:rPr>
                <w:rFonts w:ascii="Arial" w:cs="Arial" w:eastAsia="Arial" w:hAnsi="Arial"/>
                <w:sz w:val="22"/>
                <w:szCs w:val="22"/>
                <w:color w:val="auto"/>
              </w:rPr>
              <w:t>Quarter ended June 30, 2021</w:t>
            </w:r>
          </w:p>
        </w:tc>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4"/>
        </w:trPr>
        <w:tc>
          <w:tcPr>
            <w:tcW w:w="6980" w:type="dxa"/>
            <w:vAlign w:val="bottom"/>
          </w:tcPr>
          <w:p>
            <w:pPr>
              <w:ind w:left="20"/>
              <w:spacing w:after="0"/>
              <w:rPr>
                <w:sz w:val="20"/>
                <w:szCs w:val="20"/>
                <w:color w:val="auto"/>
              </w:rPr>
            </w:pPr>
            <w:r>
              <w:rPr>
                <w:rFonts w:ascii="Arial" w:cs="Arial" w:eastAsia="Arial" w:hAnsi="Arial"/>
                <w:sz w:val="22"/>
                <w:szCs w:val="22"/>
                <w:color w:val="auto"/>
              </w:rPr>
              <w:t>($ in millions, except per share amounts)</w:t>
            </w:r>
          </w:p>
        </w:tc>
        <w:tc>
          <w:tcPr>
            <w:tcW w:w="30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540"/>
        </w:trPr>
        <w:tc>
          <w:tcPr>
            <w:tcW w:w="6980" w:type="dxa"/>
            <w:vAlign w:val="bottom"/>
          </w:tcPr>
          <w:p>
            <w:pPr>
              <w:ind w:left="20"/>
              <w:spacing w:after="0"/>
              <w:rPr>
                <w:sz w:val="20"/>
                <w:szCs w:val="20"/>
                <w:color w:val="auto"/>
              </w:rPr>
            </w:pPr>
            <w:r>
              <w:rPr>
                <w:rFonts w:ascii="Arial" w:cs="Arial" w:eastAsia="Arial" w:hAnsi="Arial"/>
                <w:sz w:val="22"/>
                <w:szCs w:val="22"/>
                <w:color w:val="auto"/>
              </w:rPr>
              <w:t>Assets and Liabilities:</w:t>
            </w:r>
          </w:p>
        </w:tc>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0"/>
        </w:trPr>
        <w:tc>
          <w:tcPr>
            <w:tcW w:w="6980" w:type="dxa"/>
            <w:vAlign w:val="bottom"/>
          </w:tcPr>
          <w:p>
            <w:pPr>
              <w:ind w:left="140"/>
              <w:spacing w:after="0" w:line="319" w:lineRule="exact"/>
              <w:rPr>
                <w:sz w:val="20"/>
                <w:szCs w:val="20"/>
                <w:color w:val="auto"/>
              </w:rPr>
            </w:pPr>
            <w:r>
              <w:rPr>
                <w:rFonts w:ascii="Arial" w:cs="Arial" w:eastAsia="Arial" w:hAnsi="Arial"/>
                <w:sz w:val="22"/>
                <w:szCs w:val="22"/>
                <w:color w:val="auto"/>
              </w:rPr>
              <w:t xml:space="preserve">Investment portfolio </w:t>
            </w:r>
            <w:r>
              <w:rPr>
                <w:rFonts w:ascii="Arial" w:cs="Arial" w:eastAsia="Arial" w:hAnsi="Arial"/>
                <w:sz w:val="35"/>
                <w:szCs w:val="35"/>
                <w:color w:val="auto"/>
                <w:vertAlign w:val="superscript"/>
              </w:rPr>
              <w:t>(1)</w:t>
            </w:r>
          </w:p>
        </w:tc>
        <w:tc>
          <w:tcPr>
            <w:tcW w:w="304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1,035.8</w:t>
            </w:r>
          </w:p>
        </w:tc>
      </w:tr>
      <w:tr>
        <w:trPr>
          <w:trHeight w:val="270"/>
        </w:trPr>
        <w:tc>
          <w:tcPr>
            <w:tcW w:w="6980" w:type="dxa"/>
            <w:vAlign w:val="bottom"/>
          </w:tcPr>
          <w:p>
            <w:pPr>
              <w:ind w:left="140"/>
              <w:spacing w:after="0"/>
              <w:rPr>
                <w:sz w:val="20"/>
                <w:szCs w:val="20"/>
                <w:color w:val="auto"/>
              </w:rPr>
            </w:pPr>
            <w:r>
              <w:rPr>
                <w:rFonts w:ascii="Arial" w:cs="Arial" w:eastAsia="Arial" w:hAnsi="Arial"/>
                <w:sz w:val="22"/>
                <w:szCs w:val="22"/>
                <w:color w:val="auto"/>
              </w:rPr>
              <w:t>PSSL investment portfolio</w:t>
            </w:r>
          </w:p>
        </w:tc>
        <w:tc>
          <w:tcPr>
            <w:tcW w:w="304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529.6</w:t>
            </w:r>
          </w:p>
        </w:tc>
      </w:tr>
      <w:tr>
        <w:trPr>
          <w:trHeight w:val="270"/>
        </w:trPr>
        <w:tc>
          <w:tcPr>
            <w:tcW w:w="6980" w:type="dxa"/>
            <w:vAlign w:val="bottom"/>
          </w:tcPr>
          <w:p>
            <w:pPr>
              <w:ind w:left="140"/>
              <w:spacing w:after="0"/>
              <w:rPr>
                <w:sz w:val="20"/>
                <w:szCs w:val="20"/>
                <w:color w:val="auto"/>
              </w:rPr>
            </w:pPr>
            <w:r>
              <w:rPr>
                <w:rFonts w:ascii="Arial" w:cs="Arial" w:eastAsia="Arial" w:hAnsi="Arial"/>
                <w:sz w:val="22"/>
                <w:szCs w:val="22"/>
                <w:color w:val="auto"/>
              </w:rPr>
              <w:t>Net assets</w:t>
            </w:r>
          </w:p>
        </w:tc>
        <w:tc>
          <w:tcPr>
            <w:tcW w:w="304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496.6</w:t>
            </w:r>
          </w:p>
        </w:tc>
      </w:tr>
      <w:tr>
        <w:trPr>
          <w:trHeight w:val="270"/>
        </w:trPr>
        <w:tc>
          <w:tcPr>
            <w:tcW w:w="6980" w:type="dxa"/>
            <w:vAlign w:val="bottom"/>
          </w:tcPr>
          <w:p>
            <w:pPr>
              <w:ind w:left="140"/>
              <w:spacing w:after="0"/>
              <w:rPr>
                <w:sz w:val="20"/>
                <w:szCs w:val="20"/>
                <w:color w:val="auto"/>
              </w:rPr>
            </w:pPr>
            <w:r>
              <w:rPr>
                <w:rFonts w:ascii="Arial" w:cs="Arial" w:eastAsia="Arial" w:hAnsi="Arial"/>
                <w:sz w:val="22"/>
                <w:szCs w:val="22"/>
                <w:color w:val="auto"/>
              </w:rPr>
              <w:t>GAAP net asset value per share</w:t>
            </w:r>
          </w:p>
        </w:tc>
        <w:tc>
          <w:tcPr>
            <w:tcW w:w="304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12.81</w:t>
            </w:r>
          </w:p>
        </w:tc>
      </w:tr>
      <w:tr>
        <w:trPr>
          <w:trHeight w:val="274"/>
        </w:trPr>
        <w:tc>
          <w:tcPr>
            <w:tcW w:w="6980" w:type="dxa"/>
            <w:vAlign w:val="bottom"/>
          </w:tcPr>
          <w:p>
            <w:pPr>
              <w:ind w:left="140"/>
              <w:spacing w:after="0"/>
              <w:rPr>
                <w:sz w:val="20"/>
                <w:szCs w:val="20"/>
                <w:color w:val="auto"/>
              </w:rPr>
            </w:pPr>
            <w:r>
              <w:rPr>
                <w:rFonts w:ascii="Arial" w:cs="Arial" w:eastAsia="Arial" w:hAnsi="Arial"/>
                <w:sz w:val="22"/>
                <w:szCs w:val="22"/>
                <w:color w:val="auto"/>
              </w:rPr>
              <w:t>Quarterly increase GAAP net asset value per share</w:t>
            </w:r>
          </w:p>
        </w:tc>
        <w:tc>
          <w:tcPr>
            <w:tcW w:w="30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0.8%</w:t>
            </w:r>
          </w:p>
        </w:tc>
      </w:tr>
      <w:tr>
        <w:trPr>
          <w:trHeight w:val="474"/>
        </w:trPr>
        <w:tc>
          <w:tcPr>
            <w:tcW w:w="6980" w:type="dxa"/>
            <w:vAlign w:val="bottom"/>
          </w:tcPr>
          <w:p>
            <w:pPr>
              <w:ind w:left="140"/>
              <w:spacing w:after="0"/>
              <w:rPr>
                <w:sz w:val="20"/>
                <w:szCs w:val="20"/>
                <w:color w:val="auto"/>
              </w:rPr>
            </w:pPr>
            <w:r>
              <w:rPr>
                <w:rFonts w:ascii="Arial" w:cs="Arial" w:eastAsia="Arial" w:hAnsi="Arial"/>
                <w:sz w:val="22"/>
                <w:szCs w:val="22"/>
                <w:color w:val="auto"/>
              </w:rPr>
              <w:t xml:space="preserve">Adjusted net asset value per share </w:t>
            </w:r>
            <w:r>
              <w:rPr>
                <w:rFonts w:ascii="Arial" w:cs="Arial" w:eastAsia="Arial" w:hAnsi="Arial"/>
                <w:sz w:val="35"/>
                <w:szCs w:val="35"/>
                <w:color w:val="auto"/>
                <w:vertAlign w:val="superscript"/>
              </w:rPr>
              <w:t>(2)</w:t>
            </w:r>
          </w:p>
        </w:tc>
        <w:tc>
          <w:tcPr>
            <w:tcW w:w="304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12.62</w:t>
            </w:r>
          </w:p>
        </w:tc>
      </w:tr>
      <w:tr>
        <w:trPr>
          <w:trHeight w:val="386"/>
        </w:trPr>
        <w:tc>
          <w:tcPr>
            <w:tcW w:w="6980" w:type="dxa"/>
            <w:vAlign w:val="bottom"/>
          </w:tcPr>
          <w:p>
            <w:pPr>
              <w:ind w:left="140"/>
              <w:spacing w:after="0"/>
              <w:rPr>
                <w:sz w:val="20"/>
                <w:szCs w:val="20"/>
                <w:color w:val="auto"/>
              </w:rPr>
            </w:pPr>
            <w:r>
              <w:rPr>
                <w:rFonts w:ascii="Arial" w:cs="Arial" w:eastAsia="Arial" w:hAnsi="Arial"/>
                <w:sz w:val="22"/>
                <w:szCs w:val="22"/>
                <w:color w:val="auto"/>
              </w:rPr>
              <w:t>Credit Facility</w:t>
            </w:r>
          </w:p>
        </w:tc>
        <w:tc>
          <w:tcPr>
            <w:tcW w:w="304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133.1</w:t>
            </w:r>
          </w:p>
        </w:tc>
      </w:tr>
      <w:tr>
        <w:trPr>
          <w:trHeight w:val="270"/>
        </w:trPr>
        <w:tc>
          <w:tcPr>
            <w:tcW w:w="6980" w:type="dxa"/>
            <w:vAlign w:val="bottom"/>
          </w:tcPr>
          <w:p>
            <w:pPr>
              <w:ind w:left="140"/>
              <w:spacing w:after="0"/>
              <w:rPr>
                <w:sz w:val="20"/>
                <w:szCs w:val="20"/>
                <w:color w:val="auto"/>
              </w:rPr>
            </w:pPr>
            <w:r>
              <w:rPr>
                <w:rFonts w:ascii="Arial" w:cs="Arial" w:eastAsia="Arial" w:hAnsi="Arial"/>
                <w:sz w:val="22"/>
                <w:szCs w:val="22"/>
                <w:color w:val="auto"/>
              </w:rPr>
              <w:t>2023 Notes</w:t>
            </w:r>
          </w:p>
        </w:tc>
        <w:tc>
          <w:tcPr>
            <w:tcW w:w="304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110.6</w:t>
            </w:r>
          </w:p>
        </w:tc>
      </w:tr>
      <w:tr>
        <w:trPr>
          <w:trHeight w:val="270"/>
        </w:trPr>
        <w:tc>
          <w:tcPr>
            <w:tcW w:w="6980" w:type="dxa"/>
            <w:vAlign w:val="bottom"/>
          </w:tcPr>
          <w:p>
            <w:pPr>
              <w:ind w:left="140"/>
              <w:spacing w:after="0"/>
              <w:rPr>
                <w:sz w:val="20"/>
                <w:szCs w:val="20"/>
                <w:color w:val="auto"/>
              </w:rPr>
            </w:pPr>
            <w:r>
              <w:rPr>
                <w:rFonts w:ascii="Arial" w:cs="Arial" w:eastAsia="Arial" w:hAnsi="Arial"/>
                <w:sz w:val="22"/>
                <w:szCs w:val="22"/>
                <w:color w:val="auto"/>
              </w:rPr>
              <w:t>2026 Notes</w:t>
            </w:r>
          </w:p>
        </w:tc>
        <w:tc>
          <w:tcPr>
            <w:tcW w:w="304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97.0</w:t>
            </w:r>
          </w:p>
        </w:tc>
      </w:tr>
      <w:tr>
        <w:trPr>
          <w:trHeight w:val="270"/>
        </w:trPr>
        <w:tc>
          <w:tcPr>
            <w:tcW w:w="6980" w:type="dxa"/>
            <w:vAlign w:val="bottom"/>
          </w:tcPr>
          <w:p>
            <w:pPr>
              <w:ind w:left="140"/>
              <w:spacing w:after="0"/>
              <w:rPr>
                <w:sz w:val="20"/>
                <w:szCs w:val="20"/>
                <w:color w:val="auto"/>
              </w:rPr>
            </w:pPr>
            <w:r>
              <w:rPr>
                <w:rFonts w:ascii="Arial" w:cs="Arial" w:eastAsia="Arial" w:hAnsi="Arial"/>
                <w:sz w:val="22"/>
                <w:szCs w:val="22"/>
                <w:color w:val="auto"/>
              </w:rPr>
              <w:t>2031 Asset-Backed Debt</w:t>
            </w:r>
          </w:p>
        </w:tc>
        <w:tc>
          <w:tcPr>
            <w:tcW w:w="304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225.3</w:t>
            </w:r>
          </w:p>
        </w:tc>
      </w:tr>
      <w:tr>
        <w:trPr>
          <w:trHeight w:val="274"/>
        </w:trPr>
        <w:tc>
          <w:tcPr>
            <w:tcW w:w="6980" w:type="dxa"/>
            <w:vAlign w:val="bottom"/>
          </w:tcPr>
          <w:p>
            <w:pPr>
              <w:ind w:left="140"/>
              <w:spacing w:after="0"/>
              <w:rPr>
                <w:sz w:val="20"/>
                <w:szCs w:val="20"/>
                <w:color w:val="auto"/>
              </w:rPr>
            </w:pPr>
            <w:r>
              <w:rPr>
                <w:rFonts w:ascii="Arial" w:cs="Arial" w:eastAsia="Arial" w:hAnsi="Arial"/>
                <w:sz w:val="22"/>
                <w:szCs w:val="22"/>
                <w:color w:val="auto"/>
              </w:rPr>
              <w:t>Regulatory Debt to Equity</w:t>
            </w:r>
          </w:p>
        </w:tc>
        <w:tc>
          <w:tcPr>
            <w:tcW w:w="30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1.18x</w:t>
            </w:r>
          </w:p>
        </w:tc>
      </w:tr>
      <w:tr>
        <w:trPr>
          <w:trHeight w:val="327"/>
        </w:trPr>
        <w:tc>
          <w:tcPr>
            <w:tcW w:w="6980" w:type="dxa"/>
            <w:vAlign w:val="bottom"/>
          </w:tcPr>
          <w:p>
            <w:pPr>
              <w:ind w:left="140"/>
              <w:spacing w:after="0" w:line="326" w:lineRule="exact"/>
              <w:rPr>
                <w:sz w:val="20"/>
                <w:szCs w:val="20"/>
                <w:color w:val="auto"/>
              </w:rPr>
            </w:pPr>
            <w:r>
              <w:rPr>
                <w:rFonts w:ascii="Arial" w:cs="Arial" w:eastAsia="Arial" w:hAnsi="Arial"/>
                <w:sz w:val="22"/>
                <w:szCs w:val="22"/>
                <w:color w:val="auto"/>
              </w:rPr>
              <w:t xml:space="preserve">Regulatory Net Debt to Equity </w:t>
            </w:r>
            <w:r>
              <w:rPr>
                <w:rFonts w:ascii="Arial" w:cs="Arial" w:eastAsia="Arial" w:hAnsi="Arial"/>
                <w:sz w:val="35"/>
                <w:szCs w:val="35"/>
                <w:color w:val="auto"/>
                <w:vertAlign w:val="superscript"/>
              </w:rPr>
              <w:t>(3)</w:t>
            </w:r>
          </w:p>
        </w:tc>
        <w:tc>
          <w:tcPr>
            <w:tcW w:w="30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1.08x</w:t>
            </w:r>
          </w:p>
        </w:tc>
      </w:tr>
      <w:tr>
        <w:trPr>
          <w:trHeight w:val="471"/>
        </w:trPr>
        <w:tc>
          <w:tcPr>
            <w:tcW w:w="6980" w:type="dxa"/>
            <w:vAlign w:val="bottom"/>
          </w:tcPr>
          <w:p>
            <w:pPr>
              <w:ind w:left="140"/>
              <w:spacing w:after="0"/>
              <w:rPr>
                <w:sz w:val="20"/>
                <w:szCs w:val="20"/>
                <w:color w:val="auto"/>
              </w:rPr>
            </w:pPr>
            <w:r>
              <w:rPr>
                <w:rFonts w:ascii="Arial" w:cs="Arial" w:eastAsia="Arial" w:hAnsi="Arial"/>
                <w:sz w:val="22"/>
                <w:szCs w:val="22"/>
                <w:color w:val="auto"/>
              </w:rPr>
              <w:t xml:space="preserve">GAAP Net Debt to Equity </w:t>
            </w:r>
            <w:r>
              <w:rPr>
                <w:rFonts w:ascii="Arial" w:cs="Arial" w:eastAsia="Arial" w:hAnsi="Arial"/>
                <w:sz w:val="35"/>
                <w:szCs w:val="35"/>
                <w:color w:val="auto"/>
                <w:vertAlign w:val="superscript"/>
              </w:rPr>
              <w:t>(4)</w:t>
            </w:r>
          </w:p>
        </w:tc>
        <w:tc>
          <w:tcPr>
            <w:tcW w:w="30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1.04x</w:t>
            </w:r>
          </w:p>
        </w:tc>
      </w:tr>
      <w:tr>
        <w:trPr>
          <w:trHeight w:val="390"/>
        </w:trPr>
        <w:tc>
          <w:tcPr>
            <w:tcW w:w="6980" w:type="dxa"/>
            <w:vAlign w:val="bottom"/>
          </w:tcPr>
          <w:p>
            <w:pPr>
              <w:ind w:left="140"/>
              <w:spacing w:after="0"/>
              <w:rPr>
                <w:sz w:val="20"/>
                <w:szCs w:val="20"/>
                <w:color w:val="auto"/>
              </w:rPr>
            </w:pPr>
            <w:r>
              <w:rPr>
                <w:rFonts w:ascii="Arial" w:cs="Arial" w:eastAsia="Arial" w:hAnsi="Arial"/>
                <w:sz w:val="22"/>
                <w:szCs w:val="22"/>
                <w:color w:val="auto"/>
              </w:rPr>
              <w:t>Yield on debt investments at quarter-end</w:t>
            </w:r>
          </w:p>
        </w:tc>
        <w:tc>
          <w:tcPr>
            <w:tcW w:w="30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941"/>
        </w:trPr>
        <w:tc>
          <w:tcPr>
            <w:tcW w:w="6980" w:type="dxa"/>
            <w:vAlign w:val="bottom"/>
          </w:tcPr>
          <w:p>
            <w:pPr>
              <w:ind w:left="20"/>
              <w:spacing w:after="0"/>
              <w:rPr>
                <w:sz w:val="20"/>
                <w:szCs w:val="20"/>
                <w:color w:val="auto"/>
              </w:rPr>
            </w:pPr>
            <w:r>
              <w:rPr>
                <w:rFonts w:ascii="Arial" w:cs="Arial" w:eastAsia="Arial" w:hAnsi="Arial"/>
                <w:sz w:val="22"/>
                <w:szCs w:val="22"/>
                <w:color w:val="auto"/>
              </w:rPr>
              <w:t>Operating Results:</w:t>
            </w:r>
          </w:p>
        </w:tc>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6980" w:type="dxa"/>
            <w:vAlign w:val="bottom"/>
          </w:tcPr>
          <w:p>
            <w:pPr>
              <w:ind w:left="140"/>
              <w:spacing w:after="0"/>
              <w:rPr>
                <w:sz w:val="20"/>
                <w:szCs w:val="20"/>
                <w:color w:val="auto"/>
              </w:rPr>
            </w:pPr>
            <w:r>
              <w:rPr>
                <w:rFonts w:ascii="Arial" w:cs="Arial" w:eastAsia="Arial" w:hAnsi="Arial"/>
                <w:sz w:val="22"/>
                <w:szCs w:val="22"/>
                <w:color w:val="auto"/>
              </w:rPr>
              <w:t>Net investment income</w:t>
            </w:r>
          </w:p>
        </w:tc>
        <w:tc>
          <w:tcPr>
            <w:tcW w:w="304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10.3</w:t>
            </w:r>
          </w:p>
        </w:tc>
      </w:tr>
      <w:tr>
        <w:trPr>
          <w:trHeight w:val="270"/>
        </w:trPr>
        <w:tc>
          <w:tcPr>
            <w:tcW w:w="6980" w:type="dxa"/>
            <w:vAlign w:val="bottom"/>
          </w:tcPr>
          <w:p>
            <w:pPr>
              <w:ind w:left="140"/>
              <w:spacing w:after="0"/>
              <w:rPr>
                <w:sz w:val="20"/>
                <w:szCs w:val="20"/>
                <w:color w:val="auto"/>
              </w:rPr>
            </w:pPr>
            <w:r>
              <w:rPr>
                <w:rFonts w:ascii="Arial" w:cs="Arial" w:eastAsia="Arial" w:hAnsi="Arial"/>
                <w:sz w:val="22"/>
                <w:szCs w:val="22"/>
                <w:color w:val="auto"/>
              </w:rPr>
              <w:t>Net investment income per share</w:t>
            </w:r>
          </w:p>
        </w:tc>
        <w:tc>
          <w:tcPr>
            <w:tcW w:w="304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0.27</w:t>
            </w:r>
          </w:p>
        </w:tc>
      </w:tr>
      <w:tr>
        <w:trPr>
          <w:trHeight w:val="274"/>
        </w:trPr>
        <w:tc>
          <w:tcPr>
            <w:tcW w:w="6980" w:type="dxa"/>
            <w:vAlign w:val="bottom"/>
          </w:tcPr>
          <w:p>
            <w:pPr>
              <w:ind w:left="140"/>
              <w:spacing w:after="0"/>
              <w:rPr>
                <w:sz w:val="20"/>
                <w:szCs w:val="20"/>
                <w:color w:val="auto"/>
              </w:rPr>
            </w:pPr>
            <w:r>
              <w:rPr>
                <w:rFonts w:ascii="Arial" w:cs="Arial" w:eastAsia="Arial" w:hAnsi="Arial"/>
                <w:sz w:val="22"/>
                <w:szCs w:val="22"/>
                <w:color w:val="auto"/>
              </w:rPr>
              <w:t>Distributions declared per share</w:t>
            </w:r>
          </w:p>
        </w:tc>
        <w:tc>
          <w:tcPr>
            <w:tcW w:w="304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0.285</w:t>
            </w:r>
          </w:p>
        </w:tc>
      </w:tr>
      <w:tr>
        <w:trPr>
          <w:trHeight w:val="536"/>
        </w:trPr>
        <w:tc>
          <w:tcPr>
            <w:tcW w:w="6980" w:type="dxa"/>
            <w:vAlign w:val="bottom"/>
          </w:tcPr>
          <w:p>
            <w:pPr>
              <w:ind w:left="20"/>
              <w:spacing w:after="0"/>
              <w:rPr>
                <w:sz w:val="20"/>
                <w:szCs w:val="20"/>
                <w:color w:val="auto"/>
              </w:rPr>
            </w:pPr>
            <w:r>
              <w:rPr>
                <w:rFonts w:ascii="Arial" w:cs="Arial" w:eastAsia="Arial" w:hAnsi="Arial"/>
                <w:sz w:val="22"/>
                <w:szCs w:val="22"/>
                <w:color w:val="auto"/>
              </w:rPr>
              <w:t>PFLT Portfolio Activity:</w:t>
            </w:r>
          </w:p>
        </w:tc>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6980" w:type="dxa"/>
            <w:vAlign w:val="bottom"/>
          </w:tcPr>
          <w:p>
            <w:pPr>
              <w:ind w:left="140"/>
              <w:spacing w:after="0"/>
              <w:rPr>
                <w:sz w:val="20"/>
                <w:szCs w:val="20"/>
                <w:color w:val="auto"/>
              </w:rPr>
            </w:pPr>
            <w:r>
              <w:rPr>
                <w:rFonts w:ascii="Arial" w:cs="Arial" w:eastAsia="Arial" w:hAnsi="Arial"/>
                <w:sz w:val="22"/>
                <w:szCs w:val="22"/>
                <w:color w:val="auto"/>
              </w:rPr>
              <w:t>Purchases of investments</w:t>
            </w:r>
          </w:p>
        </w:tc>
        <w:tc>
          <w:tcPr>
            <w:tcW w:w="304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248.3</w:t>
            </w:r>
          </w:p>
        </w:tc>
      </w:tr>
      <w:tr>
        <w:trPr>
          <w:trHeight w:val="274"/>
        </w:trPr>
        <w:tc>
          <w:tcPr>
            <w:tcW w:w="6980" w:type="dxa"/>
            <w:vAlign w:val="bottom"/>
          </w:tcPr>
          <w:p>
            <w:pPr>
              <w:ind w:left="140"/>
              <w:spacing w:after="0"/>
              <w:rPr>
                <w:sz w:val="20"/>
                <w:szCs w:val="20"/>
                <w:color w:val="auto"/>
              </w:rPr>
            </w:pPr>
            <w:r>
              <w:rPr>
                <w:rFonts w:ascii="Arial" w:cs="Arial" w:eastAsia="Arial" w:hAnsi="Arial"/>
                <w:sz w:val="22"/>
                <w:szCs w:val="22"/>
                <w:color w:val="auto"/>
              </w:rPr>
              <w:t>Sales and repayments of investments</w:t>
            </w:r>
          </w:p>
        </w:tc>
        <w:tc>
          <w:tcPr>
            <w:tcW w:w="304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283.3</w:t>
            </w:r>
          </w:p>
        </w:tc>
      </w:tr>
      <w:tr>
        <w:trPr>
          <w:trHeight w:val="536"/>
        </w:trPr>
        <w:tc>
          <w:tcPr>
            <w:tcW w:w="6980" w:type="dxa"/>
            <w:vAlign w:val="bottom"/>
          </w:tcPr>
          <w:p>
            <w:pPr>
              <w:ind w:left="140"/>
              <w:spacing w:after="0"/>
              <w:rPr>
                <w:sz w:val="20"/>
                <w:szCs w:val="20"/>
                <w:color w:val="auto"/>
              </w:rPr>
            </w:pPr>
            <w:r>
              <w:rPr>
                <w:rFonts w:ascii="Arial" w:cs="Arial" w:eastAsia="Arial" w:hAnsi="Arial"/>
                <w:sz w:val="22"/>
                <w:szCs w:val="22"/>
                <w:color w:val="auto"/>
              </w:rPr>
              <w:t>Number of new portfolio companies invested</w:t>
            </w:r>
          </w:p>
        </w:tc>
        <w:tc>
          <w:tcPr>
            <w:tcW w:w="30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270"/>
        </w:trPr>
        <w:tc>
          <w:tcPr>
            <w:tcW w:w="6980" w:type="dxa"/>
            <w:vAlign w:val="bottom"/>
          </w:tcPr>
          <w:p>
            <w:pPr>
              <w:ind w:left="140"/>
              <w:spacing w:after="0"/>
              <w:rPr>
                <w:sz w:val="20"/>
                <w:szCs w:val="20"/>
                <w:color w:val="auto"/>
              </w:rPr>
            </w:pPr>
            <w:r>
              <w:rPr>
                <w:rFonts w:ascii="Arial" w:cs="Arial" w:eastAsia="Arial" w:hAnsi="Arial"/>
                <w:sz w:val="22"/>
                <w:szCs w:val="22"/>
                <w:color w:val="auto"/>
              </w:rPr>
              <w:t>Number of existing portfolio companies invested</w:t>
            </w:r>
          </w:p>
        </w:tc>
        <w:tc>
          <w:tcPr>
            <w:tcW w:w="30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274"/>
        </w:trPr>
        <w:tc>
          <w:tcPr>
            <w:tcW w:w="6980" w:type="dxa"/>
            <w:vAlign w:val="bottom"/>
          </w:tcPr>
          <w:p>
            <w:pPr>
              <w:ind w:left="140"/>
              <w:spacing w:after="0"/>
              <w:rPr>
                <w:sz w:val="20"/>
                <w:szCs w:val="20"/>
                <w:color w:val="auto"/>
              </w:rPr>
            </w:pPr>
            <w:r>
              <w:rPr>
                <w:rFonts w:ascii="Arial" w:cs="Arial" w:eastAsia="Arial" w:hAnsi="Arial"/>
                <w:sz w:val="22"/>
                <w:szCs w:val="22"/>
                <w:color w:val="auto"/>
              </w:rPr>
              <w:t>Number of ending portfolio companies</w:t>
            </w:r>
          </w:p>
        </w:tc>
        <w:tc>
          <w:tcPr>
            <w:tcW w:w="30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100</w:t>
            </w:r>
          </w:p>
        </w:tc>
      </w:tr>
      <w:tr>
        <w:trPr>
          <w:trHeight w:val="536"/>
        </w:trPr>
        <w:tc>
          <w:tcPr>
            <w:tcW w:w="6980" w:type="dxa"/>
            <w:vAlign w:val="bottom"/>
          </w:tcPr>
          <w:p>
            <w:pPr>
              <w:ind w:left="20"/>
              <w:spacing w:after="0"/>
              <w:rPr>
                <w:sz w:val="20"/>
                <w:szCs w:val="20"/>
                <w:color w:val="auto"/>
              </w:rPr>
            </w:pPr>
            <w:r>
              <w:rPr>
                <w:rFonts w:ascii="Arial" w:cs="Arial" w:eastAsia="Arial" w:hAnsi="Arial"/>
                <w:sz w:val="22"/>
                <w:szCs w:val="22"/>
                <w:color w:val="auto"/>
              </w:rPr>
              <w:t>PSSL Portfolio Activity:</w:t>
            </w:r>
          </w:p>
        </w:tc>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6980" w:type="dxa"/>
            <w:vAlign w:val="bottom"/>
          </w:tcPr>
          <w:p>
            <w:pPr>
              <w:ind w:left="140"/>
              <w:spacing w:after="0"/>
              <w:rPr>
                <w:sz w:val="20"/>
                <w:szCs w:val="20"/>
                <w:color w:val="auto"/>
              </w:rPr>
            </w:pPr>
            <w:r>
              <w:rPr>
                <w:rFonts w:ascii="Arial" w:cs="Arial" w:eastAsia="Arial" w:hAnsi="Arial"/>
                <w:sz w:val="22"/>
                <w:szCs w:val="22"/>
                <w:color w:val="auto"/>
              </w:rPr>
              <w:t>Purchases of investments</w:t>
            </w:r>
          </w:p>
        </w:tc>
        <w:tc>
          <w:tcPr>
            <w:tcW w:w="304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133.7</w:t>
            </w:r>
          </w:p>
        </w:tc>
      </w:tr>
      <w:tr>
        <w:trPr>
          <w:trHeight w:val="274"/>
        </w:trPr>
        <w:tc>
          <w:tcPr>
            <w:tcW w:w="6980" w:type="dxa"/>
            <w:vAlign w:val="bottom"/>
          </w:tcPr>
          <w:p>
            <w:pPr>
              <w:ind w:left="140"/>
              <w:spacing w:after="0"/>
              <w:rPr>
                <w:sz w:val="20"/>
                <w:szCs w:val="20"/>
                <w:color w:val="auto"/>
              </w:rPr>
            </w:pPr>
            <w:r>
              <w:rPr>
                <w:rFonts w:ascii="Arial" w:cs="Arial" w:eastAsia="Arial" w:hAnsi="Arial"/>
                <w:sz w:val="22"/>
                <w:szCs w:val="22"/>
                <w:color w:val="auto"/>
              </w:rPr>
              <w:t>Sales and repayments of investments</w:t>
            </w:r>
          </w:p>
        </w:tc>
        <w:tc>
          <w:tcPr>
            <w:tcW w:w="304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88.8</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80" w:right="20" w:hanging="459"/>
        <w:spacing w:after="0" w:line="245"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22"/>
          <w:szCs w:val="22"/>
          <w:color w:val="auto"/>
        </w:rPr>
        <w:t>Includes investments in PennantPark Senior Secured Loan Fund I LLC, or PSSL, an unconsolidated joint venture, totaling $191.3 million, at fair value.</w:t>
      </w:r>
    </w:p>
    <w:p>
      <w:pPr>
        <w:jc w:val="both"/>
        <w:ind w:left="480" w:right="20" w:hanging="459"/>
        <w:spacing w:after="0" w:line="234"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22"/>
          <w:szCs w:val="22"/>
          <w:color w:val="auto"/>
        </w:rPr>
        <w:t>This is a non-GAAP financial measure. The Company believes that this number provides useful information to investors and management because it reflects the Company’s financial performance excluding the impact of the $7.5 million unrealized loss on our multi-currency senior secured revolving credit facility, as amended and restated, with Truist Bank (formerly SunTrust Bank) and other lenders, or the Credit Facility, and our 4.3% Series A notes due 2023, or the 2023 Notes. The presentation of this additional information is not meant to be considered in isolation or as a substitute for financial results prepared in accordance with GAAP.</w:t>
      </w:r>
    </w:p>
    <w:p>
      <w:pPr>
        <w:spacing w:after="0" w:line="5" w:lineRule="exact"/>
        <w:rPr>
          <w:rFonts w:ascii="Arial" w:cs="Arial" w:eastAsia="Arial" w:hAnsi="Arial"/>
          <w:sz w:val="18"/>
          <w:szCs w:val="18"/>
          <w:color w:val="auto"/>
        </w:rPr>
      </w:pPr>
    </w:p>
    <w:p>
      <w:pPr>
        <w:jc w:val="both"/>
        <w:ind w:left="480" w:right="20" w:hanging="459"/>
        <w:spacing w:after="0" w:line="323" w:lineRule="auto"/>
        <w:tabs>
          <w:tab w:leader="none" w:pos="480" w:val="left"/>
        </w:tabs>
        <w:numPr>
          <w:ilvl w:val="0"/>
          <w:numId w:val="3"/>
        </w:numPr>
        <w:rPr>
          <w:rFonts w:ascii="Arial" w:cs="Arial" w:eastAsia="Arial" w:hAnsi="Arial"/>
          <w:sz w:val="16"/>
          <w:szCs w:val="16"/>
          <w:color w:val="auto"/>
        </w:rPr>
      </w:pPr>
      <w:r>
        <w:rPr>
          <w:rFonts w:ascii="Arial" w:cs="Arial" w:eastAsia="Arial" w:hAnsi="Arial"/>
          <w:sz w:val="19"/>
          <w:szCs w:val="19"/>
          <w:color w:val="auto"/>
        </w:rPr>
        <w:t>This is a non-GAAP financial measure. The Company believes that this number provides useful information to investors and management because it reflects the Company’s financial performance net of $48.7 million of cash and cash equivalents.</w:t>
      </w:r>
    </w:p>
    <w:p>
      <w:pPr>
        <w:sectPr>
          <w:pgSz w:w="11900" w:h="16949" w:orient="portrait"/>
          <w:cols w:equalWidth="0" w:num="1">
            <w:col w:w="11240"/>
          </w:cols>
          <w:pgMar w:left="320" w:top="112" w:right="339" w:bottom="0" w:gutter="0" w:footer="0" w:header="0"/>
        </w:sectPr>
      </w:pPr>
    </w:p>
    <w:bookmarkStart w:id="4" w:name="page5"/>
    <w:bookmarkEnd w:id="4"/>
    <w:p>
      <w:pPr>
        <w:spacing w:after="0" w:line="46" w:lineRule="exact"/>
        <w:rPr>
          <w:sz w:val="20"/>
          <w:szCs w:val="20"/>
          <w:color w:val="auto"/>
        </w:rPr>
      </w:pPr>
    </w:p>
    <w:p>
      <w:pPr>
        <w:ind w:left="480" w:right="20"/>
        <w:spacing w:after="0" w:line="245" w:lineRule="auto"/>
        <w:rPr>
          <w:sz w:val="20"/>
          <w:szCs w:val="20"/>
          <w:color w:val="auto"/>
        </w:rPr>
      </w:pPr>
      <w:r>
        <w:rPr>
          <w:rFonts w:ascii="Arial" w:cs="Arial" w:eastAsia="Arial" w:hAnsi="Arial"/>
          <w:sz w:val="22"/>
          <w:szCs w:val="22"/>
          <w:color w:val="auto"/>
        </w:rPr>
        <w:t>The presentation of this additional information is not meant to be considered in isolation or as a substitute for financial results prepared in accordance with GAAP.</w:t>
      </w:r>
    </w:p>
    <w:p>
      <w:pPr>
        <w:spacing w:after="0" w:line="2" w:lineRule="exact"/>
        <w:rPr>
          <w:sz w:val="20"/>
          <w:szCs w:val="20"/>
          <w:color w:val="auto"/>
        </w:rPr>
      </w:pPr>
    </w:p>
    <w:p>
      <w:pPr>
        <w:jc w:val="both"/>
        <w:ind w:left="480" w:right="20" w:hanging="459"/>
        <w:spacing w:after="0" w:line="235" w:lineRule="auto"/>
        <w:tabs>
          <w:tab w:leader="none" w:pos="480" w:val="left"/>
        </w:tabs>
        <w:numPr>
          <w:ilvl w:val="0"/>
          <w:numId w:val="4"/>
        </w:numPr>
        <w:rPr>
          <w:rFonts w:ascii="Arial" w:cs="Arial" w:eastAsia="Arial" w:hAnsi="Arial"/>
          <w:sz w:val="18"/>
          <w:szCs w:val="18"/>
          <w:color w:val="auto"/>
        </w:rPr>
      </w:pPr>
      <w:r>
        <w:rPr>
          <w:rFonts w:ascii="Arial" w:cs="Arial" w:eastAsia="Arial" w:hAnsi="Arial"/>
          <w:sz w:val="22"/>
          <w:szCs w:val="22"/>
          <w:color w:val="auto"/>
        </w:rPr>
        <w:t>This is a non-GAAP financial measure. The Company believes that this number provides useful information to investors and management because it reflects the Company’s financial performance including the impact of the $7.5 million unrealized loss on the Credit Facility and the 2023 Notes net of $48.7 million of cash and cash equivalents. The presentation of this additional information is not meant to be considered in isolation or as a substitute for financial results prepared in accordance with GAAP.</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9:00 A.M. ET ON AUGUST 5, 2021</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PennantPark Floating Rate Capital Ltd. (“we,” “our,” “us” or the “Company”) will host a conference call at 9:00 a.m. (Eastern Time) on Thursday, August 5, 2021 to discuss its financial results. All interested parties are welcome to participate. You can access the conference call by dialing toll-free (800) 263-0877 approximately 5-10 minutes prior to the call. International callers should dial (646) 828-8143. All callers should reference conference ID #2369860 or PennantPark Floating Rate Capital Ltd. An archived replay of the call will be available through August 20, 2021 by calling toll-free (888) 203-1112. International callers please dial (719) 457-0820. For all phone replays, please reference conference ID #2369860.</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are pleased with the strong performance of our portfolio this past quarter,” said Arthur Penn, Chairman and CEO. “Our PSSL joint venture saw significant growth. We believe that the growth of PSSL in conjunction with the Company’s growing, more optimized balance sheet and the rotation of equity positions into debt instruments, positions the Company well for increased income over time.”</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As of June 30, 2021, our portfolio totaled $1,035.8 million, which consisted of $883.2 million of first lien secured debt (including $140.9 million in PSSL), $17.6 million of second lien secured debt and $135.0 million of preferred and common equity (including $50.5 million in PSSL). Our debt portfolio consisted of 98% variable-rate investments. As of June 30, 2021, we had two portfolio companies on non-accrual, representing 2.8% and 2.7% of our overall portfolio on a cost and fair value basis, respectively. Overall, the portfolio had net unrealized appreciation of $18.9 million. Our overall portfolio consisted of 100 companies with an average investment size of $10.4 million, had a weighted average yield on debt investments of 7.5%, and was invested 85% in first lien secured debt (including 14% in PSSL), 2% in second lien secured debt and 13% in preferred and common equity (including 5% in PSSL). As of June 30, 2021, 97% of the investments held by PSSL were first lien secured debt.</w:t>
      </w:r>
    </w:p>
    <w:p>
      <w:pPr>
        <w:spacing w:after="0" w:line="157"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As of September 30, 2020, our portfolio totaled $1,086.9 million, which consisted of $968.6 million of first lien secured debt (including $125.4 million in PSSL), $29.9 million of second lien secured debt and $88.4 million of preferred and common equity (including $39.9 million in PSSL). Our debt portfolio consisted of 99% variable-rate investments. As of September 30, 2020, we had three portfolio companies on non-accrual, representing 2.1% and 1.8% of our overall portfolio on a cost and fair value basis, respectively. Overall, the portfolio had net unrealized depreciation of $29.9 million. Our overall portfolio consisted of 102 companies with an average investment size of $10.7 million, had a weighted average yield on debt investments of 7.3%, and was invested 89% in first lien secured debt (including 12% in PSSL), 3% in second lien secured debt and 8% in preferred and common equity (including 4% in PSSL). As of September 30, 2020, 97% of the investments held by PSSL were first lien secured debt.</w:t>
      </w:r>
    </w:p>
    <w:p>
      <w:pPr>
        <w:spacing w:after="0" w:line="184"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For the three months ended June 30, 2021, we invested $248.3 million in 10 new and 16 existing portfolio companies with a weighted average yield on debt investments of 7.5%. Sales and repayments of investments for the three months ended June 30, 2021 totaled $283.3 million. For the nine months ended June 30, 2021, we invested $475.5 million in 19 new and 50 existing portfolio companies with a weighted average yield on debt investments of 7.5%. Sales and repayments of investments for the nine months ended June 30, 2021 totaled $565 million.</w:t>
      </w:r>
    </w:p>
    <w:p>
      <w:pPr>
        <w:spacing w:after="0" w:line="178"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For the three months ended June 30, 2020, we invested $14.4 million in one new and 18 existing portfolio companies with a weighted average yield on debt investments of 8.1%. Sales and repayments of investments for the three months ended June 30, 2020 totaled $104.1 million. For the nine months ended June 30, 2020, we invested $421.4 million in 18 new and 86 existing portfolio companies with a weighted average yield on debt investments of 8.0%. Sales and repayments of investments for the nine months ended June 30, 2020 totaled $347.2 million.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PennantPark Senior Secured Loan Fund I LLC</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 of June 30, 2021, PSSL’s portfolio totaled $529.6 million, consisted of 66 companies with an average investment size of $8.0 million and had a weighted average yield on debt investments of 7.2%. As of September 30, 2020, PSSL’s portfolio totaled $393.0 million, consisted of 45 companies with an average investment size of $8.7 million and had a weighted average yield on debt investments of 6.8%.</w:t>
      </w:r>
    </w:p>
    <w:p>
      <w:pPr>
        <w:spacing w:after="0" w:line="18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For the three months ended June 30, 2021, PSSL invested $133.7 million (including $98.9 million purchased from the Company) in six new and 15 existing portfolio companies with a weighted average yield on debt investments of 7.0%. Sales and repayments of investments for the three months ended June 30, 2021 totaled $88.8 million. For the nine months ended June 30, 2021, PSSL invested $277.8 million (including $224.1 million purchased from the Company) in 30 new and 26 existing portfolio companies with a weighted average yield on debt investments of 7.2%. Sales and repayments of investments for the nine months ended June 30, 2021 totaled $163.1 million.</w:t>
      </w:r>
    </w:p>
    <w:p>
      <w:pPr>
        <w:sectPr>
          <w:pgSz w:w="11900" w:h="16884" w:orient="portrait"/>
          <w:cols w:equalWidth="0" w:num="1">
            <w:col w:w="11240"/>
          </w:cols>
          <w:pgMar w:left="320" w:top="118" w:right="339" w:bottom="0" w:gutter="0" w:footer="0" w:header="0"/>
        </w:sectPr>
      </w:pPr>
    </w:p>
    <w:bookmarkStart w:id="5" w:name="page6"/>
    <w:bookmarkEnd w:id="5"/>
    <w:p>
      <w:pPr>
        <w:jc w:val="both"/>
        <w:spacing w:after="0" w:line="236" w:lineRule="auto"/>
        <w:rPr>
          <w:sz w:val="20"/>
          <w:szCs w:val="20"/>
          <w:color w:val="auto"/>
        </w:rPr>
      </w:pPr>
      <w:r>
        <w:rPr>
          <w:rFonts w:ascii="Arial" w:cs="Arial" w:eastAsia="Arial" w:hAnsi="Arial"/>
          <w:sz w:val="22"/>
          <w:szCs w:val="22"/>
          <w:color w:val="auto"/>
        </w:rPr>
        <w:t>For the three months ended June 30, 2020, PSSL did not make any new or follow-on investments. Sales and repayments of investments for the three months ended June 30, 2020 totaled $28.3 million. For the nine months ended June 30, 2020, PSSL invested $87.1 million (including $86.7 million purchased from the Company) in 11 new and two existing portfolio companies with a weighted average yield on debt investments of 7.4%. Sales and repayments of investments for the nine months ended June 30, 2020 totaled $102.6 million.</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three and nine months ended June 30, 2021 and 2020.</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Investment income for the three and nine months ended June 30, 2021 was $20.9 million and $61.1 million, respectively, which was attributable to $18.2 million and $53.5 million from first lien secured debt and $2.7 million and $7.6 million from other investments, respectively. This compares to investment income for the three and nine months ended June 30, 2020, which was $22.8 million and $73.7 million, respectively, and was attributable to $21.0 million and $67.5 million from first lien secured debt and $1.8 million and $6.2 million from other investments, respectively. The decrease in investment income compared to the same periods in the prior year was primarily due to a decrease in the size of our portfolio and decreases in the London Interbank Offered Rate.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Expenses for the three and nine months ended June 30, 2021 totaled $10.6 million and $30.8 million, respectively. Base management fee for the same periods totaled $2.6 million and $8.0 million, incentive fee totaled $1.7 million and $4.7 million, debt related interest and expenses totaled $5.9 million and $16.0 million and general and administrative expenses totaled $0.4 million and $1.8 million, respectively. This compares to expenses for the three and nine months ended June 30, 2020 which totaled $12.6 million and $40.7 million, respectively. Base management fee for the same periods totaled $2.9 million and $8.7 million, incentive fee totaled $2.0 million and $7.2 million, debt related interest and expenses totaled $6.7 million and $21.6 million and general and administrative expenses totaled $1.0 million and $2.9 million, respectively. The decrease in expenses for the three and nine months ended June 30, 2021 compared to the same periods in the prior year was primarily due to a decrease in management fees and debt related interest and expenses.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Net investment income totaled $10.3 million and $30.3 million, or $0.27 and $0.78 per share, for the three and nine months ended June 30, 2021, respectively. Net investment income totaled $10.2 million and $33.1 million, or $0.26 and $0.85 per share, for the three and nine months ended June 30, 2020,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Sales and repayments of investments for the three and nine months ended June 30, 2021 totaled $283.3 million and $565.5 million, respectively, and net realized losses totaled $13.0 million and $15.3 million, respectively. Sales and repayments of investments for the three and nine months ended June 30, 2020 totaled $104.1 million and $347.2 million, respectively, and net realized losses totaled $7.4 million and $8.0 million, respectively. The change in realized gains/losses was primarily due to changes in the market conditions of our investments and the values at which they were realized.</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the Credit Facility and the 2023 Notes</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For the three and nine months ended June 30, 2021, we reported net change in unrealized appreciation on investments of $14.2 million and $48.8 million, respectively. For the three and nine months ended June 30, 2020, we reported net change in unrealized appreciation (depreciation) on investments of $21.9 million and $(46.4) million, respectively. As of June 30, 2021 and September 30, 2020, our net unrealized appreciation (depreciation) on investments totaled $18.9 million and $(29.9) million, respectively. The net change in unrealized appreciation on our investments compared to the same period in the prior year was primarily due to unrealized gains in our equity co-investment program, including ITC Rumba, LLC (Cano Health, LLC).</w:t>
      </w:r>
    </w:p>
    <w:p>
      <w:pPr>
        <w:spacing w:after="0" w:line="150"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For the three and nine months ended June 30, 2021, the Credit Facility and the 2023 Notes had a net change in unrealized depreciation (appreciation) of $3.2 million and $(11.3) million, respectively. For the three and nine months ended June 30, 2020, the Credit Facility and the 2023 Notes had a net change in unrealized (appreciation) depreciation of $(12.2) million and $22.7 million, respectively. As of June 30, 2021 and September 30, 2020, the net unrealized depreciation on the Credit Facility and the 2023 Notes totaled $7.5 million and $18.8 million, respectively. The net change in net unrealized depreciation compared to the same period in the prior year was primarily due to changes in the capital markets.</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Change in Net Assets Resulting from Operations</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Net increase in net assets resulting from operations totaled $14.7 million and $52.5 million, or $0.38 and $1.35 per share, respectively, for the three and nine months ended June 30, 2021. This compares to a net change in net assets resulting from operations of $12.6 million and $1.4 million, or $0.32 and $0.04 per share, respectively, for the three and nine months ended June 30, 2020. The increase in the net change in net assets from operations for the three and nine months ended June 30, 2021</w:t>
      </w:r>
    </w:p>
    <w:p>
      <w:pPr>
        <w:sectPr>
          <w:pgSz w:w="11900" w:h="16838" w:orient="portrait"/>
          <w:cols w:equalWidth="0" w:num="1">
            <w:col w:w="11240"/>
          </w:cols>
          <w:pgMar w:left="320" w:top="118" w:right="339" w:bottom="0" w:gutter="0" w:footer="0" w:header="0"/>
        </w:sectPr>
      </w:pPr>
    </w:p>
    <w:bookmarkStart w:id="6" w:name="page7"/>
    <w:bookmarkEnd w:id="6"/>
    <w:p>
      <w:pPr>
        <w:spacing w:after="0" w:line="19"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compared to the same periods in the prior year was primarily due to unrealized gains in our equity co-investment program, including ITC Rumba, LLC (Cano Health, LLC).</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For more information on how the COVID-19 pandemic may impact our ability to comply with the covenants of the Credit Facility, see our Quarterly Report on Form 10-Q for the quarter ended June 30, 2021, including “Item 2. Management's Discussion and Analysis of Financial Condition and Results of Operations – COVID-19 Developments”.</w:t>
      </w:r>
    </w:p>
    <w:p>
      <w:pPr>
        <w:spacing w:after="0" w:line="180"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annualized weighted average cost of debt for the nine months ended June 30, 2021 and 2020, inclusive of the fee on the undrawn commitment on the Credit Facility, amendment costs and debt issuance costs, was 3.4% and 3.9%, respectively. As of June 30, 2021 and September 30, 2020, we had $266.6 million and $211.4 million of unused borrowing capacity under the Credit Facility, respectively, subject to leverage and borrowing base restrictions.</w:t>
      </w:r>
    </w:p>
    <w:p>
      <w:pPr>
        <w:spacing w:after="0" w:line="17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 of June 30, 2021 and September 30, 2020, our wholly owned subsidiary, PennantPark Floating Rate Funding I, LLC, borrowed $133.4 million and $308.6 million under the Credit Facility, respectively. The Credit Facility had a weighted average interest rate of 2.1% and 2.2%, exclusive of the fee on undrawn commitments as of June 30, 2021 and September 30, 2020, respectively.</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of June 30, 2021 and September 30, 2020, we had cash equivalents of $48.7 million and $57.5 million, respectively, available for investing and general corporate purposes. We believe our liquidity and capital resources are sufficient to take advantage of market opportunities.</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operating activities provided cash of $124.4 million for the nine months ended June 30, 2021, and our financing activities used cash of $132.3 million for the same period. Our operating activities provided cash primarily from our investment activities and our financing activities used cash primarily to pay down our Credit Facility, partially offset by proceeds from the issuance of our 4.25% notes due 2026.</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operating activities used cash of $63.0 million for the nine months ended June 30, 2020, and our financing activities provided cash of $53.1 million for the same period. Our operating activities used cash primarily for our investment activities and our financing activities provided cash primarily from draws on our Credit Facility, partially offset by distributions paid to stockholders.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Subsequent to quarter end, PFLT had new originations of $102.0 million, and PSSL had new originations of $29.0 million.</w:t>
      </w:r>
    </w:p>
    <w:p>
      <w:pPr>
        <w:spacing w:after="0" w:line="241" w:lineRule="exact"/>
        <w:rPr>
          <w:sz w:val="20"/>
          <w:szCs w:val="20"/>
          <w:color w:val="auto"/>
        </w:rPr>
      </w:pPr>
    </w:p>
    <w:p>
      <w:pPr>
        <w:ind w:right="220"/>
        <w:spacing w:after="0" w:line="274" w:lineRule="auto"/>
        <w:rPr>
          <w:sz w:val="20"/>
          <w:szCs w:val="20"/>
          <w:color w:val="auto"/>
        </w:rPr>
      </w:pPr>
      <w:r>
        <w:rPr>
          <w:rFonts w:ascii="Arial" w:cs="Arial" w:eastAsia="Arial" w:hAnsi="Arial"/>
          <w:sz w:val="21"/>
          <w:szCs w:val="21"/>
          <w:color w:val="auto"/>
        </w:rPr>
        <w:t>Subsequent to quarter end we and a subsidiary of Kemper Corporation (NYSE: KMPR), Trinity Universal Insurance Company, have agreed to increase our capital commitments to PSSL from $230 million to $275 million.</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During the three and nine months ended June 30, 2021 and 2020, we declared distributions of $0.285 and $0.855 per share, respectively, for total distributions of $11.1 and $33.2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Securities and Exchange Commission, or the SEC.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 xml:space="preserve">The Company makes available on its website its Quarterly Report on Form 10-Q filed with the SEC, and stockholders may find such report on its website at </w:t>
      </w:r>
      <w:r>
        <w:rPr>
          <w:rFonts w:ascii="Arial" w:cs="Arial" w:eastAsia="Arial" w:hAnsi="Arial"/>
          <w:sz w:val="22"/>
          <w:szCs w:val="22"/>
          <w:u w:val="single" w:color="auto"/>
          <w:color w:val="auto"/>
        </w:rPr>
        <w:t>www.pennantpark.com</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AND SUBSIDIARIES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ASSETS AND LIABILITIES</w:t>
      </w:r>
    </w:p>
    <w:p>
      <w:pPr>
        <w:sectPr>
          <w:pgSz w:w="11900" w:h="16857" w:orient="portrait"/>
          <w:cols w:equalWidth="0" w:num="1">
            <w:col w:w="11240"/>
          </w:cols>
          <w:pgMar w:left="320" w:top="118"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7800"/>
        <w:spacing w:after="0"/>
        <w:rPr>
          <w:sz w:val="20"/>
          <w:szCs w:val="20"/>
          <w:color w:val="auto"/>
        </w:rPr>
      </w:pPr>
      <w:r>
        <w:rPr>
          <w:rFonts w:ascii="Arial" w:cs="Arial" w:eastAsia="Arial" w:hAnsi="Arial"/>
          <w:sz w:val="19"/>
          <w:szCs w:val="19"/>
          <w:b w:val="1"/>
          <w:bCs w:val="1"/>
          <w:color w:val="auto"/>
        </w:rPr>
        <w:t>June 30,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40"/>
        <w:spacing w:after="0"/>
        <w:rPr>
          <w:sz w:val="20"/>
          <w:szCs w:val="20"/>
          <w:color w:val="auto"/>
        </w:rPr>
      </w:pPr>
      <w:r>
        <w:rPr>
          <w:rFonts w:ascii="Arial" w:cs="Arial" w:eastAsia="Arial" w:hAnsi="Arial"/>
          <w:sz w:val="19"/>
          <w:szCs w:val="19"/>
          <w:b w:val="1"/>
          <w:bCs w:val="1"/>
          <w:color w:val="auto"/>
        </w:rPr>
        <w:t>September 30,</w:t>
      </w:r>
    </w:p>
    <w:p>
      <w:pPr>
        <w:spacing w:after="0" w:line="49" w:lineRule="exact"/>
        <w:rPr>
          <w:sz w:val="20"/>
          <w:szCs w:val="20"/>
          <w:color w:val="auto"/>
        </w:rPr>
      </w:pPr>
    </w:p>
    <w:p>
      <w:pPr>
        <w:jc w:val="center"/>
        <w:ind w:right="140"/>
        <w:spacing w:after="0"/>
        <w:rPr>
          <w:sz w:val="20"/>
          <w:szCs w:val="20"/>
          <w:color w:val="auto"/>
        </w:rPr>
      </w:pPr>
      <w:r>
        <w:rPr>
          <w:rFonts w:ascii="Arial" w:cs="Arial" w:eastAsia="Arial" w:hAnsi="Arial"/>
          <w:sz w:val="22"/>
          <w:szCs w:val="22"/>
          <w:b w:val="1"/>
          <w:bCs w:val="1"/>
          <w:color w:val="auto"/>
        </w:rPr>
        <w:t>2020</w:t>
      </w:r>
    </w:p>
    <w:p>
      <w:pPr>
        <w:sectPr>
          <w:pgSz w:w="11900" w:h="16857" w:orient="portrait"/>
          <w:cols w:equalWidth="0" w:num="2">
            <w:col w:w="9060" w:space="720"/>
            <w:col w:w="1460"/>
          </w:cols>
          <w:pgMar w:left="320" w:top="118" w:right="339" w:bottom="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81"/>
        </w:trPr>
        <w:tc>
          <w:tcPr>
            <w:tcW w:w="4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20" w:type="dxa"/>
            <w:vAlign w:val="bottom"/>
            <w:gridSpan w:val="5"/>
          </w:tcPr>
          <w:p>
            <w:pPr>
              <w:jc w:val="right"/>
              <w:ind w:right="680"/>
              <w:spacing w:after="0"/>
              <w:rPr>
                <w:sz w:val="20"/>
                <w:szCs w:val="20"/>
                <w:color w:val="auto"/>
              </w:rPr>
            </w:pPr>
            <w:r>
              <w:rPr>
                <w:rFonts w:ascii="Arial" w:cs="Arial" w:eastAsia="Arial" w:hAnsi="Arial"/>
                <w:sz w:val="22"/>
                <w:szCs w:val="22"/>
                <w:b w:val="1"/>
                <w:bCs w:val="1"/>
                <w:color w:val="auto"/>
              </w:rPr>
              <w:t>(unaudited)</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9"/>
        </w:trPr>
        <w:tc>
          <w:tcPr>
            <w:tcW w:w="4720" w:type="dxa"/>
            <w:vAlign w:val="bottom"/>
          </w:tcPr>
          <w:p>
            <w:pPr>
              <w:spacing w:after="0"/>
              <w:rPr>
                <w:sz w:val="20"/>
                <w:szCs w:val="20"/>
                <w:color w:val="auto"/>
              </w:rPr>
            </w:pPr>
            <w:r>
              <w:rPr>
                <w:rFonts w:ascii="Arial" w:cs="Arial" w:eastAsia="Arial" w:hAnsi="Arial"/>
                <w:sz w:val="22"/>
                <w:szCs w:val="22"/>
                <w:b w:val="1"/>
                <w:bCs w:val="1"/>
                <w:color w:val="auto"/>
              </w:rPr>
              <w:t>Assets</w:t>
            </w:r>
          </w:p>
        </w:tc>
        <w:tc>
          <w:tcPr>
            <w:tcW w:w="8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r>
      <w:tr>
        <w:trPr>
          <w:trHeight w:val="270"/>
        </w:trPr>
        <w:tc>
          <w:tcPr>
            <w:tcW w:w="4720" w:type="dxa"/>
            <w:vAlign w:val="bottom"/>
          </w:tcPr>
          <w:p>
            <w:pPr>
              <w:spacing w:after="0"/>
              <w:rPr>
                <w:sz w:val="20"/>
                <w:szCs w:val="20"/>
                <w:color w:val="auto"/>
              </w:rPr>
            </w:pPr>
            <w:r>
              <w:rPr>
                <w:rFonts w:ascii="Arial" w:cs="Arial" w:eastAsia="Arial" w:hAnsi="Arial"/>
                <w:sz w:val="22"/>
                <w:szCs w:val="22"/>
                <w:color w:val="auto"/>
              </w:rPr>
              <w:t>Investments at fair value</w:t>
            </w:r>
          </w:p>
        </w:tc>
        <w:tc>
          <w:tcPr>
            <w:tcW w:w="8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3"/>
        </w:trPr>
        <w:tc>
          <w:tcPr>
            <w:tcW w:w="7020" w:type="dxa"/>
            <w:vAlign w:val="bottom"/>
            <w:gridSpan w:val="4"/>
          </w:tcPr>
          <w:p>
            <w:pPr>
              <w:ind w:left="260"/>
              <w:spacing w:after="0" w:line="243" w:lineRule="exact"/>
              <w:rPr>
                <w:sz w:val="20"/>
                <w:szCs w:val="20"/>
                <w:color w:val="auto"/>
              </w:rPr>
            </w:pPr>
            <w:r>
              <w:rPr>
                <w:rFonts w:ascii="Arial" w:cs="Arial" w:eastAsia="Arial" w:hAnsi="Arial"/>
                <w:sz w:val="22"/>
                <w:szCs w:val="22"/>
                <w:color w:val="auto"/>
              </w:rPr>
              <w:t>Non-controlled, non-affiliated investments (cost—$793,425,027 and</w:t>
            </w: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4720" w:type="dxa"/>
            <w:vAlign w:val="bottom"/>
          </w:tcPr>
          <w:p>
            <w:pPr>
              <w:ind w:left="260"/>
              <w:spacing w:after="0"/>
              <w:rPr>
                <w:sz w:val="20"/>
                <w:szCs w:val="20"/>
                <w:color w:val="auto"/>
              </w:rPr>
            </w:pPr>
            <w:r>
              <w:rPr>
                <w:rFonts w:ascii="Arial" w:cs="Arial" w:eastAsia="Arial" w:hAnsi="Arial"/>
                <w:sz w:val="22"/>
                <w:szCs w:val="22"/>
                <w:color w:val="auto"/>
              </w:rPr>
              <w:t>$915,874,757, respectively)</w:t>
            </w:r>
          </w:p>
        </w:tc>
        <w:tc>
          <w:tcPr>
            <w:tcW w:w="8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jc w:val="center"/>
              <w:ind w:left="292"/>
              <w:spacing w:after="0"/>
              <w:rPr>
                <w:sz w:val="20"/>
                <w:szCs w:val="20"/>
                <w:color w:val="auto"/>
              </w:rPr>
            </w:pPr>
            <w:r>
              <w:rPr>
                <w:rFonts w:ascii="Arial" w:cs="Arial" w:eastAsia="Arial" w:hAnsi="Arial"/>
                <w:sz w:val="22"/>
                <w:szCs w:val="22"/>
                <w:color w:val="auto"/>
                <w:w w:val="81"/>
              </w:rPr>
              <w:t>$</w:t>
            </w:r>
          </w:p>
        </w:tc>
        <w:tc>
          <w:tcPr>
            <w:tcW w:w="1280" w:type="dxa"/>
            <w:vAlign w:val="bottom"/>
            <w:gridSpan w:val="3"/>
          </w:tcPr>
          <w:p>
            <w:pPr>
              <w:jc w:val="right"/>
              <w:spacing w:after="0"/>
              <w:rPr>
                <w:sz w:val="20"/>
                <w:szCs w:val="20"/>
                <w:color w:val="auto"/>
              </w:rPr>
            </w:pPr>
            <w:r>
              <w:rPr>
                <w:rFonts w:ascii="Arial" w:cs="Arial" w:eastAsia="Arial" w:hAnsi="Arial"/>
                <w:sz w:val="22"/>
                <w:szCs w:val="22"/>
                <w:color w:val="auto"/>
              </w:rPr>
              <w:t>818,638,740</w:t>
            </w:r>
          </w:p>
        </w:tc>
        <w:tc>
          <w:tcPr>
            <w:tcW w:w="4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480" w:type="dxa"/>
            <w:vAlign w:val="bottom"/>
            <w:gridSpan w:val="2"/>
          </w:tcPr>
          <w:p>
            <w:pPr>
              <w:jc w:val="right"/>
              <w:spacing w:after="0"/>
              <w:rPr>
                <w:sz w:val="20"/>
                <w:szCs w:val="20"/>
                <w:color w:val="auto"/>
              </w:rPr>
            </w:pPr>
            <w:r>
              <w:rPr>
                <w:rFonts w:ascii="Arial" w:cs="Arial" w:eastAsia="Arial" w:hAnsi="Arial"/>
                <w:sz w:val="22"/>
                <w:szCs w:val="22"/>
                <w:color w:val="auto"/>
              </w:rPr>
              <w:t>910,552,309</w:t>
            </w:r>
          </w:p>
        </w:tc>
      </w:tr>
      <w:tr>
        <w:trPr>
          <w:trHeight w:val="270"/>
        </w:trPr>
        <w:tc>
          <w:tcPr>
            <w:tcW w:w="7920" w:type="dxa"/>
            <w:vAlign w:val="bottom"/>
            <w:gridSpan w:val="6"/>
          </w:tcPr>
          <w:p>
            <w:pPr>
              <w:ind w:left="260"/>
              <w:spacing w:after="0"/>
              <w:rPr>
                <w:sz w:val="20"/>
                <w:szCs w:val="20"/>
                <w:color w:val="auto"/>
              </w:rPr>
            </w:pPr>
            <w:r>
              <w:rPr>
                <w:rFonts w:ascii="Arial" w:cs="Arial" w:eastAsia="Arial" w:hAnsi="Arial"/>
                <w:sz w:val="22"/>
                <w:szCs w:val="22"/>
                <w:color w:val="auto"/>
                <w:w w:val="96"/>
              </w:rPr>
              <w:t>Non-controlled, affiliated investments (cost— Zero and $21,964,181, respectively)</w:t>
            </w: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3"/>
                <w:szCs w:val="23"/>
                <w:color w:val="auto"/>
              </w:rPr>
            </w:pPr>
          </w:p>
        </w:tc>
        <w:tc>
          <w:tcPr>
            <w:tcW w:w="1480" w:type="dxa"/>
            <w:vAlign w:val="bottom"/>
            <w:gridSpan w:val="2"/>
          </w:tcPr>
          <w:p>
            <w:pPr>
              <w:jc w:val="right"/>
              <w:spacing w:after="0"/>
              <w:rPr>
                <w:sz w:val="20"/>
                <w:szCs w:val="20"/>
                <w:color w:val="auto"/>
              </w:rPr>
            </w:pPr>
            <w:r>
              <w:rPr>
                <w:rFonts w:ascii="Arial" w:cs="Arial" w:eastAsia="Arial" w:hAnsi="Arial"/>
                <w:sz w:val="22"/>
                <w:szCs w:val="22"/>
                <w:color w:val="auto"/>
              </w:rPr>
              <w:t>11,086,834</w:t>
            </w:r>
          </w:p>
        </w:tc>
      </w:tr>
      <w:tr>
        <w:trPr>
          <w:trHeight w:val="243"/>
        </w:trPr>
        <w:tc>
          <w:tcPr>
            <w:tcW w:w="7020" w:type="dxa"/>
            <w:vAlign w:val="bottom"/>
            <w:gridSpan w:val="4"/>
          </w:tcPr>
          <w:p>
            <w:pPr>
              <w:ind w:left="260"/>
              <w:spacing w:after="0" w:line="243" w:lineRule="exact"/>
              <w:rPr>
                <w:sz w:val="20"/>
                <w:szCs w:val="20"/>
                <w:color w:val="auto"/>
              </w:rPr>
            </w:pPr>
            <w:r>
              <w:rPr>
                <w:rFonts w:ascii="Arial" w:cs="Arial" w:eastAsia="Arial" w:hAnsi="Arial"/>
                <w:sz w:val="22"/>
                <w:szCs w:val="22"/>
                <w:color w:val="auto"/>
                <w:w w:val="93"/>
              </w:rPr>
              <w:t>Controlled, affiliated investments (cost—$223,660,639 and $179,112,500,</w:t>
            </w: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4"/>
        </w:trPr>
        <w:tc>
          <w:tcPr>
            <w:tcW w:w="4720" w:type="dxa"/>
            <w:vAlign w:val="bottom"/>
          </w:tcPr>
          <w:p>
            <w:pPr>
              <w:ind w:left="260"/>
              <w:spacing w:after="0"/>
              <w:rPr>
                <w:sz w:val="20"/>
                <w:szCs w:val="20"/>
                <w:color w:val="auto"/>
              </w:rPr>
            </w:pPr>
            <w:r>
              <w:rPr>
                <w:rFonts w:ascii="Arial" w:cs="Arial" w:eastAsia="Arial" w:hAnsi="Arial"/>
                <w:sz w:val="22"/>
                <w:szCs w:val="22"/>
                <w:color w:val="auto"/>
              </w:rPr>
              <w:t>respectively)</w:t>
            </w:r>
          </w:p>
        </w:tc>
        <w:tc>
          <w:tcPr>
            <w:tcW w:w="8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color w:val="auto"/>
              </w:rPr>
              <w:t>217,184,933</w:t>
            </w:r>
          </w:p>
        </w:tc>
        <w:tc>
          <w:tcPr>
            <w:tcW w:w="4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rPr>
              <w:t>165,289,324</w:t>
            </w:r>
          </w:p>
        </w:tc>
      </w:tr>
      <w:tr>
        <w:trPr>
          <w:trHeight w:val="259"/>
        </w:trPr>
        <w:tc>
          <w:tcPr>
            <w:tcW w:w="7020" w:type="dxa"/>
            <w:vAlign w:val="bottom"/>
            <w:gridSpan w:val="4"/>
          </w:tcPr>
          <w:p>
            <w:pPr>
              <w:ind w:left="260"/>
              <w:spacing w:after="0"/>
              <w:rPr>
                <w:sz w:val="20"/>
                <w:szCs w:val="20"/>
                <w:color w:val="auto"/>
              </w:rPr>
            </w:pPr>
            <w:r>
              <w:rPr>
                <w:rFonts w:ascii="Arial" w:cs="Arial" w:eastAsia="Arial" w:hAnsi="Arial"/>
                <w:sz w:val="22"/>
                <w:szCs w:val="22"/>
                <w:color w:val="auto"/>
                <w:w w:val="91"/>
              </w:rPr>
              <w:t>Total investments (cost—$1,017,085,666 and $1,116,951,438, respectively)</w:t>
            </w: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gridSpan w:val="3"/>
          </w:tcPr>
          <w:p>
            <w:pPr>
              <w:jc w:val="right"/>
              <w:spacing w:after="0"/>
              <w:rPr>
                <w:sz w:val="20"/>
                <w:szCs w:val="20"/>
                <w:color w:val="auto"/>
              </w:rPr>
            </w:pPr>
            <w:r>
              <w:rPr>
                <w:rFonts w:ascii="Arial" w:cs="Arial" w:eastAsia="Arial" w:hAnsi="Arial"/>
                <w:sz w:val="22"/>
                <w:szCs w:val="22"/>
                <w:color w:val="auto"/>
                <w:w w:val="88"/>
              </w:rPr>
              <w:t>1,035,823,673</w:t>
            </w: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gridSpan w:val="2"/>
          </w:tcPr>
          <w:p>
            <w:pPr>
              <w:jc w:val="right"/>
              <w:spacing w:after="0"/>
              <w:rPr>
                <w:sz w:val="20"/>
                <w:szCs w:val="20"/>
                <w:color w:val="auto"/>
              </w:rPr>
            </w:pPr>
            <w:r>
              <w:rPr>
                <w:rFonts w:ascii="Arial" w:cs="Arial" w:eastAsia="Arial" w:hAnsi="Arial"/>
                <w:sz w:val="22"/>
                <w:szCs w:val="22"/>
                <w:color w:val="auto"/>
              </w:rPr>
              <w:t>1,086,928,467</w:t>
            </w:r>
          </w:p>
        </w:tc>
      </w:tr>
      <w:tr>
        <w:trPr>
          <w:trHeight w:val="270"/>
        </w:trPr>
        <w:tc>
          <w:tcPr>
            <w:tcW w:w="7020" w:type="dxa"/>
            <w:vAlign w:val="bottom"/>
            <w:gridSpan w:val="4"/>
          </w:tcPr>
          <w:p>
            <w:pPr>
              <w:spacing w:after="0"/>
              <w:rPr>
                <w:sz w:val="20"/>
                <w:szCs w:val="20"/>
                <w:color w:val="auto"/>
              </w:rPr>
            </w:pPr>
            <w:r>
              <w:rPr>
                <w:rFonts w:ascii="Arial" w:cs="Arial" w:eastAsia="Arial" w:hAnsi="Arial"/>
                <w:sz w:val="22"/>
                <w:szCs w:val="22"/>
                <w:color w:val="auto"/>
                <w:w w:val="91"/>
              </w:rPr>
              <w:t>Cash and cash equivalents (cost—$48,702,743 and $57,534,421, respectively)</w:t>
            </w: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gridSpan w:val="3"/>
          </w:tcPr>
          <w:p>
            <w:pPr>
              <w:jc w:val="right"/>
              <w:spacing w:after="0"/>
              <w:rPr>
                <w:sz w:val="20"/>
                <w:szCs w:val="20"/>
                <w:color w:val="auto"/>
              </w:rPr>
            </w:pPr>
            <w:r>
              <w:rPr>
                <w:rFonts w:ascii="Arial" w:cs="Arial" w:eastAsia="Arial" w:hAnsi="Arial"/>
                <w:sz w:val="22"/>
                <w:szCs w:val="22"/>
                <w:color w:val="auto"/>
              </w:rPr>
              <w:t>48,702,743</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gridSpan w:val="2"/>
          </w:tcPr>
          <w:p>
            <w:pPr>
              <w:jc w:val="right"/>
              <w:spacing w:after="0"/>
              <w:rPr>
                <w:sz w:val="20"/>
                <w:szCs w:val="20"/>
                <w:color w:val="auto"/>
              </w:rPr>
            </w:pPr>
            <w:r>
              <w:rPr>
                <w:rFonts w:ascii="Arial" w:cs="Arial" w:eastAsia="Arial" w:hAnsi="Arial"/>
                <w:sz w:val="22"/>
                <w:szCs w:val="22"/>
                <w:color w:val="auto"/>
              </w:rPr>
              <w:t>57,511,928</w:t>
            </w:r>
          </w:p>
        </w:tc>
      </w:tr>
      <w:tr>
        <w:trPr>
          <w:trHeight w:val="270"/>
        </w:trPr>
        <w:tc>
          <w:tcPr>
            <w:tcW w:w="4720" w:type="dxa"/>
            <w:vAlign w:val="bottom"/>
          </w:tcPr>
          <w:p>
            <w:pPr>
              <w:spacing w:after="0"/>
              <w:rPr>
                <w:sz w:val="20"/>
                <w:szCs w:val="20"/>
                <w:color w:val="auto"/>
              </w:rPr>
            </w:pPr>
            <w:r>
              <w:rPr>
                <w:rFonts w:ascii="Arial" w:cs="Arial" w:eastAsia="Arial" w:hAnsi="Arial"/>
                <w:sz w:val="22"/>
                <w:szCs w:val="22"/>
                <w:color w:val="auto"/>
              </w:rPr>
              <w:t>Interest receivable</w:t>
            </w:r>
          </w:p>
        </w:tc>
        <w:tc>
          <w:tcPr>
            <w:tcW w:w="8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gridSpan w:val="2"/>
          </w:tcPr>
          <w:p>
            <w:pPr>
              <w:jc w:val="right"/>
              <w:spacing w:after="0"/>
              <w:rPr>
                <w:sz w:val="20"/>
                <w:szCs w:val="20"/>
                <w:color w:val="auto"/>
              </w:rPr>
            </w:pPr>
            <w:r>
              <w:rPr>
                <w:rFonts w:ascii="Arial" w:cs="Arial" w:eastAsia="Arial" w:hAnsi="Arial"/>
                <w:sz w:val="22"/>
                <w:szCs w:val="22"/>
                <w:color w:val="auto"/>
                <w:w w:val="89"/>
              </w:rPr>
              <w:t>6,319,900</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gridSpan w:val="2"/>
          </w:tcPr>
          <w:p>
            <w:pPr>
              <w:jc w:val="right"/>
              <w:spacing w:after="0"/>
              <w:rPr>
                <w:sz w:val="20"/>
                <w:szCs w:val="20"/>
                <w:color w:val="auto"/>
              </w:rPr>
            </w:pPr>
            <w:r>
              <w:rPr>
                <w:rFonts w:ascii="Arial" w:cs="Arial" w:eastAsia="Arial" w:hAnsi="Arial"/>
                <w:sz w:val="22"/>
                <w:szCs w:val="22"/>
                <w:color w:val="auto"/>
              </w:rPr>
              <w:t>3,673,502</w:t>
            </w:r>
          </w:p>
        </w:tc>
      </w:tr>
      <w:tr>
        <w:trPr>
          <w:trHeight w:val="270"/>
        </w:trPr>
        <w:tc>
          <w:tcPr>
            <w:tcW w:w="4720" w:type="dxa"/>
            <w:vAlign w:val="bottom"/>
          </w:tcPr>
          <w:p>
            <w:pPr>
              <w:spacing w:after="0"/>
              <w:rPr>
                <w:sz w:val="20"/>
                <w:szCs w:val="20"/>
                <w:color w:val="auto"/>
              </w:rPr>
            </w:pPr>
            <w:r>
              <w:rPr>
                <w:rFonts w:ascii="Arial" w:cs="Arial" w:eastAsia="Arial" w:hAnsi="Arial"/>
                <w:sz w:val="22"/>
                <w:szCs w:val="22"/>
                <w:color w:val="auto"/>
              </w:rPr>
              <w:t>Receivable for investments sold</w:t>
            </w:r>
          </w:p>
        </w:tc>
        <w:tc>
          <w:tcPr>
            <w:tcW w:w="8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gridSpan w:val="3"/>
          </w:tcPr>
          <w:p>
            <w:pPr>
              <w:jc w:val="right"/>
              <w:spacing w:after="0"/>
              <w:rPr>
                <w:sz w:val="20"/>
                <w:szCs w:val="20"/>
                <w:color w:val="auto"/>
              </w:rPr>
            </w:pPr>
            <w:r>
              <w:rPr>
                <w:rFonts w:ascii="Arial" w:cs="Arial" w:eastAsia="Arial" w:hAnsi="Arial"/>
                <w:sz w:val="22"/>
                <w:szCs w:val="22"/>
                <w:color w:val="auto"/>
              </w:rPr>
              <w:t>11,953,906</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74"/>
        </w:trPr>
        <w:tc>
          <w:tcPr>
            <w:tcW w:w="4720" w:type="dxa"/>
            <w:vAlign w:val="bottom"/>
          </w:tcPr>
          <w:p>
            <w:pPr>
              <w:spacing w:after="0"/>
              <w:rPr>
                <w:sz w:val="20"/>
                <w:szCs w:val="20"/>
                <w:color w:val="auto"/>
              </w:rPr>
            </w:pPr>
            <w:r>
              <w:rPr>
                <w:rFonts w:ascii="Arial" w:cs="Arial" w:eastAsia="Arial" w:hAnsi="Arial"/>
                <w:sz w:val="22"/>
                <w:szCs w:val="22"/>
                <w:color w:val="auto"/>
              </w:rPr>
              <w:t>Prepaid expenses and other assets</w:t>
            </w:r>
          </w:p>
        </w:tc>
        <w:tc>
          <w:tcPr>
            <w:tcW w:w="8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3"/>
                <w:szCs w:val="23"/>
                <w:color w:val="auto"/>
              </w:rPr>
            </w:pPr>
          </w:p>
        </w:tc>
        <w:tc>
          <w:tcPr>
            <w:tcW w:w="1480" w:type="dxa"/>
            <w:vAlign w:val="bottom"/>
            <w:gridSpan w:val="2"/>
          </w:tcPr>
          <w:p>
            <w:pPr>
              <w:jc w:val="right"/>
              <w:spacing w:after="0"/>
              <w:rPr>
                <w:sz w:val="20"/>
                <w:szCs w:val="20"/>
                <w:color w:val="auto"/>
              </w:rPr>
            </w:pPr>
            <w:r>
              <w:rPr>
                <w:rFonts w:ascii="Arial" w:cs="Arial" w:eastAsia="Arial" w:hAnsi="Arial"/>
                <w:sz w:val="22"/>
                <w:szCs w:val="22"/>
                <w:color w:val="auto"/>
              </w:rPr>
              <w:t>173,318</w:t>
            </w:r>
          </w:p>
        </w:tc>
      </w:tr>
      <w:tr>
        <w:trPr>
          <w:trHeight w:val="267"/>
        </w:trPr>
        <w:tc>
          <w:tcPr>
            <w:tcW w:w="4720" w:type="dxa"/>
            <w:vAlign w:val="bottom"/>
          </w:tcPr>
          <w:p>
            <w:pPr>
              <w:ind w:left="400"/>
              <w:spacing w:after="0"/>
              <w:rPr>
                <w:sz w:val="20"/>
                <w:szCs w:val="20"/>
                <w:color w:val="auto"/>
              </w:rPr>
            </w:pPr>
            <w:r>
              <w:rPr>
                <w:rFonts w:ascii="Arial" w:cs="Arial" w:eastAsia="Arial" w:hAnsi="Arial"/>
                <w:sz w:val="22"/>
                <w:szCs w:val="22"/>
                <w:b w:val="1"/>
                <w:bCs w:val="1"/>
                <w:color w:val="auto"/>
              </w:rPr>
              <w:t>Total assets</w:t>
            </w:r>
          </w:p>
        </w:tc>
        <w:tc>
          <w:tcPr>
            <w:tcW w:w="8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12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22"/>
                <w:szCs w:val="22"/>
                <w:color w:val="auto"/>
                <w:w w:val="88"/>
              </w:rPr>
              <w:t>1,102,800,222</w:t>
            </w:r>
          </w:p>
        </w:tc>
        <w:tc>
          <w:tcPr>
            <w:tcW w:w="420" w:type="dxa"/>
            <w:vAlign w:val="bottom"/>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1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2"/>
                <w:szCs w:val="22"/>
                <w:color w:val="auto"/>
              </w:rPr>
              <w:t>1,148,287,215</w:t>
            </w:r>
          </w:p>
        </w:tc>
      </w:tr>
      <w:tr>
        <w:trPr>
          <w:trHeight w:val="256"/>
        </w:trPr>
        <w:tc>
          <w:tcPr>
            <w:tcW w:w="4720" w:type="dxa"/>
            <w:vAlign w:val="bottom"/>
          </w:tcPr>
          <w:p>
            <w:pPr>
              <w:spacing w:after="0"/>
              <w:rPr>
                <w:sz w:val="20"/>
                <w:szCs w:val="20"/>
                <w:color w:val="auto"/>
              </w:rPr>
            </w:pPr>
            <w:r>
              <w:rPr>
                <w:rFonts w:ascii="Arial" w:cs="Arial" w:eastAsia="Arial" w:hAnsi="Arial"/>
                <w:sz w:val="22"/>
                <w:szCs w:val="22"/>
                <w:b w:val="1"/>
                <w:bCs w:val="1"/>
                <w:color w:val="auto"/>
              </w:rPr>
              <w:t>Liabilities</w:t>
            </w:r>
          </w:p>
        </w:tc>
        <w:tc>
          <w:tcPr>
            <w:tcW w:w="8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0"/>
        </w:trPr>
        <w:tc>
          <w:tcPr>
            <w:tcW w:w="4720" w:type="dxa"/>
            <w:vAlign w:val="bottom"/>
          </w:tcPr>
          <w:p>
            <w:pPr>
              <w:spacing w:after="0"/>
              <w:rPr>
                <w:sz w:val="20"/>
                <w:szCs w:val="20"/>
                <w:color w:val="auto"/>
              </w:rPr>
            </w:pPr>
            <w:r>
              <w:rPr>
                <w:rFonts w:ascii="Arial" w:cs="Arial" w:eastAsia="Arial" w:hAnsi="Arial"/>
                <w:sz w:val="22"/>
                <w:szCs w:val="22"/>
                <w:color w:val="auto"/>
              </w:rPr>
              <w:t>Distributions payable</w:t>
            </w:r>
          </w:p>
        </w:tc>
        <w:tc>
          <w:tcPr>
            <w:tcW w:w="8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gridSpan w:val="2"/>
          </w:tcPr>
          <w:p>
            <w:pPr>
              <w:jc w:val="right"/>
              <w:spacing w:after="0"/>
              <w:rPr>
                <w:sz w:val="20"/>
                <w:szCs w:val="20"/>
                <w:color w:val="auto"/>
              </w:rPr>
            </w:pPr>
            <w:r>
              <w:rPr>
                <w:rFonts w:ascii="Arial" w:cs="Arial" w:eastAsia="Arial" w:hAnsi="Arial"/>
                <w:sz w:val="22"/>
                <w:szCs w:val="22"/>
                <w:color w:val="auto"/>
                <w:w w:val="89"/>
              </w:rPr>
              <w:t>3,683,347</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gridSpan w:val="2"/>
          </w:tcPr>
          <w:p>
            <w:pPr>
              <w:jc w:val="right"/>
              <w:spacing w:after="0"/>
              <w:rPr>
                <w:sz w:val="20"/>
                <w:szCs w:val="20"/>
                <w:color w:val="auto"/>
              </w:rPr>
            </w:pPr>
            <w:r>
              <w:rPr>
                <w:rFonts w:ascii="Arial" w:cs="Arial" w:eastAsia="Arial" w:hAnsi="Arial"/>
                <w:sz w:val="22"/>
                <w:szCs w:val="22"/>
                <w:color w:val="auto"/>
              </w:rPr>
              <w:t>3,683,347</w:t>
            </w:r>
          </w:p>
        </w:tc>
      </w:tr>
      <w:tr>
        <w:trPr>
          <w:trHeight w:val="270"/>
        </w:trPr>
        <w:tc>
          <w:tcPr>
            <w:tcW w:w="4720" w:type="dxa"/>
            <w:vAlign w:val="bottom"/>
          </w:tcPr>
          <w:p>
            <w:pPr>
              <w:spacing w:after="0"/>
              <w:rPr>
                <w:sz w:val="20"/>
                <w:szCs w:val="20"/>
                <w:color w:val="auto"/>
              </w:rPr>
            </w:pPr>
            <w:r>
              <w:rPr>
                <w:rFonts w:ascii="Arial" w:cs="Arial" w:eastAsia="Arial" w:hAnsi="Arial"/>
                <w:sz w:val="22"/>
                <w:szCs w:val="22"/>
                <w:color w:val="auto"/>
              </w:rPr>
              <w:t>Payable for investments purchased</w:t>
            </w:r>
          </w:p>
        </w:tc>
        <w:tc>
          <w:tcPr>
            <w:tcW w:w="8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gridSpan w:val="3"/>
          </w:tcPr>
          <w:p>
            <w:pPr>
              <w:jc w:val="right"/>
              <w:spacing w:after="0"/>
              <w:rPr>
                <w:sz w:val="20"/>
                <w:szCs w:val="20"/>
                <w:color w:val="auto"/>
              </w:rPr>
            </w:pPr>
            <w:r>
              <w:rPr>
                <w:rFonts w:ascii="Arial" w:cs="Arial" w:eastAsia="Arial" w:hAnsi="Arial"/>
                <w:sz w:val="22"/>
                <w:szCs w:val="22"/>
                <w:color w:val="auto"/>
              </w:rPr>
              <w:t>27,277,154</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gridSpan w:val="2"/>
          </w:tcPr>
          <w:p>
            <w:pPr>
              <w:jc w:val="right"/>
              <w:spacing w:after="0"/>
              <w:rPr>
                <w:sz w:val="20"/>
                <w:szCs w:val="20"/>
                <w:color w:val="auto"/>
              </w:rPr>
            </w:pPr>
            <w:r>
              <w:rPr>
                <w:rFonts w:ascii="Arial" w:cs="Arial" w:eastAsia="Arial" w:hAnsi="Arial"/>
                <w:sz w:val="22"/>
                <w:szCs w:val="22"/>
                <w:color w:val="auto"/>
              </w:rPr>
              <w:t>3,800,000</w:t>
            </w:r>
          </w:p>
        </w:tc>
      </w:tr>
      <w:tr>
        <w:trPr>
          <w:trHeight w:val="243"/>
        </w:trPr>
        <w:tc>
          <w:tcPr>
            <w:tcW w:w="7020" w:type="dxa"/>
            <w:vAlign w:val="bottom"/>
            <w:gridSpan w:val="4"/>
          </w:tcPr>
          <w:p>
            <w:pPr>
              <w:spacing w:after="0" w:line="243" w:lineRule="exact"/>
              <w:rPr>
                <w:sz w:val="20"/>
                <w:szCs w:val="20"/>
                <w:color w:val="auto"/>
              </w:rPr>
            </w:pPr>
            <w:r>
              <w:rPr>
                <w:rFonts w:ascii="Arial" w:cs="Arial" w:eastAsia="Arial" w:hAnsi="Arial"/>
                <w:sz w:val="22"/>
                <w:szCs w:val="22"/>
                <w:color w:val="auto"/>
                <w:w w:val="94"/>
              </w:rPr>
              <w:t>Credit Facility payable, at fair value (cost—$133,400,000 and $308,598,500,</w:t>
            </w: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4720" w:type="dxa"/>
            <w:vAlign w:val="bottom"/>
          </w:tcPr>
          <w:p>
            <w:pPr>
              <w:spacing w:after="0"/>
              <w:rPr>
                <w:sz w:val="20"/>
                <w:szCs w:val="20"/>
                <w:color w:val="auto"/>
              </w:rPr>
            </w:pPr>
            <w:r>
              <w:rPr>
                <w:rFonts w:ascii="Arial" w:cs="Arial" w:eastAsia="Arial" w:hAnsi="Arial"/>
                <w:sz w:val="22"/>
                <w:szCs w:val="22"/>
                <w:color w:val="auto"/>
              </w:rPr>
              <w:t>respectively)</w:t>
            </w:r>
          </w:p>
        </w:tc>
        <w:tc>
          <w:tcPr>
            <w:tcW w:w="8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gridSpan w:val="3"/>
          </w:tcPr>
          <w:p>
            <w:pPr>
              <w:jc w:val="right"/>
              <w:spacing w:after="0"/>
              <w:rPr>
                <w:sz w:val="20"/>
                <w:szCs w:val="20"/>
                <w:color w:val="auto"/>
              </w:rPr>
            </w:pPr>
            <w:r>
              <w:rPr>
                <w:rFonts w:ascii="Arial" w:cs="Arial" w:eastAsia="Arial" w:hAnsi="Arial"/>
                <w:sz w:val="22"/>
                <w:szCs w:val="22"/>
                <w:color w:val="auto"/>
              </w:rPr>
              <w:t>133,066,500</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gridSpan w:val="2"/>
          </w:tcPr>
          <w:p>
            <w:pPr>
              <w:jc w:val="right"/>
              <w:spacing w:after="0"/>
              <w:rPr>
                <w:sz w:val="20"/>
                <w:szCs w:val="20"/>
                <w:color w:val="auto"/>
              </w:rPr>
            </w:pPr>
            <w:r>
              <w:rPr>
                <w:rFonts w:ascii="Arial" w:cs="Arial" w:eastAsia="Arial" w:hAnsi="Arial"/>
                <w:sz w:val="22"/>
                <w:szCs w:val="22"/>
                <w:color w:val="auto"/>
              </w:rPr>
              <w:t>299,047,275</w:t>
            </w:r>
          </w:p>
        </w:tc>
      </w:tr>
      <w:tr>
        <w:trPr>
          <w:trHeight w:val="243"/>
        </w:trPr>
        <w:tc>
          <w:tcPr>
            <w:tcW w:w="7020" w:type="dxa"/>
            <w:vAlign w:val="bottom"/>
            <w:gridSpan w:val="4"/>
          </w:tcPr>
          <w:p>
            <w:pPr>
              <w:spacing w:after="0" w:line="243" w:lineRule="exact"/>
              <w:rPr>
                <w:sz w:val="20"/>
                <w:szCs w:val="20"/>
                <w:color w:val="auto"/>
              </w:rPr>
            </w:pPr>
            <w:r>
              <w:rPr>
                <w:rFonts w:ascii="Arial" w:cs="Arial" w:eastAsia="Arial" w:hAnsi="Arial"/>
                <w:sz w:val="22"/>
                <w:szCs w:val="22"/>
                <w:color w:val="auto"/>
                <w:w w:val="98"/>
              </w:rPr>
              <w:t>2023 Notes payable, at fair value (par—$117,792,879 and $138,579,858,</w:t>
            </w: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4720" w:type="dxa"/>
            <w:vAlign w:val="bottom"/>
          </w:tcPr>
          <w:p>
            <w:pPr>
              <w:spacing w:after="0"/>
              <w:rPr>
                <w:sz w:val="20"/>
                <w:szCs w:val="20"/>
                <w:color w:val="auto"/>
              </w:rPr>
            </w:pPr>
            <w:r>
              <w:rPr>
                <w:rFonts w:ascii="Arial" w:cs="Arial" w:eastAsia="Arial" w:hAnsi="Arial"/>
                <w:sz w:val="22"/>
                <w:szCs w:val="22"/>
                <w:color w:val="auto"/>
              </w:rPr>
              <w:t>respectively)</w:t>
            </w:r>
          </w:p>
        </w:tc>
        <w:tc>
          <w:tcPr>
            <w:tcW w:w="8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gridSpan w:val="3"/>
          </w:tcPr>
          <w:p>
            <w:pPr>
              <w:jc w:val="right"/>
              <w:spacing w:after="0"/>
              <w:rPr>
                <w:sz w:val="20"/>
                <w:szCs w:val="20"/>
                <w:color w:val="auto"/>
              </w:rPr>
            </w:pPr>
            <w:r>
              <w:rPr>
                <w:rFonts w:ascii="Arial" w:cs="Arial" w:eastAsia="Arial" w:hAnsi="Arial"/>
                <w:sz w:val="22"/>
                <w:szCs w:val="22"/>
                <w:color w:val="auto"/>
              </w:rPr>
              <w:t>110,607,514</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gridSpan w:val="2"/>
          </w:tcPr>
          <w:p>
            <w:pPr>
              <w:jc w:val="right"/>
              <w:spacing w:after="0"/>
              <w:rPr>
                <w:sz w:val="20"/>
                <w:szCs w:val="20"/>
                <w:color w:val="auto"/>
              </w:rPr>
            </w:pPr>
            <w:r>
              <w:rPr>
                <w:rFonts w:ascii="Arial" w:cs="Arial" w:eastAsia="Arial" w:hAnsi="Arial"/>
                <w:sz w:val="22"/>
                <w:szCs w:val="22"/>
                <w:color w:val="auto"/>
              </w:rPr>
              <w:t>129,295,008</w:t>
            </w:r>
          </w:p>
        </w:tc>
      </w:tr>
      <w:tr>
        <w:trPr>
          <w:trHeight w:val="270"/>
        </w:trPr>
        <w:tc>
          <w:tcPr>
            <w:tcW w:w="4720" w:type="dxa"/>
            <w:vAlign w:val="bottom"/>
          </w:tcPr>
          <w:p>
            <w:pPr>
              <w:spacing w:after="0"/>
              <w:rPr>
                <w:sz w:val="20"/>
                <w:szCs w:val="20"/>
                <w:color w:val="auto"/>
              </w:rPr>
            </w:pPr>
            <w:r>
              <w:rPr>
                <w:rFonts w:ascii="Arial" w:cs="Arial" w:eastAsia="Arial" w:hAnsi="Arial"/>
                <w:sz w:val="22"/>
                <w:szCs w:val="22"/>
                <w:color w:val="auto"/>
              </w:rPr>
              <w:t>2026 Notes payable, net (par—$100,000,000)</w:t>
            </w:r>
          </w:p>
        </w:tc>
        <w:tc>
          <w:tcPr>
            <w:tcW w:w="8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gridSpan w:val="3"/>
          </w:tcPr>
          <w:p>
            <w:pPr>
              <w:jc w:val="right"/>
              <w:spacing w:after="0"/>
              <w:rPr>
                <w:sz w:val="20"/>
                <w:szCs w:val="20"/>
                <w:color w:val="auto"/>
              </w:rPr>
            </w:pPr>
            <w:r>
              <w:rPr>
                <w:rFonts w:ascii="Arial" w:cs="Arial" w:eastAsia="Arial" w:hAnsi="Arial"/>
                <w:sz w:val="22"/>
                <w:szCs w:val="22"/>
                <w:color w:val="auto"/>
              </w:rPr>
              <w:t>97,013,575</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70"/>
        </w:trPr>
        <w:tc>
          <w:tcPr>
            <w:tcW w:w="4720" w:type="dxa"/>
            <w:vAlign w:val="bottom"/>
          </w:tcPr>
          <w:p>
            <w:pPr>
              <w:spacing w:after="0"/>
              <w:rPr>
                <w:sz w:val="20"/>
                <w:szCs w:val="20"/>
                <w:color w:val="auto"/>
              </w:rPr>
            </w:pPr>
            <w:r>
              <w:rPr>
                <w:rFonts w:ascii="Arial" w:cs="Arial" w:eastAsia="Arial" w:hAnsi="Arial"/>
                <w:sz w:val="22"/>
                <w:szCs w:val="22"/>
                <w:color w:val="auto"/>
                <w:w w:val="94"/>
              </w:rPr>
              <w:t>2031 Asset-Backed Debt, net (par—$228,000,000)</w:t>
            </w:r>
          </w:p>
        </w:tc>
        <w:tc>
          <w:tcPr>
            <w:tcW w:w="8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gridSpan w:val="3"/>
          </w:tcPr>
          <w:p>
            <w:pPr>
              <w:jc w:val="right"/>
              <w:spacing w:after="0"/>
              <w:rPr>
                <w:sz w:val="20"/>
                <w:szCs w:val="20"/>
                <w:color w:val="auto"/>
              </w:rPr>
            </w:pPr>
            <w:r>
              <w:rPr>
                <w:rFonts w:ascii="Arial" w:cs="Arial" w:eastAsia="Arial" w:hAnsi="Arial"/>
                <w:sz w:val="22"/>
                <w:szCs w:val="22"/>
                <w:color w:val="auto"/>
              </w:rPr>
              <w:t>225,339,466</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gridSpan w:val="2"/>
          </w:tcPr>
          <w:p>
            <w:pPr>
              <w:jc w:val="right"/>
              <w:spacing w:after="0"/>
              <w:rPr>
                <w:sz w:val="20"/>
                <w:szCs w:val="20"/>
                <w:color w:val="auto"/>
              </w:rPr>
            </w:pPr>
            <w:r>
              <w:rPr>
                <w:rFonts w:ascii="Arial" w:cs="Arial" w:eastAsia="Arial" w:hAnsi="Arial"/>
                <w:sz w:val="22"/>
                <w:szCs w:val="22"/>
                <w:color w:val="auto"/>
              </w:rPr>
              <w:t>224,866,334</w:t>
            </w:r>
          </w:p>
        </w:tc>
      </w:tr>
      <w:tr>
        <w:trPr>
          <w:trHeight w:val="270"/>
        </w:trPr>
        <w:tc>
          <w:tcPr>
            <w:tcW w:w="4720" w:type="dxa"/>
            <w:vAlign w:val="bottom"/>
          </w:tcPr>
          <w:p>
            <w:pPr>
              <w:spacing w:after="0"/>
              <w:rPr>
                <w:sz w:val="20"/>
                <w:szCs w:val="20"/>
                <w:color w:val="auto"/>
              </w:rPr>
            </w:pPr>
            <w:r>
              <w:rPr>
                <w:rFonts w:ascii="Arial" w:cs="Arial" w:eastAsia="Arial" w:hAnsi="Arial"/>
                <w:sz w:val="22"/>
                <w:szCs w:val="22"/>
                <w:color w:val="auto"/>
              </w:rPr>
              <w:t>Interest payable on debt</w:t>
            </w:r>
          </w:p>
        </w:tc>
        <w:tc>
          <w:tcPr>
            <w:tcW w:w="8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gridSpan w:val="2"/>
          </w:tcPr>
          <w:p>
            <w:pPr>
              <w:jc w:val="right"/>
              <w:spacing w:after="0"/>
              <w:rPr>
                <w:sz w:val="20"/>
                <w:szCs w:val="20"/>
                <w:color w:val="auto"/>
              </w:rPr>
            </w:pPr>
            <w:r>
              <w:rPr>
                <w:rFonts w:ascii="Arial" w:cs="Arial" w:eastAsia="Arial" w:hAnsi="Arial"/>
                <w:sz w:val="22"/>
                <w:szCs w:val="22"/>
                <w:color w:val="auto"/>
                <w:w w:val="89"/>
              </w:rPr>
              <w:t>3,098,401</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gridSpan w:val="2"/>
          </w:tcPr>
          <w:p>
            <w:pPr>
              <w:jc w:val="right"/>
              <w:spacing w:after="0"/>
              <w:rPr>
                <w:sz w:val="20"/>
                <w:szCs w:val="20"/>
                <w:color w:val="auto"/>
              </w:rPr>
            </w:pPr>
            <w:r>
              <w:rPr>
                <w:rFonts w:ascii="Arial" w:cs="Arial" w:eastAsia="Arial" w:hAnsi="Arial"/>
                <w:sz w:val="22"/>
                <w:szCs w:val="22"/>
                <w:color w:val="auto"/>
              </w:rPr>
              <w:t>3,601,479</w:t>
            </w:r>
          </w:p>
        </w:tc>
      </w:tr>
      <w:tr>
        <w:trPr>
          <w:trHeight w:val="270"/>
        </w:trPr>
        <w:tc>
          <w:tcPr>
            <w:tcW w:w="4720" w:type="dxa"/>
            <w:vAlign w:val="bottom"/>
          </w:tcPr>
          <w:p>
            <w:pPr>
              <w:spacing w:after="0"/>
              <w:rPr>
                <w:sz w:val="20"/>
                <w:szCs w:val="20"/>
                <w:color w:val="auto"/>
              </w:rPr>
            </w:pPr>
            <w:r>
              <w:rPr>
                <w:rFonts w:ascii="Arial" w:cs="Arial" w:eastAsia="Arial" w:hAnsi="Arial"/>
                <w:sz w:val="22"/>
                <w:szCs w:val="22"/>
                <w:color w:val="auto"/>
              </w:rPr>
              <w:t>Base management fee payable</w:t>
            </w:r>
          </w:p>
        </w:tc>
        <w:tc>
          <w:tcPr>
            <w:tcW w:w="8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gridSpan w:val="2"/>
          </w:tcPr>
          <w:p>
            <w:pPr>
              <w:jc w:val="right"/>
              <w:spacing w:after="0"/>
              <w:rPr>
                <w:sz w:val="20"/>
                <w:szCs w:val="20"/>
                <w:color w:val="auto"/>
              </w:rPr>
            </w:pPr>
            <w:r>
              <w:rPr>
                <w:rFonts w:ascii="Arial" w:cs="Arial" w:eastAsia="Arial" w:hAnsi="Arial"/>
                <w:sz w:val="22"/>
                <w:szCs w:val="22"/>
                <w:color w:val="auto"/>
                <w:w w:val="89"/>
              </w:rPr>
              <w:t>2,621,573</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gridSpan w:val="2"/>
          </w:tcPr>
          <w:p>
            <w:pPr>
              <w:jc w:val="right"/>
              <w:spacing w:after="0"/>
              <w:rPr>
                <w:sz w:val="20"/>
                <w:szCs w:val="20"/>
                <w:color w:val="auto"/>
              </w:rPr>
            </w:pPr>
            <w:r>
              <w:rPr>
                <w:rFonts w:ascii="Arial" w:cs="Arial" w:eastAsia="Arial" w:hAnsi="Arial"/>
                <w:sz w:val="22"/>
                <w:szCs w:val="22"/>
                <w:color w:val="auto"/>
              </w:rPr>
              <w:t>2,776,477</w:t>
            </w:r>
          </w:p>
        </w:tc>
      </w:tr>
      <w:tr>
        <w:trPr>
          <w:trHeight w:val="270"/>
        </w:trPr>
        <w:tc>
          <w:tcPr>
            <w:tcW w:w="4720" w:type="dxa"/>
            <w:vAlign w:val="bottom"/>
          </w:tcPr>
          <w:p>
            <w:pPr>
              <w:spacing w:after="0"/>
              <w:rPr>
                <w:sz w:val="20"/>
                <w:szCs w:val="20"/>
                <w:color w:val="auto"/>
              </w:rPr>
            </w:pPr>
            <w:r>
              <w:rPr>
                <w:rFonts w:ascii="Arial" w:cs="Arial" w:eastAsia="Arial" w:hAnsi="Arial"/>
                <w:sz w:val="22"/>
                <w:szCs w:val="22"/>
                <w:color w:val="auto"/>
              </w:rPr>
              <w:t>Performance-based incentive fee payable</w:t>
            </w:r>
          </w:p>
        </w:tc>
        <w:tc>
          <w:tcPr>
            <w:tcW w:w="8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gridSpan w:val="2"/>
          </w:tcPr>
          <w:p>
            <w:pPr>
              <w:jc w:val="right"/>
              <w:spacing w:after="0"/>
              <w:rPr>
                <w:sz w:val="20"/>
                <w:szCs w:val="20"/>
                <w:color w:val="auto"/>
              </w:rPr>
            </w:pPr>
            <w:r>
              <w:rPr>
                <w:rFonts w:ascii="Arial" w:cs="Arial" w:eastAsia="Arial" w:hAnsi="Arial"/>
                <w:sz w:val="22"/>
                <w:szCs w:val="22"/>
                <w:color w:val="auto"/>
                <w:w w:val="89"/>
              </w:rPr>
              <w:t>1,652,278</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gridSpan w:val="2"/>
          </w:tcPr>
          <w:p>
            <w:pPr>
              <w:jc w:val="right"/>
              <w:spacing w:after="0"/>
              <w:rPr>
                <w:sz w:val="20"/>
                <w:szCs w:val="20"/>
                <w:color w:val="auto"/>
              </w:rPr>
            </w:pPr>
            <w:r>
              <w:rPr>
                <w:rFonts w:ascii="Arial" w:cs="Arial" w:eastAsia="Arial" w:hAnsi="Arial"/>
                <w:sz w:val="22"/>
                <w:szCs w:val="22"/>
                <w:color w:val="auto"/>
              </w:rPr>
              <w:t>2,071,622</w:t>
            </w:r>
          </w:p>
        </w:tc>
      </w:tr>
      <w:tr>
        <w:trPr>
          <w:trHeight w:val="274"/>
        </w:trPr>
        <w:tc>
          <w:tcPr>
            <w:tcW w:w="4720" w:type="dxa"/>
            <w:vAlign w:val="bottom"/>
          </w:tcPr>
          <w:p>
            <w:pPr>
              <w:spacing w:after="0"/>
              <w:rPr>
                <w:sz w:val="20"/>
                <w:szCs w:val="20"/>
                <w:color w:val="auto"/>
              </w:rPr>
            </w:pPr>
            <w:r>
              <w:rPr>
                <w:rFonts w:ascii="Arial" w:cs="Arial" w:eastAsia="Arial" w:hAnsi="Arial"/>
                <w:sz w:val="22"/>
                <w:szCs w:val="22"/>
                <w:color w:val="auto"/>
              </w:rPr>
              <w:t>Accrued other expenses</w:t>
            </w:r>
          </w:p>
        </w:tc>
        <w:tc>
          <w:tcPr>
            <w:tcW w:w="8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w w:val="89"/>
              </w:rPr>
              <w:t>1,808,734</w:t>
            </w:r>
          </w:p>
        </w:tc>
        <w:tc>
          <w:tcPr>
            <w:tcW w:w="4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rPr>
              <w:t>1,875,281</w:t>
            </w:r>
          </w:p>
        </w:tc>
      </w:tr>
      <w:tr>
        <w:trPr>
          <w:trHeight w:val="267"/>
        </w:trPr>
        <w:tc>
          <w:tcPr>
            <w:tcW w:w="4720" w:type="dxa"/>
            <w:vAlign w:val="bottom"/>
          </w:tcPr>
          <w:p>
            <w:pPr>
              <w:ind w:left="400"/>
              <w:spacing w:after="0"/>
              <w:rPr>
                <w:sz w:val="20"/>
                <w:szCs w:val="20"/>
                <w:color w:val="auto"/>
              </w:rPr>
            </w:pPr>
            <w:r>
              <w:rPr>
                <w:rFonts w:ascii="Arial" w:cs="Arial" w:eastAsia="Arial" w:hAnsi="Arial"/>
                <w:sz w:val="22"/>
                <w:szCs w:val="22"/>
                <w:b w:val="1"/>
                <w:bCs w:val="1"/>
                <w:color w:val="auto"/>
              </w:rPr>
              <w:t>Total liabilities</w:t>
            </w:r>
          </w:p>
        </w:tc>
        <w:tc>
          <w:tcPr>
            <w:tcW w:w="8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color w:val="auto"/>
              </w:rPr>
              <w:t>606,168,542</w:t>
            </w:r>
          </w:p>
        </w:tc>
        <w:tc>
          <w:tcPr>
            <w:tcW w:w="4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rPr>
              <w:t>671,016,823</w:t>
            </w:r>
          </w:p>
        </w:tc>
      </w:tr>
      <w:tr>
        <w:trPr>
          <w:trHeight w:val="250"/>
        </w:trPr>
        <w:tc>
          <w:tcPr>
            <w:tcW w:w="4720" w:type="dxa"/>
            <w:vAlign w:val="bottom"/>
          </w:tcPr>
          <w:p>
            <w:pPr>
              <w:spacing w:after="0" w:line="249" w:lineRule="exact"/>
              <w:rPr>
                <w:sz w:val="20"/>
                <w:szCs w:val="20"/>
                <w:color w:val="auto"/>
              </w:rPr>
            </w:pPr>
            <w:r>
              <w:rPr>
                <w:rFonts w:ascii="Arial" w:cs="Arial" w:eastAsia="Arial" w:hAnsi="Arial"/>
                <w:sz w:val="22"/>
                <w:szCs w:val="22"/>
                <w:color w:val="auto"/>
              </w:rPr>
              <w:t>Commitments and contingencies</w:t>
            </w:r>
          </w:p>
        </w:tc>
        <w:tc>
          <w:tcPr>
            <w:tcW w:w="8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6"/>
        </w:trPr>
        <w:tc>
          <w:tcPr>
            <w:tcW w:w="4720" w:type="dxa"/>
            <w:vAlign w:val="bottom"/>
          </w:tcPr>
          <w:p>
            <w:pPr>
              <w:spacing w:after="0"/>
              <w:rPr>
                <w:sz w:val="20"/>
                <w:szCs w:val="20"/>
                <w:color w:val="auto"/>
              </w:rPr>
            </w:pPr>
            <w:r>
              <w:rPr>
                <w:rFonts w:ascii="Arial" w:cs="Arial" w:eastAsia="Arial" w:hAnsi="Arial"/>
                <w:sz w:val="22"/>
                <w:szCs w:val="22"/>
                <w:b w:val="1"/>
                <w:bCs w:val="1"/>
                <w:color w:val="auto"/>
              </w:rPr>
              <w:t>Net assets</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43"/>
        </w:trPr>
        <w:tc>
          <w:tcPr>
            <w:tcW w:w="7920" w:type="dxa"/>
            <w:vAlign w:val="bottom"/>
            <w:gridSpan w:val="6"/>
          </w:tcPr>
          <w:p>
            <w:pPr>
              <w:spacing w:after="0" w:line="243" w:lineRule="exact"/>
              <w:rPr>
                <w:sz w:val="20"/>
                <w:szCs w:val="20"/>
                <w:color w:val="auto"/>
              </w:rPr>
            </w:pPr>
            <w:r>
              <w:rPr>
                <w:rFonts w:ascii="Arial" w:cs="Arial" w:eastAsia="Arial" w:hAnsi="Arial"/>
                <w:sz w:val="22"/>
                <w:szCs w:val="22"/>
                <w:color w:val="auto"/>
                <w:w w:val="93"/>
              </w:rPr>
              <w:t>Common stock, 38,772,074 shares issued and outstanding Par value $0.001 per share</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43"/>
        </w:trPr>
        <w:tc>
          <w:tcPr>
            <w:tcW w:w="4720" w:type="dxa"/>
            <w:vAlign w:val="bottom"/>
          </w:tcPr>
          <w:p>
            <w:pPr>
              <w:spacing w:after="0" w:line="243" w:lineRule="exact"/>
              <w:rPr>
                <w:sz w:val="20"/>
                <w:szCs w:val="20"/>
                <w:color w:val="auto"/>
              </w:rPr>
            </w:pPr>
            <w:r>
              <w:rPr>
                <w:rFonts w:ascii="Arial" w:cs="Arial" w:eastAsia="Arial" w:hAnsi="Arial"/>
                <w:sz w:val="22"/>
                <w:szCs w:val="22"/>
                <w:color w:val="auto"/>
              </w:rPr>
              <w:t>and 100,000,000</w:t>
            </w:r>
          </w:p>
        </w:tc>
        <w:tc>
          <w:tcPr>
            <w:tcW w:w="8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4720" w:type="dxa"/>
            <w:vAlign w:val="bottom"/>
          </w:tcPr>
          <w:p>
            <w:pPr>
              <w:spacing w:after="0"/>
              <w:rPr>
                <w:sz w:val="20"/>
                <w:szCs w:val="20"/>
                <w:color w:val="auto"/>
              </w:rPr>
            </w:pPr>
            <w:r>
              <w:rPr>
                <w:rFonts w:ascii="Arial" w:cs="Arial" w:eastAsia="Arial" w:hAnsi="Arial"/>
                <w:sz w:val="22"/>
                <w:szCs w:val="22"/>
                <w:color w:val="auto"/>
              </w:rPr>
              <w:t>shares authorized</w:t>
            </w:r>
          </w:p>
        </w:tc>
        <w:tc>
          <w:tcPr>
            <w:tcW w:w="8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gridSpan w:val="2"/>
          </w:tcPr>
          <w:p>
            <w:pPr>
              <w:jc w:val="right"/>
              <w:spacing w:after="0"/>
              <w:rPr>
                <w:sz w:val="20"/>
                <w:szCs w:val="20"/>
                <w:color w:val="auto"/>
              </w:rPr>
            </w:pPr>
            <w:r>
              <w:rPr>
                <w:rFonts w:ascii="Arial" w:cs="Arial" w:eastAsia="Arial" w:hAnsi="Arial"/>
                <w:sz w:val="22"/>
                <w:szCs w:val="22"/>
                <w:color w:val="auto"/>
              </w:rPr>
              <w:t>38,772</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gridSpan w:val="2"/>
          </w:tcPr>
          <w:p>
            <w:pPr>
              <w:jc w:val="right"/>
              <w:spacing w:after="0"/>
              <w:rPr>
                <w:sz w:val="20"/>
                <w:szCs w:val="20"/>
                <w:color w:val="auto"/>
              </w:rPr>
            </w:pPr>
            <w:r>
              <w:rPr>
                <w:rFonts w:ascii="Arial" w:cs="Arial" w:eastAsia="Arial" w:hAnsi="Arial"/>
                <w:sz w:val="22"/>
                <w:szCs w:val="22"/>
                <w:color w:val="auto"/>
              </w:rPr>
              <w:t>38,772</w:t>
            </w:r>
          </w:p>
        </w:tc>
      </w:tr>
      <w:tr>
        <w:trPr>
          <w:trHeight w:val="270"/>
        </w:trPr>
        <w:tc>
          <w:tcPr>
            <w:tcW w:w="4720" w:type="dxa"/>
            <w:vAlign w:val="bottom"/>
          </w:tcPr>
          <w:p>
            <w:pPr>
              <w:spacing w:after="0"/>
              <w:rPr>
                <w:sz w:val="20"/>
                <w:szCs w:val="20"/>
                <w:color w:val="auto"/>
              </w:rPr>
            </w:pPr>
            <w:r>
              <w:rPr>
                <w:rFonts w:ascii="Arial" w:cs="Arial" w:eastAsia="Arial" w:hAnsi="Arial"/>
                <w:sz w:val="22"/>
                <w:szCs w:val="22"/>
                <w:color w:val="auto"/>
              </w:rPr>
              <w:t>Paid-in capital in excess of par value</w:t>
            </w:r>
          </w:p>
        </w:tc>
        <w:tc>
          <w:tcPr>
            <w:tcW w:w="8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gridSpan w:val="3"/>
          </w:tcPr>
          <w:p>
            <w:pPr>
              <w:jc w:val="right"/>
              <w:spacing w:after="0"/>
              <w:rPr>
                <w:sz w:val="20"/>
                <w:szCs w:val="20"/>
                <w:color w:val="auto"/>
              </w:rPr>
            </w:pPr>
            <w:r>
              <w:rPr>
                <w:rFonts w:ascii="Arial" w:cs="Arial" w:eastAsia="Arial" w:hAnsi="Arial"/>
                <w:sz w:val="22"/>
                <w:szCs w:val="22"/>
                <w:color w:val="auto"/>
              </w:rPr>
              <w:t>538,151,527</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gridSpan w:val="2"/>
          </w:tcPr>
          <w:p>
            <w:pPr>
              <w:jc w:val="right"/>
              <w:spacing w:after="0"/>
              <w:rPr>
                <w:sz w:val="20"/>
                <w:szCs w:val="20"/>
                <w:color w:val="auto"/>
              </w:rPr>
            </w:pPr>
            <w:r>
              <w:rPr>
                <w:rFonts w:ascii="Arial" w:cs="Arial" w:eastAsia="Arial" w:hAnsi="Arial"/>
                <w:sz w:val="22"/>
                <w:szCs w:val="22"/>
                <w:color w:val="auto"/>
              </w:rPr>
              <w:t>538,151,528</w:t>
            </w:r>
          </w:p>
        </w:tc>
      </w:tr>
      <w:tr>
        <w:trPr>
          <w:trHeight w:val="274"/>
        </w:trPr>
        <w:tc>
          <w:tcPr>
            <w:tcW w:w="4720" w:type="dxa"/>
            <w:vAlign w:val="bottom"/>
          </w:tcPr>
          <w:p>
            <w:pPr>
              <w:spacing w:after="0"/>
              <w:rPr>
                <w:sz w:val="20"/>
                <w:szCs w:val="20"/>
                <w:color w:val="auto"/>
              </w:rPr>
            </w:pPr>
            <w:r>
              <w:rPr>
                <w:rFonts w:ascii="Arial" w:cs="Arial" w:eastAsia="Arial" w:hAnsi="Arial"/>
                <w:sz w:val="22"/>
                <w:szCs w:val="22"/>
                <w:color w:val="auto"/>
              </w:rPr>
              <w:t>Accumulated distributable net loss</w:t>
            </w:r>
          </w:p>
        </w:tc>
        <w:tc>
          <w:tcPr>
            <w:tcW w:w="8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00" w:type="dxa"/>
            <w:vAlign w:val="bottom"/>
            <w:gridSpan w:val="4"/>
          </w:tcPr>
          <w:p>
            <w:pPr>
              <w:jc w:val="right"/>
              <w:ind w:right="340"/>
              <w:spacing w:after="0"/>
              <w:rPr>
                <w:sz w:val="20"/>
                <w:szCs w:val="20"/>
                <w:color w:val="auto"/>
              </w:rPr>
            </w:pPr>
            <w:r>
              <w:rPr>
                <w:rFonts w:ascii="Arial" w:cs="Arial" w:eastAsia="Arial" w:hAnsi="Arial"/>
                <w:sz w:val="22"/>
                <w:szCs w:val="22"/>
                <w:color w:val="auto"/>
              </w:rPr>
              <w:t>(41,558,619)</w:t>
            </w:r>
          </w:p>
        </w:tc>
        <w:tc>
          <w:tcPr>
            <w:tcW w:w="120" w:type="dxa"/>
            <w:vAlign w:val="bottom"/>
          </w:tcPr>
          <w:p>
            <w:pPr>
              <w:spacing w:after="0"/>
              <w:rPr>
                <w:sz w:val="23"/>
                <w:szCs w:val="23"/>
                <w:color w:val="auto"/>
              </w:rPr>
            </w:pPr>
          </w:p>
        </w:tc>
        <w:tc>
          <w:tcPr>
            <w:tcW w:w="1480" w:type="dxa"/>
            <w:vAlign w:val="bottom"/>
            <w:gridSpan w:val="2"/>
          </w:tcPr>
          <w:p>
            <w:pPr>
              <w:jc w:val="right"/>
              <w:spacing w:after="0"/>
              <w:rPr>
                <w:sz w:val="20"/>
                <w:szCs w:val="20"/>
                <w:color w:val="auto"/>
              </w:rPr>
            </w:pPr>
            <w:r>
              <w:rPr>
                <w:rFonts w:ascii="Arial" w:cs="Arial" w:eastAsia="Arial" w:hAnsi="Arial"/>
                <w:sz w:val="22"/>
                <w:szCs w:val="22"/>
                <w:color w:val="auto"/>
              </w:rPr>
              <w:t>(60,919,908</w:t>
            </w:r>
          </w:p>
        </w:tc>
      </w:tr>
      <w:tr>
        <w:trPr>
          <w:trHeight w:val="267"/>
        </w:trPr>
        <w:tc>
          <w:tcPr>
            <w:tcW w:w="4720" w:type="dxa"/>
            <w:vAlign w:val="bottom"/>
          </w:tcPr>
          <w:p>
            <w:pPr>
              <w:ind w:left="400"/>
              <w:spacing w:after="0"/>
              <w:rPr>
                <w:sz w:val="20"/>
                <w:szCs w:val="20"/>
                <w:color w:val="auto"/>
              </w:rPr>
            </w:pPr>
            <w:r>
              <w:rPr>
                <w:rFonts w:ascii="Arial" w:cs="Arial" w:eastAsia="Arial" w:hAnsi="Arial"/>
                <w:sz w:val="22"/>
                <w:szCs w:val="22"/>
                <w:b w:val="1"/>
                <w:bCs w:val="1"/>
                <w:color w:val="auto"/>
              </w:rPr>
              <w:t>Total net assets</w:t>
            </w:r>
          </w:p>
        </w:tc>
        <w:tc>
          <w:tcPr>
            <w:tcW w:w="8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Borders>
              <w:top w:val="single" w:sz="8" w:color="auto"/>
              <w:bottom w:val="single" w:sz="8" w:color="auto"/>
            </w:tcBorders>
          </w:tcPr>
          <w:p>
            <w:pPr>
              <w:jc w:val="center"/>
              <w:ind w:right="72"/>
              <w:spacing w:after="0"/>
              <w:rPr>
                <w:sz w:val="20"/>
                <w:szCs w:val="20"/>
                <w:color w:val="auto"/>
              </w:rPr>
            </w:pPr>
            <w:r>
              <w:rPr>
                <w:rFonts w:ascii="Arial" w:cs="Arial" w:eastAsia="Arial" w:hAnsi="Arial"/>
                <w:sz w:val="22"/>
                <w:szCs w:val="22"/>
                <w:color w:val="auto"/>
                <w:w w:val="81"/>
              </w:rPr>
              <w:t>$</w:t>
            </w:r>
          </w:p>
        </w:tc>
        <w:tc>
          <w:tcPr>
            <w:tcW w:w="12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22"/>
                <w:szCs w:val="22"/>
                <w:color w:val="auto"/>
              </w:rPr>
              <w:t>496,631,680</w:t>
            </w:r>
          </w:p>
        </w:tc>
        <w:tc>
          <w:tcPr>
            <w:tcW w:w="420" w:type="dxa"/>
            <w:vAlign w:val="bottom"/>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2"/>
                <w:szCs w:val="22"/>
                <w:color w:val="auto"/>
              </w:rPr>
              <w:t>477,270,392</w:t>
            </w:r>
          </w:p>
        </w:tc>
      </w:tr>
      <w:tr>
        <w:trPr>
          <w:trHeight w:val="263"/>
        </w:trPr>
        <w:tc>
          <w:tcPr>
            <w:tcW w:w="4720" w:type="dxa"/>
            <w:vAlign w:val="bottom"/>
          </w:tcPr>
          <w:p>
            <w:pPr>
              <w:ind w:left="400"/>
              <w:spacing w:after="0"/>
              <w:rPr>
                <w:sz w:val="20"/>
                <w:szCs w:val="20"/>
                <w:color w:val="auto"/>
              </w:rPr>
            </w:pPr>
            <w:r>
              <w:rPr>
                <w:rFonts w:ascii="Arial" w:cs="Arial" w:eastAsia="Arial" w:hAnsi="Arial"/>
                <w:sz w:val="22"/>
                <w:szCs w:val="22"/>
                <w:b w:val="1"/>
                <w:bCs w:val="1"/>
                <w:color w:val="auto"/>
              </w:rPr>
              <w:t>Total liabilities and net assets</w:t>
            </w:r>
          </w:p>
        </w:tc>
        <w:tc>
          <w:tcPr>
            <w:tcW w:w="8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Borders>
              <w:bottom w:val="single" w:sz="8" w:color="auto"/>
            </w:tcBorders>
          </w:tcPr>
          <w:p>
            <w:pPr>
              <w:jc w:val="center"/>
              <w:ind w:right="72"/>
              <w:spacing w:after="0"/>
              <w:rPr>
                <w:sz w:val="20"/>
                <w:szCs w:val="20"/>
                <w:color w:val="auto"/>
              </w:rPr>
            </w:pPr>
            <w:r>
              <w:rPr>
                <w:rFonts w:ascii="Arial" w:cs="Arial" w:eastAsia="Arial" w:hAnsi="Arial"/>
                <w:sz w:val="22"/>
                <w:szCs w:val="22"/>
                <w:color w:val="auto"/>
                <w:w w:val="81"/>
              </w:rPr>
              <w:t>$</w:t>
            </w: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color w:val="auto"/>
                <w:w w:val="88"/>
              </w:rPr>
              <w:t>1,102,800,222</w:t>
            </w:r>
          </w:p>
        </w:tc>
        <w:tc>
          <w:tcPr>
            <w:tcW w:w="4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rPr>
              <w:t>1,148,287,215</w:t>
            </w:r>
          </w:p>
        </w:tc>
      </w:tr>
      <w:tr>
        <w:trPr>
          <w:trHeight w:val="20"/>
        </w:trPr>
        <w:tc>
          <w:tcPr>
            <w:tcW w:w="4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64"/>
        </w:trPr>
        <w:tc>
          <w:tcPr>
            <w:tcW w:w="4720" w:type="dxa"/>
            <w:vAlign w:val="bottom"/>
          </w:tcPr>
          <w:p>
            <w:pPr>
              <w:spacing w:after="0"/>
              <w:rPr>
                <w:sz w:val="20"/>
                <w:szCs w:val="20"/>
                <w:color w:val="auto"/>
              </w:rPr>
            </w:pPr>
            <w:r>
              <w:rPr>
                <w:rFonts w:ascii="Arial" w:cs="Arial" w:eastAsia="Arial" w:hAnsi="Arial"/>
                <w:sz w:val="22"/>
                <w:szCs w:val="22"/>
                <w:b w:val="1"/>
                <w:bCs w:val="1"/>
                <w:color w:val="auto"/>
              </w:rPr>
              <w:t>Net asset value per share</w:t>
            </w:r>
          </w:p>
        </w:tc>
        <w:tc>
          <w:tcPr>
            <w:tcW w:w="8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center"/>
              <w:ind w:right="72"/>
              <w:spacing w:after="0"/>
              <w:rPr>
                <w:sz w:val="20"/>
                <w:szCs w:val="20"/>
                <w:color w:val="auto"/>
              </w:rPr>
            </w:pPr>
            <w:r>
              <w:rPr>
                <w:rFonts w:ascii="Arial" w:cs="Arial" w:eastAsia="Arial" w:hAnsi="Arial"/>
                <w:sz w:val="22"/>
                <w:szCs w:val="22"/>
                <w:color w:val="auto"/>
                <w:w w:val="81"/>
              </w:rPr>
              <w:t>$</w:t>
            </w:r>
          </w:p>
        </w:tc>
        <w:tc>
          <w:tcPr>
            <w:tcW w:w="3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2"/>
                <w:szCs w:val="22"/>
                <w:color w:val="auto"/>
              </w:rPr>
              <w:t>12.81</w:t>
            </w:r>
          </w:p>
        </w:tc>
        <w:tc>
          <w:tcPr>
            <w:tcW w:w="4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2"/>
                <w:szCs w:val="22"/>
                <w:color w:val="auto"/>
              </w:rPr>
              <w:t>12.31</w:t>
            </w:r>
          </w:p>
        </w:tc>
      </w:tr>
      <w:tr>
        <w:trPr>
          <w:trHeight w:val="20"/>
        </w:trPr>
        <w:tc>
          <w:tcPr>
            <w:tcW w:w="55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3"/>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695"/>
        </w:trPr>
        <w:tc>
          <w:tcPr>
            <w:tcW w:w="9620" w:type="dxa"/>
            <w:vAlign w:val="bottom"/>
            <w:gridSpan w:val="10"/>
          </w:tcPr>
          <w:p>
            <w:pPr>
              <w:jc w:val="center"/>
              <w:ind w:left="1472"/>
              <w:spacing w:after="0"/>
              <w:rPr>
                <w:sz w:val="20"/>
                <w:szCs w:val="20"/>
                <w:color w:val="auto"/>
              </w:rPr>
            </w:pPr>
            <w:r>
              <w:rPr>
                <w:rFonts w:ascii="Arial" w:cs="Arial" w:eastAsia="Arial" w:hAnsi="Arial"/>
                <w:sz w:val="22"/>
                <w:szCs w:val="22"/>
                <w:b w:val="1"/>
                <w:bCs w:val="1"/>
                <w:color w:val="auto"/>
                <w:w w:val="98"/>
              </w:rPr>
              <w:t>PENNANTPARK FLOATING RATE CAPITAL LTD. AND SUBSIDIARIES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43"/>
        </w:trPr>
        <w:tc>
          <w:tcPr>
            <w:tcW w:w="8280" w:type="dxa"/>
            <w:vAlign w:val="bottom"/>
            <w:gridSpan w:val="7"/>
          </w:tcPr>
          <w:p>
            <w:pPr>
              <w:jc w:val="center"/>
              <w:ind w:left="2832"/>
              <w:spacing w:after="0" w:line="243" w:lineRule="exact"/>
              <w:rPr>
                <w:sz w:val="20"/>
                <w:szCs w:val="20"/>
                <w:color w:val="auto"/>
              </w:rPr>
            </w:pPr>
            <w:r>
              <w:rPr>
                <w:rFonts w:ascii="Arial" w:cs="Arial" w:eastAsia="Arial" w:hAnsi="Arial"/>
                <w:sz w:val="22"/>
                <w:szCs w:val="22"/>
                <w:b w:val="1"/>
                <w:bCs w:val="1"/>
                <w:color w:val="auto"/>
                <w:w w:val="97"/>
              </w:rPr>
              <w:t>CONSOLIDATED STATEMENTS OF OPERATIONS</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80"/>
        </w:trPr>
        <w:tc>
          <w:tcPr>
            <w:tcW w:w="4720" w:type="dxa"/>
            <w:vAlign w:val="bottom"/>
          </w:tcPr>
          <w:p>
            <w:pPr>
              <w:spacing w:after="0"/>
              <w:rPr>
                <w:sz w:val="24"/>
                <w:szCs w:val="24"/>
                <w:color w:val="auto"/>
              </w:rPr>
            </w:pPr>
          </w:p>
        </w:tc>
        <w:tc>
          <w:tcPr>
            <w:tcW w:w="2300" w:type="dxa"/>
            <w:vAlign w:val="bottom"/>
            <w:gridSpan w:val="3"/>
          </w:tcPr>
          <w:p>
            <w:pPr>
              <w:jc w:val="center"/>
              <w:ind w:right="540"/>
              <w:spacing w:after="0"/>
              <w:rPr>
                <w:sz w:val="20"/>
                <w:szCs w:val="20"/>
                <w:color w:val="auto"/>
              </w:rPr>
            </w:pPr>
            <w:r>
              <w:rPr>
                <w:rFonts w:ascii="Arial" w:cs="Arial" w:eastAsia="Arial" w:hAnsi="Arial"/>
                <w:sz w:val="22"/>
                <w:szCs w:val="22"/>
                <w:b w:val="1"/>
                <w:bCs w:val="1"/>
                <w:color w:val="auto"/>
                <w:w w:val="91"/>
              </w:rPr>
              <w:t>(Unaudited)</w:t>
            </w: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35"/>
        </w:trPr>
        <w:tc>
          <w:tcPr>
            <w:tcW w:w="4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80" w:type="dxa"/>
            <w:vAlign w:val="bottom"/>
            <w:gridSpan w:val="4"/>
          </w:tcPr>
          <w:p>
            <w:pPr>
              <w:jc w:val="center"/>
              <w:ind w:left="272"/>
              <w:spacing w:after="0"/>
              <w:rPr>
                <w:sz w:val="20"/>
                <w:szCs w:val="20"/>
                <w:color w:val="auto"/>
              </w:rPr>
            </w:pPr>
            <w:r>
              <w:rPr>
                <w:rFonts w:ascii="Arial" w:cs="Arial" w:eastAsia="Arial" w:hAnsi="Arial"/>
                <w:sz w:val="22"/>
                <w:szCs w:val="22"/>
                <w:b w:val="1"/>
                <w:bCs w:val="1"/>
                <w:color w:val="auto"/>
                <w:w w:val="90"/>
              </w:rPr>
              <w:t>Three Months Ended</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80"/>
        </w:trPr>
        <w:tc>
          <w:tcPr>
            <w:tcW w:w="4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80" w:type="dxa"/>
            <w:vAlign w:val="bottom"/>
            <w:tcBorders>
              <w:bottom w:val="single" w:sz="8" w:color="auto"/>
            </w:tcBorders>
            <w:gridSpan w:val="4"/>
          </w:tcPr>
          <w:p>
            <w:pPr>
              <w:jc w:val="center"/>
              <w:ind w:left="252"/>
              <w:spacing w:after="0"/>
              <w:rPr>
                <w:sz w:val="20"/>
                <w:szCs w:val="20"/>
                <w:color w:val="auto"/>
              </w:rPr>
            </w:pPr>
            <w:r>
              <w:rPr>
                <w:rFonts w:ascii="Arial" w:cs="Arial" w:eastAsia="Arial" w:hAnsi="Arial"/>
                <w:sz w:val="22"/>
                <w:szCs w:val="22"/>
                <w:b w:val="1"/>
                <w:bCs w:val="1"/>
                <w:color w:val="auto"/>
                <w:w w:val="88"/>
              </w:rPr>
              <w:t>June 30,</w:t>
            </w:r>
          </w:p>
        </w:tc>
        <w:tc>
          <w:tcPr>
            <w:tcW w:w="3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tcBorders>
              <w:bottom w:val="single" w:sz="8" w:color="auto"/>
            </w:tcBorders>
            <w:gridSpan w:val="5"/>
          </w:tcPr>
          <w:p>
            <w:pPr>
              <w:jc w:val="right"/>
              <w:spacing w:after="0"/>
              <w:rPr>
                <w:sz w:val="20"/>
                <w:szCs w:val="20"/>
                <w:color w:val="auto"/>
              </w:rPr>
            </w:pPr>
            <w:r>
              <w:rPr>
                <w:rFonts w:ascii="Arial" w:cs="Arial" w:eastAsia="Arial" w:hAnsi="Arial"/>
                <w:sz w:val="22"/>
                <w:szCs w:val="22"/>
                <w:b w:val="1"/>
                <w:bCs w:val="1"/>
                <w:color w:val="auto"/>
                <w:w w:val="89"/>
              </w:rPr>
              <w:t>Nine Months Ended June 30,</w:t>
            </w:r>
          </w:p>
        </w:tc>
      </w:tr>
      <w:tr>
        <w:trPr>
          <w:trHeight w:val="267"/>
        </w:trPr>
        <w:tc>
          <w:tcPr>
            <w:tcW w:w="4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60" w:type="dxa"/>
            <w:vAlign w:val="bottom"/>
          </w:tcPr>
          <w:p>
            <w:pPr>
              <w:jc w:val="right"/>
              <w:ind w:right="292"/>
              <w:spacing w:after="0"/>
              <w:rPr>
                <w:sz w:val="20"/>
                <w:szCs w:val="20"/>
                <w:color w:val="auto"/>
              </w:rPr>
            </w:pPr>
            <w:r>
              <w:rPr>
                <w:rFonts w:ascii="Arial" w:cs="Arial" w:eastAsia="Arial" w:hAnsi="Arial"/>
                <w:sz w:val="22"/>
                <w:szCs w:val="22"/>
                <w:b w:val="1"/>
                <w:bCs w:val="1"/>
                <w:color w:val="auto"/>
              </w:rPr>
              <w:t>2021</w:t>
            </w:r>
          </w:p>
        </w:tc>
        <w:tc>
          <w:tcPr>
            <w:tcW w:w="220" w:type="dxa"/>
            <w:vAlign w:val="bottom"/>
          </w:tcPr>
          <w:p>
            <w:pPr>
              <w:spacing w:after="0"/>
              <w:rPr>
                <w:sz w:val="23"/>
                <w:szCs w:val="23"/>
                <w:color w:val="auto"/>
              </w:rPr>
            </w:pPr>
          </w:p>
        </w:tc>
        <w:tc>
          <w:tcPr>
            <w:tcW w:w="900" w:type="dxa"/>
            <w:vAlign w:val="bottom"/>
            <w:gridSpan w:val="2"/>
          </w:tcPr>
          <w:p>
            <w:pPr>
              <w:jc w:val="center"/>
              <w:ind w:left="252"/>
              <w:spacing w:after="0"/>
              <w:rPr>
                <w:sz w:val="20"/>
                <w:szCs w:val="20"/>
                <w:color w:val="auto"/>
              </w:rPr>
            </w:pPr>
            <w:r>
              <w:rPr>
                <w:rFonts w:ascii="Arial" w:cs="Arial" w:eastAsia="Arial" w:hAnsi="Arial"/>
                <w:sz w:val="22"/>
                <w:szCs w:val="22"/>
                <w:b w:val="1"/>
                <w:bCs w:val="1"/>
                <w:color w:val="auto"/>
                <w:w w:val="85"/>
              </w:rPr>
              <w:t>2020</w:t>
            </w: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22"/>
                <w:szCs w:val="22"/>
                <w:b w:val="1"/>
                <w:bCs w:val="1"/>
                <w:color w:val="auto"/>
              </w:rPr>
              <w:t>2021</w:t>
            </w:r>
          </w:p>
        </w:tc>
        <w:tc>
          <w:tcPr>
            <w:tcW w:w="120" w:type="dxa"/>
            <w:vAlign w:val="bottom"/>
          </w:tcPr>
          <w:p>
            <w:pPr>
              <w:spacing w:after="0"/>
              <w:rPr>
                <w:sz w:val="23"/>
                <w:szCs w:val="23"/>
                <w:color w:val="auto"/>
              </w:rPr>
            </w:pPr>
          </w:p>
        </w:tc>
        <w:tc>
          <w:tcPr>
            <w:tcW w:w="1480" w:type="dxa"/>
            <w:vAlign w:val="bottom"/>
            <w:gridSpan w:val="2"/>
          </w:tcPr>
          <w:p>
            <w:pPr>
              <w:jc w:val="right"/>
              <w:ind w:right="312"/>
              <w:spacing w:after="0"/>
              <w:rPr>
                <w:sz w:val="20"/>
                <w:szCs w:val="20"/>
                <w:color w:val="auto"/>
              </w:rPr>
            </w:pPr>
            <w:r>
              <w:rPr>
                <w:rFonts w:ascii="Arial" w:cs="Arial" w:eastAsia="Arial" w:hAnsi="Arial"/>
                <w:sz w:val="22"/>
                <w:szCs w:val="22"/>
                <w:b w:val="1"/>
                <w:bCs w:val="1"/>
                <w:color w:val="auto"/>
              </w:rPr>
              <w:t>2020</w:t>
            </w:r>
          </w:p>
        </w:tc>
      </w:tr>
      <w:tr>
        <w:trPr>
          <w:trHeight w:val="256"/>
        </w:trPr>
        <w:tc>
          <w:tcPr>
            <w:tcW w:w="4720" w:type="dxa"/>
            <w:vAlign w:val="bottom"/>
          </w:tcPr>
          <w:p>
            <w:pPr>
              <w:spacing w:after="0"/>
              <w:rPr>
                <w:sz w:val="20"/>
                <w:szCs w:val="20"/>
                <w:color w:val="auto"/>
              </w:rPr>
            </w:pPr>
            <w:r>
              <w:rPr>
                <w:rFonts w:ascii="Arial" w:cs="Arial" w:eastAsia="Arial" w:hAnsi="Arial"/>
                <w:sz w:val="22"/>
                <w:szCs w:val="22"/>
                <w:b w:val="1"/>
                <w:bCs w:val="1"/>
                <w:color w:val="auto"/>
              </w:rPr>
              <w:t>Investment income:</w:t>
            </w:r>
          </w:p>
        </w:tc>
        <w:tc>
          <w:tcPr>
            <w:tcW w:w="820" w:type="dxa"/>
            <w:vAlign w:val="bottom"/>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r>
      <w:tr>
        <w:trPr>
          <w:trHeight w:val="270"/>
        </w:trPr>
        <w:tc>
          <w:tcPr>
            <w:tcW w:w="4720" w:type="dxa"/>
            <w:vAlign w:val="bottom"/>
          </w:tcPr>
          <w:p>
            <w:pPr>
              <w:spacing w:after="0"/>
              <w:rPr>
                <w:sz w:val="20"/>
                <w:szCs w:val="20"/>
                <w:color w:val="auto"/>
              </w:rPr>
            </w:pPr>
            <w:r>
              <w:rPr>
                <w:rFonts w:ascii="Arial" w:cs="Arial" w:eastAsia="Arial" w:hAnsi="Arial"/>
                <w:sz w:val="22"/>
                <w:szCs w:val="22"/>
                <w:color w:val="auto"/>
              </w:rPr>
              <w:t>From non-controlled, non-affiliated investments:</w:t>
            </w:r>
          </w:p>
        </w:tc>
        <w:tc>
          <w:tcPr>
            <w:tcW w:w="8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4720" w:type="dxa"/>
            <w:vAlign w:val="bottom"/>
          </w:tcPr>
          <w:p>
            <w:pPr>
              <w:ind w:left="260"/>
              <w:spacing w:after="0"/>
              <w:rPr>
                <w:sz w:val="20"/>
                <w:szCs w:val="20"/>
                <w:color w:val="auto"/>
              </w:rPr>
            </w:pPr>
            <w:r>
              <w:rPr>
                <w:rFonts w:ascii="Arial" w:cs="Arial" w:eastAsia="Arial" w:hAnsi="Arial"/>
                <w:sz w:val="22"/>
                <w:szCs w:val="22"/>
                <w:color w:val="auto"/>
              </w:rPr>
              <w:t>Interest</w:t>
            </w:r>
          </w:p>
        </w:tc>
        <w:tc>
          <w:tcPr>
            <w:tcW w:w="2080" w:type="dxa"/>
            <w:vAlign w:val="bottom"/>
            <w:gridSpan w:val="2"/>
          </w:tcPr>
          <w:p>
            <w:pPr>
              <w:jc w:val="right"/>
              <w:spacing w:after="0"/>
              <w:rPr>
                <w:sz w:val="20"/>
                <w:szCs w:val="20"/>
                <w:color w:val="auto"/>
              </w:rPr>
            </w:pPr>
            <w:r>
              <w:rPr>
                <w:rFonts w:ascii="Arial" w:cs="Arial" w:eastAsia="Arial" w:hAnsi="Arial"/>
                <w:sz w:val="22"/>
                <w:szCs w:val="22"/>
                <w:color w:val="auto"/>
              </w:rPr>
              <w:t>$  14,494,948</w:t>
            </w:r>
          </w:p>
        </w:tc>
        <w:tc>
          <w:tcPr>
            <w:tcW w:w="220" w:type="dxa"/>
            <w:vAlign w:val="bottom"/>
          </w:tcPr>
          <w:p>
            <w:pPr>
              <w:spacing w:after="0"/>
              <w:rPr>
                <w:sz w:val="23"/>
                <w:szCs w:val="23"/>
                <w:color w:val="auto"/>
              </w:rPr>
            </w:pPr>
          </w:p>
        </w:tc>
        <w:tc>
          <w:tcPr>
            <w:tcW w:w="1260" w:type="dxa"/>
            <w:vAlign w:val="bottom"/>
            <w:gridSpan w:val="3"/>
          </w:tcPr>
          <w:p>
            <w:pPr>
              <w:jc w:val="right"/>
              <w:spacing w:after="0"/>
              <w:rPr>
                <w:sz w:val="20"/>
                <w:szCs w:val="20"/>
                <w:color w:val="auto"/>
              </w:rPr>
            </w:pPr>
            <w:r>
              <w:rPr>
                <w:rFonts w:ascii="Arial" w:cs="Arial" w:eastAsia="Arial" w:hAnsi="Arial"/>
                <w:sz w:val="22"/>
                <w:szCs w:val="22"/>
                <w:color w:val="auto"/>
                <w:w w:val="90"/>
              </w:rPr>
              <w:t>$  17,543,157</w:t>
            </w:r>
          </w:p>
        </w:tc>
        <w:tc>
          <w:tcPr>
            <w:tcW w:w="1460" w:type="dxa"/>
            <w:vAlign w:val="bottom"/>
            <w:gridSpan w:val="4"/>
          </w:tcPr>
          <w:p>
            <w:pPr>
              <w:jc w:val="right"/>
              <w:spacing w:after="0"/>
              <w:rPr>
                <w:sz w:val="20"/>
                <w:szCs w:val="20"/>
                <w:color w:val="auto"/>
              </w:rPr>
            </w:pPr>
            <w:r>
              <w:rPr>
                <w:rFonts w:ascii="Arial" w:cs="Arial" w:eastAsia="Arial" w:hAnsi="Arial"/>
                <w:sz w:val="22"/>
                <w:szCs w:val="22"/>
                <w:color w:val="auto"/>
              </w:rPr>
              <w:t>$  43,520,917</w:t>
            </w:r>
          </w:p>
        </w:tc>
        <w:tc>
          <w:tcPr>
            <w:tcW w:w="1480" w:type="dxa"/>
            <w:vAlign w:val="bottom"/>
            <w:gridSpan w:val="2"/>
          </w:tcPr>
          <w:p>
            <w:pPr>
              <w:jc w:val="right"/>
              <w:spacing w:after="0"/>
              <w:rPr>
                <w:sz w:val="20"/>
                <w:szCs w:val="20"/>
                <w:color w:val="auto"/>
              </w:rPr>
            </w:pPr>
            <w:r>
              <w:rPr>
                <w:rFonts w:ascii="Arial" w:cs="Arial" w:eastAsia="Arial" w:hAnsi="Arial"/>
                <w:sz w:val="22"/>
                <w:szCs w:val="22"/>
                <w:color w:val="auto"/>
              </w:rPr>
              <w:t>$  56,760,434</w:t>
            </w:r>
          </w:p>
        </w:tc>
      </w:tr>
      <w:tr>
        <w:trPr>
          <w:trHeight w:val="270"/>
        </w:trPr>
        <w:tc>
          <w:tcPr>
            <w:tcW w:w="4720" w:type="dxa"/>
            <w:vAlign w:val="bottom"/>
          </w:tcPr>
          <w:p>
            <w:pPr>
              <w:ind w:left="260"/>
              <w:spacing w:after="0"/>
              <w:rPr>
                <w:sz w:val="20"/>
                <w:szCs w:val="20"/>
                <w:color w:val="auto"/>
              </w:rPr>
            </w:pPr>
            <w:r>
              <w:rPr>
                <w:rFonts w:ascii="Arial" w:cs="Arial" w:eastAsia="Arial" w:hAnsi="Arial"/>
                <w:sz w:val="22"/>
                <w:szCs w:val="22"/>
                <w:color w:val="auto"/>
              </w:rPr>
              <w:t>Other income</w:t>
            </w:r>
          </w:p>
        </w:tc>
        <w:tc>
          <w:tcPr>
            <w:tcW w:w="2080" w:type="dxa"/>
            <w:vAlign w:val="bottom"/>
            <w:gridSpan w:val="2"/>
          </w:tcPr>
          <w:p>
            <w:pPr>
              <w:jc w:val="right"/>
              <w:spacing w:after="0"/>
              <w:rPr>
                <w:sz w:val="20"/>
                <w:szCs w:val="20"/>
                <w:color w:val="auto"/>
              </w:rPr>
            </w:pPr>
            <w:r>
              <w:rPr>
                <w:rFonts w:ascii="Arial" w:cs="Arial" w:eastAsia="Arial" w:hAnsi="Arial"/>
                <w:sz w:val="22"/>
                <w:szCs w:val="22"/>
                <w:color w:val="auto"/>
              </w:rPr>
              <w:t>1,161,193</w:t>
            </w:r>
          </w:p>
        </w:tc>
        <w:tc>
          <w:tcPr>
            <w:tcW w:w="220" w:type="dxa"/>
            <w:vAlign w:val="bottom"/>
          </w:tcPr>
          <w:p>
            <w:pPr>
              <w:spacing w:after="0"/>
              <w:rPr>
                <w:sz w:val="23"/>
                <w:szCs w:val="23"/>
                <w:color w:val="auto"/>
              </w:rPr>
            </w:pPr>
          </w:p>
        </w:tc>
        <w:tc>
          <w:tcPr>
            <w:tcW w:w="1260" w:type="dxa"/>
            <w:vAlign w:val="bottom"/>
            <w:gridSpan w:val="3"/>
          </w:tcPr>
          <w:p>
            <w:pPr>
              <w:jc w:val="right"/>
              <w:spacing w:after="0"/>
              <w:rPr>
                <w:sz w:val="20"/>
                <w:szCs w:val="20"/>
                <w:color w:val="auto"/>
              </w:rPr>
            </w:pPr>
            <w:r>
              <w:rPr>
                <w:rFonts w:ascii="Arial" w:cs="Arial" w:eastAsia="Arial" w:hAnsi="Arial"/>
                <w:sz w:val="22"/>
                <w:szCs w:val="22"/>
                <w:color w:val="auto"/>
              </w:rPr>
              <w:t>820,997</w:t>
            </w:r>
          </w:p>
        </w:tc>
        <w:tc>
          <w:tcPr>
            <w:tcW w:w="1460" w:type="dxa"/>
            <w:vAlign w:val="bottom"/>
            <w:gridSpan w:val="4"/>
          </w:tcPr>
          <w:p>
            <w:pPr>
              <w:jc w:val="right"/>
              <w:spacing w:after="0"/>
              <w:rPr>
                <w:sz w:val="20"/>
                <w:szCs w:val="20"/>
                <w:color w:val="auto"/>
              </w:rPr>
            </w:pPr>
            <w:r>
              <w:rPr>
                <w:rFonts w:ascii="Arial" w:cs="Arial" w:eastAsia="Arial" w:hAnsi="Arial"/>
                <w:sz w:val="22"/>
                <w:szCs w:val="22"/>
                <w:color w:val="auto"/>
              </w:rPr>
              <w:t>2,533,741</w:t>
            </w:r>
          </w:p>
        </w:tc>
        <w:tc>
          <w:tcPr>
            <w:tcW w:w="1480" w:type="dxa"/>
            <w:vAlign w:val="bottom"/>
            <w:gridSpan w:val="2"/>
          </w:tcPr>
          <w:p>
            <w:pPr>
              <w:jc w:val="right"/>
              <w:spacing w:after="0"/>
              <w:rPr>
                <w:sz w:val="20"/>
                <w:szCs w:val="20"/>
                <w:color w:val="auto"/>
              </w:rPr>
            </w:pPr>
            <w:r>
              <w:rPr>
                <w:rFonts w:ascii="Arial" w:cs="Arial" w:eastAsia="Arial" w:hAnsi="Arial"/>
                <w:sz w:val="22"/>
                <w:szCs w:val="22"/>
                <w:color w:val="auto"/>
              </w:rPr>
              <w:t>2,734,600</w:t>
            </w:r>
          </w:p>
        </w:tc>
      </w:tr>
      <w:tr>
        <w:trPr>
          <w:trHeight w:val="270"/>
        </w:trPr>
        <w:tc>
          <w:tcPr>
            <w:tcW w:w="4720" w:type="dxa"/>
            <w:vAlign w:val="bottom"/>
          </w:tcPr>
          <w:p>
            <w:pPr>
              <w:spacing w:after="0"/>
              <w:rPr>
                <w:sz w:val="20"/>
                <w:szCs w:val="20"/>
                <w:color w:val="auto"/>
              </w:rPr>
            </w:pPr>
            <w:r>
              <w:rPr>
                <w:rFonts w:ascii="Arial" w:cs="Arial" w:eastAsia="Arial" w:hAnsi="Arial"/>
                <w:sz w:val="22"/>
                <w:szCs w:val="22"/>
                <w:color w:val="auto"/>
              </w:rPr>
              <w:t>From non-controlled, affiliated investments:</w:t>
            </w:r>
          </w:p>
        </w:tc>
        <w:tc>
          <w:tcPr>
            <w:tcW w:w="8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4720" w:type="dxa"/>
            <w:vAlign w:val="bottom"/>
          </w:tcPr>
          <w:p>
            <w:pPr>
              <w:ind w:left="260"/>
              <w:spacing w:after="0"/>
              <w:rPr>
                <w:sz w:val="20"/>
                <w:szCs w:val="20"/>
                <w:color w:val="auto"/>
              </w:rPr>
            </w:pPr>
            <w:r>
              <w:rPr>
                <w:rFonts w:ascii="Arial" w:cs="Arial" w:eastAsia="Arial" w:hAnsi="Arial"/>
                <w:sz w:val="22"/>
                <w:szCs w:val="22"/>
                <w:color w:val="auto"/>
              </w:rPr>
              <w:t>Interest</w:t>
            </w:r>
          </w:p>
        </w:tc>
        <w:tc>
          <w:tcPr>
            <w:tcW w:w="82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1260" w:type="dxa"/>
            <w:vAlign w:val="bottom"/>
            <w:gridSpan w:val="3"/>
          </w:tcPr>
          <w:p>
            <w:pPr>
              <w:jc w:val="right"/>
              <w:spacing w:after="0"/>
              <w:rPr>
                <w:sz w:val="20"/>
                <w:szCs w:val="20"/>
                <w:color w:val="auto"/>
              </w:rPr>
            </w:pPr>
            <w:r>
              <w:rPr>
                <w:rFonts w:ascii="Arial" w:cs="Arial" w:eastAsia="Arial" w:hAnsi="Arial"/>
                <w:sz w:val="22"/>
                <w:szCs w:val="22"/>
                <w:color w:val="auto"/>
              </w:rPr>
              <w:t>195,904</w:t>
            </w:r>
          </w:p>
        </w:tc>
        <w:tc>
          <w:tcPr>
            <w:tcW w:w="1460" w:type="dxa"/>
            <w:vAlign w:val="bottom"/>
            <w:gridSpan w:val="4"/>
          </w:tcPr>
          <w:p>
            <w:pPr>
              <w:jc w:val="right"/>
              <w:spacing w:after="0"/>
              <w:rPr>
                <w:sz w:val="20"/>
                <w:szCs w:val="20"/>
                <w:color w:val="auto"/>
              </w:rPr>
            </w:pPr>
            <w:r>
              <w:rPr>
                <w:rFonts w:ascii="Arial" w:cs="Arial" w:eastAsia="Arial" w:hAnsi="Arial"/>
                <w:sz w:val="22"/>
                <w:szCs w:val="22"/>
                <w:color w:val="auto"/>
              </w:rPr>
              <w:t>279,900</w:t>
            </w:r>
          </w:p>
        </w:tc>
        <w:tc>
          <w:tcPr>
            <w:tcW w:w="1480" w:type="dxa"/>
            <w:vAlign w:val="bottom"/>
            <w:gridSpan w:val="2"/>
          </w:tcPr>
          <w:p>
            <w:pPr>
              <w:jc w:val="right"/>
              <w:spacing w:after="0"/>
              <w:rPr>
                <w:sz w:val="20"/>
                <w:szCs w:val="20"/>
                <w:color w:val="auto"/>
              </w:rPr>
            </w:pPr>
            <w:r>
              <w:rPr>
                <w:rFonts w:ascii="Arial" w:cs="Arial" w:eastAsia="Arial" w:hAnsi="Arial"/>
                <w:sz w:val="22"/>
                <w:szCs w:val="22"/>
                <w:color w:val="auto"/>
              </w:rPr>
              <w:t>655,029</w:t>
            </w:r>
          </w:p>
        </w:tc>
      </w:tr>
      <w:tr>
        <w:trPr>
          <w:trHeight w:val="270"/>
        </w:trPr>
        <w:tc>
          <w:tcPr>
            <w:tcW w:w="4720" w:type="dxa"/>
            <w:vAlign w:val="bottom"/>
          </w:tcPr>
          <w:p>
            <w:pPr>
              <w:ind w:left="260"/>
              <w:spacing w:after="0"/>
              <w:rPr>
                <w:sz w:val="20"/>
                <w:szCs w:val="20"/>
                <w:color w:val="auto"/>
              </w:rPr>
            </w:pPr>
            <w:r>
              <w:rPr>
                <w:rFonts w:ascii="Arial" w:cs="Arial" w:eastAsia="Arial" w:hAnsi="Arial"/>
                <w:sz w:val="22"/>
                <w:szCs w:val="22"/>
                <w:color w:val="auto"/>
              </w:rPr>
              <w:t>Other income</w:t>
            </w:r>
          </w:p>
        </w:tc>
        <w:tc>
          <w:tcPr>
            <w:tcW w:w="82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1260" w:type="dxa"/>
            <w:vAlign w:val="bottom"/>
            <w:gridSpan w:val="3"/>
          </w:tcPr>
          <w:p>
            <w:pPr>
              <w:jc w:val="right"/>
              <w:spacing w:after="0"/>
              <w:rPr>
                <w:sz w:val="20"/>
                <w:szCs w:val="20"/>
                <w:color w:val="auto"/>
              </w:rPr>
            </w:pPr>
            <w:r>
              <w:rPr>
                <w:rFonts w:ascii="Arial" w:cs="Arial" w:eastAsia="Arial" w:hAnsi="Arial"/>
                <w:sz w:val="22"/>
                <w:szCs w:val="22"/>
                <w:color w:val="auto"/>
              </w:rPr>
              <w:t>36,170</w:t>
            </w:r>
          </w:p>
        </w:tc>
        <w:tc>
          <w:tcPr>
            <w:tcW w:w="1460" w:type="dxa"/>
            <w:vAlign w:val="bottom"/>
            <w:gridSpan w:val="4"/>
          </w:tcPr>
          <w:p>
            <w:pPr>
              <w:jc w:val="right"/>
              <w:spacing w:after="0"/>
              <w:rPr>
                <w:sz w:val="20"/>
                <w:szCs w:val="20"/>
                <w:color w:val="auto"/>
              </w:rPr>
            </w:pPr>
            <w:r>
              <w:rPr>
                <w:rFonts w:ascii="Arial" w:cs="Arial" w:eastAsia="Arial" w:hAnsi="Arial"/>
                <w:sz w:val="22"/>
                <w:szCs w:val="22"/>
                <w:color w:val="auto"/>
              </w:rPr>
              <w:t>122,570</w:t>
            </w:r>
          </w:p>
        </w:tc>
        <w:tc>
          <w:tcPr>
            <w:tcW w:w="1480" w:type="dxa"/>
            <w:vAlign w:val="bottom"/>
            <w:gridSpan w:val="2"/>
          </w:tcPr>
          <w:p>
            <w:pPr>
              <w:jc w:val="right"/>
              <w:spacing w:after="0"/>
              <w:rPr>
                <w:sz w:val="20"/>
                <w:szCs w:val="20"/>
                <w:color w:val="auto"/>
              </w:rPr>
            </w:pPr>
            <w:r>
              <w:rPr>
                <w:rFonts w:ascii="Arial" w:cs="Arial" w:eastAsia="Arial" w:hAnsi="Arial"/>
                <w:sz w:val="22"/>
                <w:szCs w:val="22"/>
                <w:color w:val="auto"/>
              </w:rPr>
              <w:t>36,170</w:t>
            </w:r>
          </w:p>
        </w:tc>
      </w:tr>
      <w:tr>
        <w:trPr>
          <w:trHeight w:val="270"/>
        </w:trPr>
        <w:tc>
          <w:tcPr>
            <w:tcW w:w="4720" w:type="dxa"/>
            <w:vAlign w:val="bottom"/>
          </w:tcPr>
          <w:p>
            <w:pPr>
              <w:spacing w:after="0"/>
              <w:rPr>
                <w:sz w:val="20"/>
                <w:szCs w:val="20"/>
                <w:color w:val="auto"/>
              </w:rPr>
            </w:pPr>
            <w:r>
              <w:rPr>
                <w:rFonts w:ascii="Arial" w:cs="Arial" w:eastAsia="Arial" w:hAnsi="Arial"/>
                <w:sz w:val="22"/>
                <w:szCs w:val="22"/>
                <w:color w:val="auto"/>
              </w:rPr>
              <w:t>From controlled, affiliated investments:</w:t>
            </w:r>
          </w:p>
        </w:tc>
        <w:tc>
          <w:tcPr>
            <w:tcW w:w="8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4720" w:type="dxa"/>
            <w:vAlign w:val="bottom"/>
          </w:tcPr>
          <w:p>
            <w:pPr>
              <w:ind w:left="260"/>
              <w:spacing w:after="0"/>
              <w:rPr>
                <w:sz w:val="20"/>
                <w:szCs w:val="20"/>
                <w:color w:val="auto"/>
              </w:rPr>
            </w:pPr>
            <w:r>
              <w:rPr>
                <w:rFonts w:ascii="Arial" w:cs="Arial" w:eastAsia="Arial" w:hAnsi="Arial"/>
                <w:sz w:val="22"/>
                <w:szCs w:val="22"/>
                <w:color w:val="auto"/>
              </w:rPr>
              <w:t>Interest</w:t>
            </w:r>
          </w:p>
        </w:tc>
        <w:tc>
          <w:tcPr>
            <w:tcW w:w="2080" w:type="dxa"/>
            <w:vAlign w:val="bottom"/>
            <w:gridSpan w:val="2"/>
          </w:tcPr>
          <w:p>
            <w:pPr>
              <w:jc w:val="right"/>
              <w:spacing w:after="0"/>
              <w:rPr>
                <w:sz w:val="20"/>
                <w:szCs w:val="20"/>
                <w:color w:val="auto"/>
              </w:rPr>
            </w:pPr>
            <w:r>
              <w:rPr>
                <w:rFonts w:ascii="Arial" w:cs="Arial" w:eastAsia="Arial" w:hAnsi="Arial"/>
                <w:sz w:val="22"/>
                <w:szCs w:val="22"/>
                <w:color w:val="auto"/>
              </w:rPr>
              <w:t>2,931,015</w:t>
            </w:r>
          </w:p>
        </w:tc>
        <w:tc>
          <w:tcPr>
            <w:tcW w:w="220" w:type="dxa"/>
            <w:vAlign w:val="bottom"/>
          </w:tcPr>
          <w:p>
            <w:pPr>
              <w:spacing w:after="0"/>
              <w:rPr>
                <w:sz w:val="23"/>
                <w:szCs w:val="23"/>
                <w:color w:val="auto"/>
              </w:rPr>
            </w:pPr>
          </w:p>
        </w:tc>
        <w:tc>
          <w:tcPr>
            <w:tcW w:w="1260" w:type="dxa"/>
            <w:vAlign w:val="bottom"/>
            <w:gridSpan w:val="3"/>
          </w:tcPr>
          <w:p>
            <w:pPr>
              <w:jc w:val="right"/>
              <w:spacing w:after="0"/>
              <w:rPr>
                <w:sz w:val="20"/>
                <w:szCs w:val="20"/>
                <w:color w:val="auto"/>
              </w:rPr>
            </w:pPr>
            <w:r>
              <w:rPr>
                <w:rFonts w:ascii="Arial" w:cs="Arial" w:eastAsia="Arial" w:hAnsi="Arial"/>
                <w:sz w:val="22"/>
                <w:szCs w:val="22"/>
                <w:color w:val="auto"/>
              </w:rPr>
              <w:t>2,944,290</w:t>
            </w:r>
          </w:p>
        </w:tc>
        <w:tc>
          <w:tcPr>
            <w:tcW w:w="1460" w:type="dxa"/>
            <w:vAlign w:val="bottom"/>
            <w:gridSpan w:val="4"/>
          </w:tcPr>
          <w:p>
            <w:pPr>
              <w:jc w:val="right"/>
              <w:spacing w:after="0"/>
              <w:rPr>
                <w:sz w:val="20"/>
                <w:szCs w:val="20"/>
                <w:color w:val="auto"/>
              </w:rPr>
            </w:pPr>
            <w:r>
              <w:rPr>
                <w:rFonts w:ascii="Arial" w:cs="Arial" w:eastAsia="Arial" w:hAnsi="Arial"/>
                <w:sz w:val="22"/>
                <w:szCs w:val="22"/>
                <w:color w:val="auto"/>
              </w:rPr>
              <w:t>8,252,910</w:t>
            </w:r>
          </w:p>
        </w:tc>
        <w:tc>
          <w:tcPr>
            <w:tcW w:w="1480" w:type="dxa"/>
            <w:vAlign w:val="bottom"/>
            <w:gridSpan w:val="2"/>
          </w:tcPr>
          <w:p>
            <w:pPr>
              <w:jc w:val="right"/>
              <w:spacing w:after="0"/>
              <w:rPr>
                <w:sz w:val="20"/>
                <w:szCs w:val="20"/>
                <w:color w:val="auto"/>
              </w:rPr>
            </w:pPr>
            <w:r>
              <w:rPr>
                <w:rFonts w:ascii="Arial" w:cs="Arial" w:eastAsia="Arial" w:hAnsi="Arial"/>
                <w:sz w:val="22"/>
                <w:szCs w:val="22"/>
                <w:color w:val="auto"/>
              </w:rPr>
              <w:t>9,169,399</w:t>
            </w:r>
          </w:p>
        </w:tc>
      </w:tr>
      <w:tr>
        <w:trPr>
          <w:trHeight w:val="270"/>
        </w:trPr>
        <w:tc>
          <w:tcPr>
            <w:tcW w:w="4720" w:type="dxa"/>
            <w:vAlign w:val="bottom"/>
          </w:tcPr>
          <w:p>
            <w:pPr>
              <w:ind w:left="260"/>
              <w:spacing w:after="0"/>
              <w:rPr>
                <w:sz w:val="20"/>
                <w:szCs w:val="20"/>
                <w:color w:val="auto"/>
              </w:rPr>
            </w:pPr>
            <w:r>
              <w:rPr>
                <w:rFonts w:ascii="Arial" w:cs="Arial" w:eastAsia="Arial" w:hAnsi="Arial"/>
                <w:sz w:val="22"/>
                <w:szCs w:val="22"/>
                <w:color w:val="auto"/>
              </w:rPr>
              <w:t>Dividend</w:t>
            </w:r>
          </w:p>
        </w:tc>
        <w:tc>
          <w:tcPr>
            <w:tcW w:w="2080" w:type="dxa"/>
            <w:vAlign w:val="bottom"/>
            <w:gridSpan w:val="2"/>
          </w:tcPr>
          <w:p>
            <w:pPr>
              <w:jc w:val="right"/>
              <w:spacing w:after="0"/>
              <w:rPr>
                <w:sz w:val="20"/>
                <w:szCs w:val="20"/>
                <w:color w:val="auto"/>
              </w:rPr>
            </w:pPr>
            <w:r>
              <w:rPr>
                <w:rFonts w:ascii="Arial" w:cs="Arial" w:eastAsia="Arial" w:hAnsi="Arial"/>
                <w:sz w:val="22"/>
                <w:szCs w:val="22"/>
                <w:color w:val="auto"/>
              </w:rPr>
              <w:t>2,318,750</w:t>
            </w:r>
          </w:p>
        </w:tc>
        <w:tc>
          <w:tcPr>
            <w:tcW w:w="220" w:type="dxa"/>
            <w:vAlign w:val="bottom"/>
          </w:tcPr>
          <w:p>
            <w:pPr>
              <w:spacing w:after="0"/>
              <w:rPr>
                <w:sz w:val="23"/>
                <w:szCs w:val="23"/>
                <w:color w:val="auto"/>
              </w:rPr>
            </w:pPr>
          </w:p>
        </w:tc>
        <w:tc>
          <w:tcPr>
            <w:tcW w:w="1260" w:type="dxa"/>
            <w:vAlign w:val="bottom"/>
            <w:gridSpan w:val="3"/>
          </w:tcPr>
          <w:p>
            <w:pPr>
              <w:jc w:val="right"/>
              <w:spacing w:after="0"/>
              <w:rPr>
                <w:sz w:val="20"/>
                <w:szCs w:val="20"/>
                <w:color w:val="auto"/>
              </w:rPr>
            </w:pPr>
            <w:r>
              <w:rPr>
                <w:rFonts w:ascii="Arial" w:cs="Arial" w:eastAsia="Arial" w:hAnsi="Arial"/>
                <w:sz w:val="22"/>
                <w:szCs w:val="22"/>
                <w:color w:val="auto"/>
              </w:rPr>
              <w:t>1,225,000</w:t>
            </w:r>
          </w:p>
        </w:tc>
        <w:tc>
          <w:tcPr>
            <w:tcW w:w="1460" w:type="dxa"/>
            <w:vAlign w:val="bottom"/>
            <w:gridSpan w:val="4"/>
          </w:tcPr>
          <w:p>
            <w:pPr>
              <w:jc w:val="right"/>
              <w:spacing w:after="0"/>
              <w:rPr>
                <w:sz w:val="20"/>
                <w:szCs w:val="20"/>
                <w:color w:val="auto"/>
              </w:rPr>
            </w:pPr>
            <w:r>
              <w:rPr>
                <w:rFonts w:ascii="Arial" w:cs="Arial" w:eastAsia="Arial" w:hAnsi="Arial"/>
                <w:sz w:val="22"/>
                <w:szCs w:val="22"/>
                <w:color w:val="auto"/>
              </w:rPr>
              <w:t>6,168,750</w:t>
            </w:r>
          </w:p>
        </w:tc>
        <w:tc>
          <w:tcPr>
            <w:tcW w:w="1480" w:type="dxa"/>
            <w:vAlign w:val="bottom"/>
            <w:gridSpan w:val="2"/>
          </w:tcPr>
          <w:p>
            <w:pPr>
              <w:jc w:val="right"/>
              <w:spacing w:after="0"/>
              <w:rPr>
                <w:sz w:val="20"/>
                <w:szCs w:val="20"/>
                <w:color w:val="auto"/>
              </w:rPr>
            </w:pPr>
            <w:r>
              <w:rPr>
                <w:rFonts w:ascii="Arial" w:cs="Arial" w:eastAsia="Arial" w:hAnsi="Arial"/>
                <w:sz w:val="22"/>
                <w:szCs w:val="22"/>
                <w:color w:val="auto"/>
              </w:rPr>
              <w:t>4,375,000</w:t>
            </w:r>
          </w:p>
        </w:tc>
      </w:tr>
      <w:tr>
        <w:trPr>
          <w:trHeight w:val="274"/>
        </w:trPr>
        <w:tc>
          <w:tcPr>
            <w:tcW w:w="4720" w:type="dxa"/>
            <w:vAlign w:val="bottom"/>
          </w:tcPr>
          <w:p>
            <w:pPr>
              <w:ind w:left="260"/>
              <w:spacing w:after="0"/>
              <w:rPr>
                <w:sz w:val="20"/>
                <w:szCs w:val="20"/>
                <w:color w:val="auto"/>
              </w:rPr>
            </w:pPr>
            <w:r>
              <w:rPr>
                <w:rFonts w:ascii="Arial" w:cs="Arial" w:eastAsia="Arial" w:hAnsi="Arial"/>
                <w:sz w:val="22"/>
                <w:szCs w:val="22"/>
                <w:color w:val="auto"/>
              </w:rPr>
              <w:t>Other income</w:t>
            </w:r>
          </w:p>
        </w:tc>
        <w:tc>
          <w:tcPr>
            <w:tcW w:w="82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22"/>
                <w:szCs w:val="22"/>
                <w:color w:val="auto"/>
              </w:rPr>
              <w:t>—</w:t>
            </w:r>
          </w:p>
        </w:tc>
        <w:tc>
          <w:tcPr>
            <w:tcW w:w="1460" w:type="dxa"/>
            <w:vAlign w:val="bottom"/>
            <w:gridSpan w:val="4"/>
          </w:tcPr>
          <w:p>
            <w:pPr>
              <w:jc w:val="right"/>
              <w:spacing w:after="0"/>
              <w:rPr>
                <w:sz w:val="20"/>
                <w:szCs w:val="20"/>
                <w:color w:val="auto"/>
              </w:rPr>
            </w:pPr>
            <w:r>
              <w:rPr>
                <w:rFonts w:ascii="Arial" w:cs="Arial" w:eastAsia="Arial" w:hAnsi="Arial"/>
                <w:sz w:val="22"/>
                <w:szCs w:val="22"/>
                <w:color w:val="auto"/>
              </w:rPr>
              <w:t>195,630</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67"/>
        </w:trPr>
        <w:tc>
          <w:tcPr>
            <w:tcW w:w="4720" w:type="dxa"/>
            <w:vAlign w:val="bottom"/>
          </w:tcPr>
          <w:p>
            <w:pPr>
              <w:ind w:left="260"/>
              <w:spacing w:after="0"/>
              <w:rPr>
                <w:sz w:val="20"/>
                <w:szCs w:val="20"/>
                <w:color w:val="auto"/>
              </w:rPr>
            </w:pPr>
            <w:r>
              <w:rPr>
                <w:rFonts w:ascii="Arial" w:cs="Arial" w:eastAsia="Arial" w:hAnsi="Arial"/>
                <w:sz w:val="22"/>
                <w:szCs w:val="22"/>
                <w:b w:val="1"/>
                <w:bCs w:val="1"/>
                <w:color w:val="auto"/>
              </w:rPr>
              <w:t>Total investment income</w:t>
            </w:r>
          </w:p>
        </w:tc>
        <w:tc>
          <w:tcPr>
            <w:tcW w:w="820" w:type="dxa"/>
            <w:vAlign w:val="bottom"/>
          </w:tcPr>
          <w:p>
            <w:pPr>
              <w:spacing w:after="0"/>
              <w:rPr>
                <w:sz w:val="23"/>
                <w:szCs w:val="23"/>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20,905,906</w:t>
            </w:r>
          </w:p>
        </w:tc>
        <w:tc>
          <w:tcPr>
            <w:tcW w:w="220" w:type="dxa"/>
            <w:vAlign w:val="bottom"/>
          </w:tcPr>
          <w:p>
            <w:pPr>
              <w:spacing w:after="0"/>
              <w:rPr>
                <w:sz w:val="23"/>
                <w:szCs w:val="23"/>
                <w:color w:val="auto"/>
              </w:rPr>
            </w:pPr>
          </w:p>
        </w:tc>
        <w:tc>
          <w:tcPr>
            <w:tcW w:w="12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22"/>
                <w:szCs w:val="22"/>
                <w:color w:val="auto"/>
              </w:rPr>
              <w:t>22,765,518</w:t>
            </w:r>
          </w:p>
        </w:tc>
        <w:tc>
          <w:tcPr>
            <w:tcW w:w="220" w:type="dxa"/>
            <w:vAlign w:val="bottom"/>
          </w:tcPr>
          <w:p>
            <w:pPr>
              <w:spacing w:after="0"/>
              <w:rPr>
                <w:sz w:val="23"/>
                <w:szCs w:val="23"/>
                <w:color w:val="auto"/>
              </w:rPr>
            </w:pPr>
          </w:p>
        </w:tc>
        <w:tc>
          <w:tcPr>
            <w:tcW w:w="12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22"/>
                <w:szCs w:val="22"/>
                <w:color w:val="auto"/>
              </w:rPr>
              <w:t>61,074,418</w:t>
            </w:r>
          </w:p>
        </w:tc>
        <w:tc>
          <w:tcPr>
            <w:tcW w:w="220" w:type="dxa"/>
            <w:vAlign w:val="bottom"/>
          </w:tcPr>
          <w:p>
            <w:pPr>
              <w:spacing w:after="0"/>
              <w:rPr>
                <w:sz w:val="23"/>
                <w:szCs w:val="23"/>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73,730,632</w:t>
            </w:r>
          </w:p>
        </w:tc>
      </w:tr>
      <w:tr>
        <w:trPr>
          <w:trHeight w:val="256"/>
        </w:trPr>
        <w:tc>
          <w:tcPr>
            <w:tcW w:w="4720" w:type="dxa"/>
            <w:vAlign w:val="bottom"/>
          </w:tcPr>
          <w:p>
            <w:pPr>
              <w:spacing w:after="0"/>
              <w:rPr>
                <w:sz w:val="20"/>
                <w:szCs w:val="20"/>
                <w:color w:val="auto"/>
              </w:rPr>
            </w:pPr>
            <w:r>
              <w:rPr>
                <w:rFonts w:ascii="Arial" w:cs="Arial" w:eastAsia="Arial" w:hAnsi="Arial"/>
                <w:sz w:val="22"/>
                <w:szCs w:val="22"/>
                <w:b w:val="1"/>
                <w:bCs w:val="1"/>
                <w:color w:val="auto"/>
              </w:rPr>
              <w:t>Expenses:</w:t>
            </w:r>
          </w:p>
        </w:tc>
        <w:tc>
          <w:tcPr>
            <w:tcW w:w="8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4"/>
        </w:trPr>
        <w:tc>
          <w:tcPr>
            <w:tcW w:w="4720" w:type="dxa"/>
            <w:vAlign w:val="bottom"/>
          </w:tcPr>
          <w:p>
            <w:pPr>
              <w:ind w:left="260"/>
              <w:spacing w:after="0"/>
              <w:rPr>
                <w:sz w:val="20"/>
                <w:szCs w:val="20"/>
                <w:color w:val="auto"/>
              </w:rPr>
            </w:pPr>
            <w:r>
              <w:rPr>
                <w:rFonts w:ascii="Arial" w:cs="Arial" w:eastAsia="Arial" w:hAnsi="Arial"/>
                <w:sz w:val="22"/>
                <w:szCs w:val="22"/>
                <w:color w:val="auto"/>
              </w:rPr>
              <w:t>Base management fee</w:t>
            </w:r>
          </w:p>
        </w:tc>
        <w:tc>
          <w:tcPr>
            <w:tcW w:w="2080" w:type="dxa"/>
            <w:vAlign w:val="bottom"/>
            <w:gridSpan w:val="2"/>
          </w:tcPr>
          <w:p>
            <w:pPr>
              <w:jc w:val="right"/>
              <w:spacing w:after="0"/>
              <w:rPr>
                <w:sz w:val="20"/>
                <w:szCs w:val="20"/>
                <w:color w:val="auto"/>
              </w:rPr>
            </w:pPr>
            <w:r>
              <w:rPr>
                <w:rFonts w:ascii="Arial" w:cs="Arial" w:eastAsia="Arial" w:hAnsi="Arial"/>
                <w:sz w:val="22"/>
                <w:szCs w:val="22"/>
                <w:color w:val="auto"/>
              </w:rPr>
              <w:t>2,621,574</w:t>
            </w:r>
          </w:p>
        </w:tc>
        <w:tc>
          <w:tcPr>
            <w:tcW w:w="220" w:type="dxa"/>
            <w:vAlign w:val="bottom"/>
          </w:tcPr>
          <w:p>
            <w:pPr>
              <w:spacing w:after="0"/>
              <w:rPr>
                <w:sz w:val="23"/>
                <w:szCs w:val="23"/>
                <w:color w:val="auto"/>
              </w:rPr>
            </w:pPr>
          </w:p>
        </w:tc>
        <w:tc>
          <w:tcPr>
            <w:tcW w:w="1260" w:type="dxa"/>
            <w:vAlign w:val="bottom"/>
            <w:gridSpan w:val="3"/>
          </w:tcPr>
          <w:p>
            <w:pPr>
              <w:jc w:val="right"/>
              <w:spacing w:after="0"/>
              <w:rPr>
                <w:sz w:val="20"/>
                <w:szCs w:val="20"/>
                <w:color w:val="auto"/>
              </w:rPr>
            </w:pPr>
            <w:r>
              <w:rPr>
                <w:rFonts w:ascii="Arial" w:cs="Arial" w:eastAsia="Arial" w:hAnsi="Arial"/>
                <w:sz w:val="22"/>
                <w:szCs w:val="22"/>
                <w:color w:val="auto"/>
              </w:rPr>
              <w:t>2,872,725</w:t>
            </w:r>
          </w:p>
        </w:tc>
        <w:tc>
          <w:tcPr>
            <w:tcW w:w="1460" w:type="dxa"/>
            <w:vAlign w:val="bottom"/>
            <w:gridSpan w:val="4"/>
          </w:tcPr>
          <w:p>
            <w:pPr>
              <w:jc w:val="right"/>
              <w:spacing w:after="0"/>
              <w:rPr>
                <w:sz w:val="20"/>
                <w:szCs w:val="20"/>
                <w:color w:val="auto"/>
              </w:rPr>
            </w:pPr>
            <w:r>
              <w:rPr>
                <w:rFonts w:ascii="Arial" w:cs="Arial" w:eastAsia="Arial" w:hAnsi="Arial"/>
                <w:sz w:val="22"/>
                <w:szCs w:val="22"/>
                <w:color w:val="auto"/>
              </w:rPr>
              <w:t>7,971,461</w:t>
            </w:r>
          </w:p>
        </w:tc>
        <w:tc>
          <w:tcPr>
            <w:tcW w:w="1480" w:type="dxa"/>
            <w:vAlign w:val="bottom"/>
            <w:gridSpan w:val="2"/>
          </w:tcPr>
          <w:p>
            <w:pPr>
              <w:jc w:val="right"/>
              <w:spacing w:after="0"/>
              <w:rPr>
                <w:sz w:val="20"/>
                <w:szCs w:val="20"/>
                <w:color w:val="auto"/>
              </w:rPr>
            </w:pPr>
            <w:r>
              <w:rPr>
                <w:rFonts w:ascii="Arial" w:cs="Arial" w:eastAsia="Arial" w:hAnsi="Arial"/>
                <w:sz w:val="22"/>
                <w:szCs w:val="22"/>
                <w:color w:val="auto"/>
              </w:rPr>
              <w:t>8,651,825</w:t>
            </w:r>
          </w:p>
        </w:tc>
      </w:tr>
    </w:tbl>
    <w:p>
      <w:pPr>
        <w:sectPr>
          <w:pgSz w:w="11900" w:h="16838" w:orient="portrait"/>
          <w:cols w:equalWidth="0" w:num="1">
            <w:col w:w="11220"/>
          </w:cols>
          <w:pgMar w:left="340" w:top="111" w:right="339" w:bottom="0" w:gutter="0" w:footer="0" w:header="0"/>
        </w:sectPr>
      </w:pPr>
    </w:p>
    <w:bookmarkStart w:id="8" w:name="page9"/>
    <w:bookmarkEnd w:id="8"/>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71"/>
        </w:trPr>
        <w:tc>
          <w:tcPr>
            <w:tcW w:w="5540" w:type="dxa"/>
            <w:vAlign w:val="bottom"/>
          </w:tcPr>
          <w:p>
            <w:pPr>
              <w:ind w:left="260"/>
              <w:spacing w:after="0"/>
              <w:rPr>
                <w:sz w:val="20"/>
                <w:szCs w:val="20"/>
                <w:color w:val="auto"/>
              </w:rPr>
            </w:pPr>
            <w:r>
              <w:rPr>
                <w:rFonts w:ascii="Arial" w:cs="Arial" w:eastAsia="Arial" w:hAnsi="Arial"/>
                <w:sz w:val="22"/>
                <w:szCs w:val="22"/>
                <w:color w:val="auto"/>
              </w:rPr>
              <w:t>Performance-based incentive fee</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1,652,278</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1,975,831</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4,716,177</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7,228,690</w:t>
            </w:r>
          </w:p>
        </w:tc>
        <w:tc>
          <w:tcPr>
            <w:tcW w:w="0" w:type="dxa"/>
            <w:vAlign w:val="bottom"/>
          </w:tcPr>
          <w:p>
            <w:pPr>
              <w:spacing w:after="0"/>
              <w:rPr>
                <w:sz w:val="1"/>
                <w:szCs w:val="1"/>
                <w:color w:val="auto"/>
              </w:rPr>
            </w:pPr>
          </w:p>
        </w:tc>
      </w:tr>
      <w:tr>
        <w:trPr>
          <w:trHeight w:val="270"/>
        </w:trPr>
        <w:tc>
          <w:tcPr>
            <w:tcW w:w="5540" w:type="dxa"/>
            <w:vAlign w:val="bottom"/>
          </w:tcPr>
          <w:p>
            <w:pPr>
              <w:ind w:left="260"/>
              <w:spacing w:after="0"/>
              <w:rPr>
                <w:sz w:val="20"/>
                <w:szCs w:val="20"/>
                <w:color w:val="auto"/>
              </w:rPr>
            </w:pPr>
            <w:r>
              <w:rPr>
                <w:rFonts w:ascii="Arial" w:cs="Arial" w:eastAsia="Arial" w:hAnsi="Arial"/>
                <w:sz w:val="22"/>
                <w:szCs w:val="22"/>
                <w:color w:val="auto"/>
              </w:rPr>
              <w:t>Interest and expenses on debt</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5,902,727</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6,653,045</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6"/>
              </w:rPr>
              <w:t>16,025,180</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w w:val="96"/>
              </w:rPr>
              <w:t>21,586,859</w:t>
            </w:r>
          </w:p>
        </w:tc>
        <w:tc>
          <w:tcPr>
            <w:tcW w:w="0" w:type="dxa"/>
            <w:vAlign w:val="bottom"/>
          </w:tcPr>
          <w:p>
            <w:pPr>
              <w:spacing w:after="0"/>
              <w:rPr>
                <w:sz w:val="1"/>
                <w:szCs w:val="1"/>
                <w:color w:val="auto"/>
              </w:rPr>
            </w:pPr>
          </w:p>
        </w:tc>
      </w:tr>
      <w:tr>
        <w:trPr>
          <w:trHeight w:val="270"/>
        </w:trPr>
        <w:tc>
          <w:tcPr>
            <w:tcW w:w="5540" w:type="dxa"/>
            <w:vAlign w:val="bottom"/>
          </w:tcPr>
          <w:p>
            <w:pPr>
              <w:ind w:left="260"/>
              <w:spacing w:after="0"/>
              <w:rPr>
                <w:sz w:val="20"/>
                <w:szCs w:val="20"/>
                <w:color w:val="auto"/>
              </w:rPr>
            </w:pPr>
            <w:r>
              <w:rPr>
                <w:rFonts w:ascii="Arial" w:cs="Arial" w:eastAsia="Arial" w:hAnsi="Arial"/>
                <w:sz w:val="22"/>
                <w:szCs w:val="22"/>
                <w:color w:val="auto"/>
              </w:rPr>
              <w:t>Administrative services expenses</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150,000</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350,000</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750,000</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1,050,000</w:t>
            </w:r>
          </w:p>
        </w:tc>
        <w:tc>
          <w:tcPr>
            <w:tcW w:w="0" w:type="dxa"/>
            <w:vAlign w:val="bottom"/>
          </w:tcPr>
          <w:p>
            <w:pPr>
              <w:spacing w:after="0"/>
              <w:rPr>
                <w:sz w:val="1"/>
                <w:szCs w:val="1"/>
                <w:color w:val="auto"/>
              </w:rPr>
            </w:pPr>
          </w:p>
        </w:tc>
      </w:tr>
      <w:tr>
        <w:trPr>
          <w:trHeight w:val="274"/>
        </w:trPr>
        <w:tc>
          <w:tcPr>
            <w:tcW w:w="5540" w:type="dxa"/>
            <w:vAlign w:val="bottom"/>
          </w:tcPr>
          <w:p>
            <w:pPr>
              <w:ind w:left="260"/>
              <w:spacing w:after="0"/>
              <w:rPr>
                <w:sz w:val="20"/>
                <w:szCs w:val="20"/>
                <w:color w:val="auto"/>
              </w:rPr>
            </w:pPr>
            <w:r>
              <w:rPr>
                <w:rFonts w:ascii="Arial" w:cs="Arial" w:eastAsia="Arial" w:hAnsi="Arial"/>
                <w:sz w:val="22"/>
                <w:szCs w:val="22"/>
                <w:color w:val="auto"/>
              </w:rPr>
              <w:t>Other general and administrative expenses</w:t>
            </w: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200,000</w:t>
            </w:r>
          </w:p>
        </w:tc>
        <w:tc>
          <w:tcPr>
            <w:tcW w:w="2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616,077</w:t>
            </w:r>
          </w:p>
        </w:tc>
        <w:tc>
          <w:tcPr>
            <w:tcW w:w="2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1,000,000</w:t>
            </w:r>
          </w:p>
        </w:tc>
        <w:tc>
          <w:tcPr>
            <w:tcW w:w="2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1,848,230</w:t>
            </w:r>
          </w:p>
        </w:tc>
        <w:tc>
          <w:tcPr>
            <w:tcW w:w="0" w:type="dxa"/>
            <w:vAlign w:val="bottom"/>
          </w:tcPr>
          <w:p>
            <w:pPr>
              <w:spacing w:after="0"/>
              <w:rPr>
                <w:sz w:val="1"/>
                <w:szCs w:val="1"/>
                <w:color w:val="auto"/>
              </w:rPr>
            </w:pPr>
          </w:p>
        </w:tc>
      </w:tr>
      <w:tr>
        <w:trPr>
          <w:trHeight w:val="259"/>
        </w:trPr>
        <w:tc>
          <w:tcPr>
            <w:tcW w:w="5540" w:type="dxa"/>
            <w:vAlign w:val="bottom"/>
          </w:tcPr>
          <w:p>
            <w:pPr>
              <w:ind w:left="260"/>
              <w:spacing w:after="0"/>
              <w:rPr>
                <w:sz w:val="20"/>
                <w:szCs w:val="20"/>
                <w:color w:val="auto"/>
              </w:rPr>
            </w:pPr>
            <w:r>
              <w:rPr>
                <w:rFonts w:ascii="Arial" w:cs="Arial" w:eastAsia="Arial" w:hAnsi="Arial"/>
                <w:sz w:val="22"/>
                <w:szCs w:val="22"/>
                <w:b w:val="1"/>
                <w:bCs w:val="1"/>
                <w:color w:val="auto"/>
              </w:rPr>
              <w:t>Expenses before provision for taxes:</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w w:val="98"/>
              </w:rPr>
              <w:t>10,526,579</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w w:val="96"/>
              </w:rPr>
              <w:t>12,467,678</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6"/>
              </w:rPr>
              <w:t>30,462,818</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w w:val="96"/>
              </w:rPr>
              <w:t>40,365,604</w:t>
            </w:r>
          </w:p>
        </w:tc>
        <w:tc>
          <w:tcPr>
            <w:tcW w:w="0" w:type="dxa"/>
            <w:vAlign w:val="bottom"/>
          </w:tcPr>
          <w:p>
            <w:pPr>
              <w:spacing w:after="0"/>
              <w:rPr>
                <w:sz w:val="1"/>
                <w:szCs w:val="1"/>
                <w:color w:val="auto"/>
              </w:rPr>
            </w:pPr>
          </w:p>
        </w:tc>
      </w:tr>
      <w:tr>
        <w:trPr>
          <w:trHeight w:val="274"/>
        </w:trPr>
        <w:tc>
          <w:tcPr>
            <w:tcW w:w="5540" w:type="dxa"/>
            <w:vAlign w:val="bottom"/>
          </w:tcPr>
          <w:p>
            <w:pPr>
              <w:ind w:left="260"/>
              <w:spacing w:after="0"/>
              <w:rPr>
                <w:sz w:val="20"/>
                <w:szCs w:val="20"/>
                <w:color w:val="auto"/>
              </w:rPr>
            </w:pPr>
            <w:r>
              <w:rPr>
                <w:rFonts w:ascii="Arial" w:cs="Arial" w:eastAsia="Arial" w:hAnsi="Arial"/>
                <w:sz w:val="22"/>
                <w:szCs w:val="22"/>
                <w:color w:val="auto"/>
              </w:rPr>
              <w:t>Provision for taxes</w:t>
            </w: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100,000</w:t>
            </w:r>
          </w:p>
        </w:tc>
        <w:tc>
          <w:tcPr>
            <w:tcW w:w="2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100,000</w:t>
            </w:r>
          </w:p>
        </w:tc>
        <w:tc>
          <w:tcPr>
            <w:tcW w:w="2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300,000</w:t>
            </w:r>
          </w:p>
        </w:tc>
        <w:tc>
          <w:tcPr>
            <w:tcW w:w="2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300,000</w:t>
            </w:r>
          </w:p>
        </w:tc>
        <w:tc>
          <w:tcPr>
            <w:tcW w:w="0" w:type="dxa"/>
            <w:vAlign w:val="bottom"/>
          </w:tcPr>
          <w:p>
            <w:pPr>
              <w:spacing w:after="0"/>
              <w:rPr>
                <w:sz w:val="1"/>
                <w:szCs w:val="1"/>
                <w:color w:val="auto"/>
              </w:rPr>
            </w:pPr>
          </w:p>
        </w:tc>
      </w:tr>
      <w:tr>
        <w:trPr>
          <w:trHeight w:val="267"/>
        </w:trPr>
        <w:tc>
          <w:tcPr>
            <w:tcW w:w="5540" w:type="dxa"/>
            <w:vAlign w:val="bottom"/>
          </w:tcPr>
          <w:p>
            <w:pPr>
              <w:ind w:left="260"/>
              <w:spacing w:after="0"/>
              <w:rPr>
                <w:sz w:val="20"/>
                <w:szCs w:val="20"/>
                <w:color w:val="auto"/>
              </w:rPr>
            </w:pPr>
            <w:r>
              <w:rPr>
                <w:rFonts w:ascii="Arial" w:cs="Arial" w:eastAsia="Arial" w:hAnsi="Arial"/>
                <w:sz w:val="22"/>
                <w:szCs w:val="22"/>
                <w:b w:val="1"/>
                <w:bCs w:val="1"/>
                <w:color w:val="auto"/>
              </w:rPr>
              <w:t>Total expenses</w:t>
            </w: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8"/>
              </w:rPr>
              <w:t>10,626,579</w:t>
            </w:r>
          </w:p>
        </w:tc>
        <w:tc>
          <w:tcPr>
            <w:tcW w:w="2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6"/>
              </w:rPr>
              <w:t>12,567,678</w:t>
            </w:r>
          </w:p>
        </w:tc>
        <w:tc>
          <w:tcPr>
            <w:tcW w:w="2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6"/>
              </w:rPr>
              <w:t>30,762,818</w:t>
            </w:r>
          </w:p>
        </w:tc>
        <w:tc>
          <w:tcPr>
            <w:tcW w:w="2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6"/>
              </w:rPr>
              <w:t>40,665,604</w:t>
            </w:r>
          </w:p>
        </w:tc>
        <w:tc>
          <w:tcPr>
            <w:tcW w:w="0" w:type="dxa"/>
            <w:vAlign w:val="bottom"/>
          </w:tcPr>
          <w:p>
            <w:pPr>
              <w:spacing w:after="0"/>
              <w:rPr>
                <w:sz w:val="1"/>
                <w:szCs w:val="1"/>
                <w:color w:val="auto"/>
              </w:rPr>
            </w:pPr>
          </w:p>
        </w:tc>
      </w:tr>
      <w:tr>
        <w:trPr>
          <w:trHeight w:val="263"/>
        </w:trPr>
        <w:tc>
          <w:tcPr>
            <w:tcW w:w="5540" w:type="dxa"/>
            <w:vAlign w:val="bottom"/>
          </w:tcPr>
          <w:p>
            <w:pPr>
              <w:ind w:left="260"/>
              <w:spacing w:after="0"/>
              <w:rPr>
                <w:sz w:val="20"/>
                <w:szCs w:val="20"/>
                <w:color w:val="auto"/>
              </w:rPr>
            </w:pPr>
            <w:r>
              <w:rPr>
                <w:rFonts w:ascii="Arial" w:cs="Arial" w:eastAsia="Arial" w:hAnsi="Arial"/>
                <w:sz w:val="22"/>
                <w:szCs w:val="22"/>
                <w:b w:val="1"/>
                <w:bCs w:val="1"/>
                <w:color w:val="auto"/>
              </w:rPr>
              <w:t>Net investment income</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8"/>
              </w:rPr>
              <w:t>10,279,327</w:t>
            </w:r>
          </w:p>
        </w:tc>
        <w:tc>
          <w:tcPr>
            <w:tcW w:w="2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6"/>
              </w:rPr>
              <w:t>10,197,840</w:t>
            </w:r>
          </w:p>
        </w:tc>
        <w:tc>
          <w:tcPr>
            <w:tcW w:w="2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6"/>
              </w:rPr>
              <w:t>30,311,600</w:t>
            </w:r>
          </w:p>
        </w:tc>
        <w:tc>
          <w:tcPr>
            <w:tcW w:w="2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6"/>
              </w:rPr>
              <w:t>33,065,028</w:t>
            </w:r>
          </w:p>
        </w:tc>
        <w:tc>
          <w:tcPr>
            <w:tcW w:w="0" w:type="dxa"/>
            <w:vAlign w:val="bottom"/>
          </w:tcPr>
          <w:p>
            <w:pPr>
              <w:spacing w:after="0"/>
              <w:rPr>
                <w:sz w:val="1"/>
                <w:szCs w:val="1"/>
                <w:color w:val="auto"/>
              </w:rPr>
            </w:pPr>
          </w:p>
        </w:tc>
      </w:tr>
      <w:tr>
        <w:trPr>
          <w:trHeight w:val="209"/>
        </w:trPr>
        <w:tc>
          <w:tcPr>
            <w:tcW w:w="5540" w:type="dxa"/>
            <w:vAlign w:val="bottom"/>
          </w:tcPr>
          <w:p>
            <w:pPr>
              <w:spacing w:after="0" w:line="209" w:lineRule="exact"/>
              <w:rPr>
                <w:sz w:val="20"/>
                <w:szCs w:val="20"/>
                <w:color w:val="auto"/>
              </w:rPr>
            </w:pPr>
            <w:r>
              <w:rPr>
                <w:rFonts w:ascii="Arial" w:cs="Arial" w:eastAsia="Arial" w:hAnsi="Arial"/>
                <w:sz w:val="22"/>
                <w:szCs w:val="22"/>
                <w:b w:val="1"/>
                <w:bCs w:val="1"/>
                <w:color w:val="auto"/>
                <w:w w:val="95"/>
              </w:rPr>
              <w:t>Realized and unrealized gain (loss) on investments and</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540" w:type="dxa"/>
            <w:vAlign w:val="bottom"/>
          </w:tcPr>
          <w:p>
            <w:pPr>
              <w:spacing w:after="0"/>
              <w:rPr>
                <w:sz w:val="20"/>
                <w:szCs w:val="20"/>
                <w:color w:val="auto"/>
              </w:rPr>
            </w:pPr>
            <w:r>
              <w:rPr>
                <w:rFonts w:ascii="Arial" w:cs="Arial" w:eastAsia="Arial" w:hAnsi="Arial"/>
                <w:sz w:val="22"/>
                <w:szCs w:val="22"/>
                <w:b w:val="1"/>
                <w:bCs w:val="1"/>
                <w:color w:val="auto"/>
              </w:rPr>
              <w:t>debt:</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40" w:type="dxa"/>
            <w:vAlign w:val="bottom"/>
          </w:tcPr>
          <w:p>
            <w:pPr>
              <w:spacing w:after="0"/>
              <w:rPr>
                <w:sz w:val="20"/>
                <w:szCs w:val="20"/>
                <w:color w:val="auto"/>
              </w:rPr>
            </w:pPr>
            <w:r>
              <w:rPr>
                <w:rFonts w:ascii="Arial" w:cs="Arial" w:eastAsia="Arial" w:hAnsi="Arial"/>
                <w:sz w:val="22"/>
                <w:szCs w:val="22"/>
                <w:color w:val="auto"/>
              </w:rPr>
              <w:t>Net realized gain (loss) on investments:</w:t>
            </w: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40" w:type="dxa"/>
            <w:vAlign w:val="bottom"/>
          </w:tcPr>
          <w:p>
            <w:pPr>
              <w:ind w:left="260"/>
              <w:spacing w:after="0"/>
              <w:rPr>
                <w:sz w:val="20"/>
                <w:szCs w:val="20"/>
                <w:color w:val="auto"/>
              </w:rPr>
            </w:pPr>
            <w:r>
              <w:rPr>
                <w:rFonts w:ascii="Arial" w:cs="Arial" w:eastAsia="Arial" w:hAnsi="Arial"/>
                <w:sz w:val="22"/>
                <w:szCs w:val="22"/>
                <w:color w:val="auto"/>
              </w:rPr>
              <w:t>Non-controlled, non-affiliated investments</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7,613,904</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22"/>
                <w:szCs w:val="22"/>
                <w:color w:val="auto"/>
              </w:rPr>
              <w:t>(1,694,710)</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6,379,865</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(2,281,683</w:t>
            </w:r>
          </w:p>
        </w:tc>
        <w:tc>
          <w:tcPr>
            <w:tcW w:w="0" w:type="dxa"/>
            <w:vAlign w:val="bottom"/>
          </w:tcPr>
          <w:p>
            <w:pPr>
              <w:spacing w:after="0"/>
              <w:rPr>
                <w:sz w:val="1"/>
                <w:szCs w:val="1"/>
                <w:color w:val="auto"/>
              </w:rPr>
            </w:pPr>
          </w:p>
        </w:tc>
      </w:tr>
      <w:tr>
        <w:trPr>
          <w:trHeight w:val="274"/>
        </w:trPr>
        <w:tc>
          <w:tcPr>
            <w:tcW w:w="5540" w:type="dxa"/>
            <w:vAlign w:val="bottom"/>
          </w:tcPr>
          <w:p>
            <w:pPr>
              <w:ind w:left="260"/>
              <w:spacing w:after="0"/>
              <w:rPr>
                <w:sz w:val="20"/>
                <w:szCs w:val="20"/>
                <w:color w:val="auto"/>
              </w:rPr>
            </w:pPr>
            <w:r>
              <w:rPr>
                <w:rFonts w:ascii="Arial" w:cs="Arial" w:eastAsia="Arial" w:hAnsi="Arial"/>
                <w:sz w:val="22"/>
                <w:szCs w:val="22"/>
                <w:color w:val="auto"/>
              </w:rPr>
              <w:t>Non-controlled and controlled, affiliated investments</w:t>
            </w:r>
          </w:p>
        </w:tc>
        <w:tc>
          <w:tcPr>
            <w:tcW w:w="160" w:type="dxa"/>
            <w:vAlign w:val="bottom"/>
          </w:tcPr>
          <w:p>
            <w:pPr>
              <w:spacing w:after="0"/>
              <w:rPr>
                <w:sz w:val="23"/>
                <w:szCs w:val="23"/>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22"/>
                <w:szCs w:val="22"/>
                <w:color w:val="auto"/>
                <w:w w:val="94"/>
              </w:rPr>
              <w:t>(20,587,656)</w:t>
            </w:r>
          </w:p>
        </w:tc>
        <w:tc>
          <w:tcPr>
            <w:tcW w:w="160" w:type="dxa"/>
            <w:vAlign w:val="bottom"/>
          </w:tcPr>
          <w:p>
            <w:pPr>
              <w:spacing w:after="0"/>
              <w:rPr>
                <w:sz w:val="23"/>
                <w:szCs w:val="2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22"/>
                <w:szCs w:val="22"/>
                <w:color w:val="auto"/>
              </w:rPr>
              <w:t>(5,683,145)</w:t>
            </w:r>
          </w:p>
        </w:tc>
        <w:tc>
          <w:tcPr>
            <w:tcW w:w="160" w:type="dxa"/>
            <w:vAlign w:val="bottom"/>
          </w:tcPr>
          <w:p>
            <w:pPr>
              <w:spacing w:after="0"/>
              <w:rPr>
                <w:sz w:val="23"/>
                <w:szCs w:val="23"/>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22"/>
                <w:szCs w:val="22"/>
                <w:color w:val="auto"/>
                <w:w w:val="92"/>
              </w:rPr>
              <w:t>(21,639,704)</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(5,683,145</w:t>
            </w:r>
          </w:p>
        </w:tc>
        <w:tc>
          <w:tcPr>
            <w:tcW w:w="0" w:type="dxa"/>
            <w:vAlign w:val="bottom"/>
          </w:tcPr>
          <w:p>
            <w:pPr>
              <w:spacing w:after="0"/>
              <w:rPr>
                <w:sz w:val="1"/>
                <w:szCs w:val="1"/>
                <w:color w:val="auto"/>
              </w:rPr>
            </w:pPr>
          </w:p>
        </w:tc>
      </w:tr>
      <w:tr>
        <w:trPr>
          <w:trHeight w:val="267"/>
        </w:trPr>
        <w:tc>
          <w:tcPr>
            <w:tcW w:w="5540" w:type="dxa"/>
            <w:vAlign w:val="bottom"/>
          </w:tcPr>
          <w:p>
            <w:pPr>
              <w:ind w:left="260"/>
              <w:spacing w:after="0"/>
              <w:rPr>
                <w:sz w:val="20"/>
                <w:szCs w:val="20"/>
                <w:color w:val="auto"/>
              </w:rPr>
            </w:pPr>
            <w:r>
              <w:rPr>
                <w:rFonts w:ascii="Arial" w:cs="Arial" w:eastAsia="Arial" w:hAnsi="Arial"/>
                <w:sz w:val="22"/>
                <w:szCs w:val="22"/>
                <w:b w:val="1"/>
                <w:bCs w:val="1"/>
                <w:color w:val="auto"/>
              </w:rPr>
              <w:t>Net realized gain (loss) on investments</w:t>
            </w:r>
          </w:p>
        </w:tc>
        <w:tc>
          <w:tcPr>
            <w:tcW w:w="160" w:type="dxa"/>
            <w:vAlign w:val="bottom"/>
            <w:tcBorders>
              <w:top w:val="single" w:sz="8" w:color="auto"/>
              <w:bottom w:val="single" w:sz="8" w:color="auto"/>
            </w:tcBorders>
          </w:tcPr>
          <w:p>
            <w:pPr>
              <w:spacing w:after="0"/>
              <w:rPr>
                <w:sz w:val="23"/>
                <w:szCs w:val="2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6"/>
              </w:rPr>
              <w:t>(12,973,752)</w:t>
            </w:r>
          </w:p>
        </w:tc>
        <w:tc>
          <w:tcPr>
            <w:tcW w:w="220" w:type="dxa"/>
            <w:vAlign w:val="bottom"/>
          </w:tcPr>
          <w:p>
            <w:pPr>
              <w:spacing w:after="0"/>
              <w:rPr>
                <w:sz w:val="23"/>
                <w:szCs w:val="23"/>
                <w:color w:val="auto"/>
              </w:rPr>
            </w:pPr>
          </w:p>
        </w:tc>
        <w:tc>
          <w:tcPr>
            <w:tcW w:w="160" w:type="dxa"/>
            <w:vAlign w:val="bottom"/>
            <w:tcBorders>
              <w:top w:val="single" w:sz="8" w:color="auto"/>
              <w:bottom w:val="single" w:sz="8" w:color="auto"/>
            </w:tcBorders>
          </w:tcPr>
          <w:p>
            <w:pPr>
              <w:spacing w:after="0"/>
              <w:rPr>
                <w:sz w:val="23"/>
                <w:szCs w:val="2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5"/>
              </w:rPr>
              <w:t>(7,377,855)</w:t>
            </w:r>
          </w:p>
        </w:tc>
        <w:tc>
          <w:tcPr>
            <w:tcW w:w="220" w:type="dxa"/>
            <w:vAlign w:val="bottom"/>
          </w:tcPr>
          <w:p>
            <w:pPr>
              <w:spacing w:after="0"/>
              <w:rPr>
                <w:sz w:val="23"/>
                <w:szCs w:val="23"/>
                <w:color w:val="auto"/>
              </w:rPr>
            </w:pPr>
          </w:p>
        </w:tc>
        <w:tc>
          <w:tcPr>
            <w:tcW w:w="16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4"/>
              </w:rPr>
              <w:t>(15,259,839)</w:t>
            </w:r>
          </w:p>
        </w:tc>
        <w:tc>
          <w:tcPr>
            <w:tcW w:w="220" w:type="dxa"/>
            <w:vAlign w:val="bottom"/>
          </w:tcPr>
          <w:p>
            <w:pPr>
              <w:spacing w:after="0"/>
              <w:rPr>
                <w:sz w:val="23"/>
                <w:szCs w:val="23"/>
                <w:color w:val="auto"/>
              </w:rPr>
            </w:pPr>
          </w:p>
        </w:tc>
        <w:tc>
          <w:tcPr>
            <w:tcW w:w="160" w:type="dxa"/>
            <w:vAlign w:val="bottom"/>
            <w:tcBorders>
              <w:top w:val="single" w:sz="8" w:color="auto"/>
              <w:bottom w:val="single" w:sz="8" w:color="auto"/>
            </w:tcBorders>
          </w:tcPr>
          <w:p>
            <w:pPr>
              <w:spacing w:after="0"/>
              <w:rPr>
                <w:sz w:val="23"/>
                <w:szCs w:val="2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(7,964,828</w:t>
            </w:r>
          </w:p>
        </w:tc>
        <w:tc>
          <w:tcPr>
            <w:tcW w:w="0" w:type="dxa"/>
            <w:vAlign w:val="bottom"/>
          </w:tcPr>
          <w:p>
            <w:pPr>
              <w:spacing w:after="0"/>
              <w:rPr>
                <w:sz w:val="1"/>
                <w:szCs w:val="1"/>
                <w:color w:val="auto"/>
              </w:rPr>
            </w:pPr>
          </w:p>
        </w:tc>
      </w:tr>
      <w:tr>
        <w:trPr>
          <w:trHeight w:val="256"/>
        </w:trPr>
        <w:tc>
          <w:tcPr>
            <w:tcW w:w="5540" w:type="dxa"/>
            <w:vAlign w:val="bottom"/>
          </w:tcPr>
          <w:p>
            <w:pPr>
              <w:spacing w:after="0"/>
              <w:rPr>
                <w:sz w:val="20"/>
                <w:szCs w:val="20"/>
                <w:color w:val="auto"/>
              </w:rPr>
            </w:pPr>
            <w:r>
              <w:rPr>
                <w:rFonts w:ascii="Arial" w:cs="Arial" w:eastAsia="Arial" w:hAnsi="Arial"/>
                <w:sz w:val="22"/>
                <w:szCs w:val="22"/>
                <w:color w:val="auto"/>
              </w:rPr>
              <w:t>Net change in unrealized appreciation (depreciation) on:</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540" w:type="dxa"/>
            <w:vAlign w:val="bottom"/>
          </w:tcPr>
          <w:p>
            <w:pPr>
              <w:ind w:left="260"/>
              <w:spacing w:after="0"/>
              <w:rPr>
                <w:sz w:val="20"/>
                <w:szCs w:val="20"/>
                <w:color w:val="auto"/>
              </w:rPr>
            </w:pPr>
            <w:r>
              <w:rPr>
                <w:rFonts w:ascii="Arial" w:cs="Arial" w:eastAsia="Arial" w:hAnsi="Arial"/>
                <w:sz w:val="22"/>
                <w:szCs w:val="22"/>
                <w:color w:val="auto"/>
              </w:rPr>
              <w:t>Non-controlled, non-affiliated investments</w:t>
            </w:r>
          </w:p>
        </w:tc>
        <w:tc>
          <w:tcPr>
            <w:tcW w:w="160" w:type="dxa"/>
            <w:vAlign w:val="bottom"/>
          </w:tcPr>
          <w:p>
            <w:pPr>
              <w:spacing w:after="0"/>
              <w:rPr>
                <w:sz w:val="23"/>
                <w:szCs w:val="23"/>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22"/>
                <w:szCs w:val="22"/>
                <w:color w:val="auto"/>
              </w:rPr>
              <w:t>(6,281,187)</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w w:val="96"/>
              </w:rPr>
              <w:t>13,962,606</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6"/>
              </w:rPr>
              <w:t>28,406,639</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w w:val="90"/>
              </w:rPr>
              <w:t>(23,662,521</w:t>
            </w:r>
          </w:p>
        </w:tc>
        <w:tc>
          <w:tcPr>
            <w:tcW w:w="0" w:type="dxa"/>
            <w:vAlign w:val="bottom"/>
          </w:tcPr>
          <w:p>
            <w:pPr>
              <w:spacing w:after="0"/>
              <w:rPr>
                <w:sz w:val="1"/>
                <w:szCs w:val="1"/>
                <w:color w:val="auto"/>
              </w:rPr>
            </w:pPr>
          </w:p>
        </w:tc>
      </w:tr>
      <w:tr>
        <w:trPr>
          <w:trHeight w:val="270"/>
        </w:trPr>
        <w:tc>
          <w:tcPr>
            <w:tcW w:w="5540" w:type="dxa"/>
            <w:vAlign w:val="bottom"/>
          </w:tcPr>
          <w:p>
            <w:pPr>
              <w:ind w:left="260"/>
              <w:spacing w:after="0"/>
              <w:rPr>
                <w:sz w:val="20"/>
                <w:szCs w:val="20"/>
                <w:color w:val="auto"/>
              </w:rPr>
            </w:pPr>
            <w:r>
              <w:rPr>
                <w:rFonts w:ascii="Arial" w:cs="Arial" w:eastAsia="Arial" w:hAnsi="Arial"/>
                <w:sz w:val="22"/>
                <w:szCs w:val="22"/>
                <w:color w:val="auto"/>
              </w:rPr>
              <w:t>Controlled and non-controlled, affiliated investments</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w w:val="98"/>
              </w:rPr>
              <w:t>20,451,408</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7,931,471</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6"/>
              </w:rPr>
              <w:t>20,370,222</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w w:val="90"/>
              </w:rPr>
              <w:t>(22,751,006</w:t>
            </w:r>
          </w:p>
        </w:tc>
        <w:tc>
          <w:tcPr>
            <w:tcW w:w="0" w:type="dxa"/>
            <w:vAlign w:val="bottom"/>
          </w:tcPr>
          <w:p>
            <w:pPr>
              <w:spacing w:after="0"/>
              <w:rPr>
                <w:sz w:val="1"/>
                <w:szCs w:val="1"/>
                <w:color w:val="auto"/>
              </w:rPr>
            </w:pPr>
          </w:p>
        </w:tc>
      </w:tr>
      <w:tr>
        <w:trPr>
          <w:trHeight w:val="274"/>
        </w:trPr>
        <w:tc>
          <w:tcPr>
            <w:tcW w:w="5540" w:type="dxa"/>
            <w:vAlign w:val="bottom"/>
          </w:tcPr>
          <w:p>
            <w:pPr>
              <w:ind w:left="260"/>
              <w:spacing w:after="0"/>
              <w:rPr>
                <w:sz w:val="20"/>
                <w:szCs w:val="20"/>
                <w:color w:val="auto"/>
              </w:rPr>
            </w:pPr>
            <w:r>
              <w:rPr>
                <w:rFonts w:ascii="Arial" w:cs="Arial" w:eastAsia="Arial" w:hAnsi="Arial"/>
                <w:sz w:val="22"/>
                <w:szCs w:val="22"/>
                <w:color w:val="auto"/>
              </w:rPr>
              <w:t>Debt (appreciation) depreciation</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3,231,683</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22"/>
                <w:szCs w:val="22"/>
                <w:color w:val="auto"/>
                <w:w w:val="92"/>
              </w:rPr>
              <w:t>(12,158,917)</w:t>
            </w:r>
          </w:p>
        </w:tc>
        <w:tc>
          <w:tcPr>
            <w:tcW w:w="160" w:type="dxa"/>
            <w:vAlign w:val="bottom"/>
          </w:tcPr>
          <w:p>
            <w:pPr>
              <w:spacing w:after="0"/>
              <w:rPr>
                <w:sz w:val="23"/>
                <w:szCs w:val="23"/>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22"/>
                <w:szCs w:val="22"/>
                <w:color w:val="auto"/>
                <w:w w:val="92"/>
              </w:rPr>
              <w:t>(11,317,211)</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w w:val="96"/>
              </w:rPr>
              <w:t>22,740,317</w:t>
            </w:r>
          </w:p>
        </w:tc>
        <w:tc>
          <w:tcPr>
            <w:tcW w:w="0" w:type="dxa"/>
            <w:vAlign w:val="bottom"/>
          </w:tcPr>
          <w:p>
            <w:pPr>
              <w:spacing w:after="0"/>
              <w:rPr>
                <w:sz w:val="1"/>
                <w:szCs w:val="1"/>
                <w:color w:val="auto"/>
              </w:rPr>
            </w:pPr>
          </w:p>
        </w:tc>
      </w:tr>
      <w:tr>
        <w:trPr>
          <w:trHeight w:val="213"/>
        </w:trPr>
        <w:tc>
          <w:tcPr>
            <w:tcW w:w="5540" w:type="dxa"/>
            <w:vAlign w:val="bottom"/>
          </w:tcPr>
          <w:p>
            <w:pPr>
              <w:ind w:left="260"/>
              <w:spacing w:after="0" w:line="212" w:lineRule="exact"/>
              <w:rPr>
                <w:sz w:val="20"/>
                <w:szCs w:val="20"/>
                <w:color w:val="auto"/>
              </w:rPr>
            </w:pPr>
            <w:r>
              <w:rPr>
                <w:rFonts w:ascii="Arial" w:cs="Arial" w:eastAsia="Arial" w:hAnsi="Arial"/>
                <w:sz w:val="22"/>
                <w:szCs w:val="22"/>
                <w:b w:val="1"/>
                <w:bCs w:val="1"/>
                <w:color w:val="auto"/>
                <w:w w:val="90"/>
              </w:rPr>
              <w:t>Net change in unrealized appreciation (depreciation) on</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540" w:type="dxa"/>
            <w:vAlign w:val="bottom"/>
          </w:tcPr>
          <w:p>
            <w:pPr>
              <w:ind w:left="260"/>
              <w:spacing w:after="0"/>
              <w:rPr>
                <w:sz w:val="20"/>
                <w:szCs w:val="20"/>
                <w:color w:val="auto"/>
              </w:rPr>
            </w:pPr>
            <w:r>
              <w:rPr>
                <w:rFonts w:ascii="Arial" w:cs="Arial" w:eastAsia="Arial" w:hAnsi="Arial"/>
                <w:sz w:val="22"/>
                <w:szCs w:val="22"/>
                <w:b w:val="1"/>
                <w:bCs w:val="1"/>
                <w:color w:val="auto"/>
              </w:rPr>
              <w:t>investments and debt</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8"/>
              </w:rPr>
              <w:t>17,401,904</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9,735,160</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6"/>
              </w:rPr>
              <w:t>37,459,650</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0"/>
              </w:rPr>
              <w:t>(23,673,210</w:t>
            </w:r>
          </w:p>
        </w:tc>
        <w:tc>
          <w:tcPr>
            <w:tcW w:w="0" w:type="dxa"/>
            <w:vAlign w:val="bottom"/>
          </w:tcPr>
          <w:p>
            <w:pPr>
              <w:spacing w:after="0"/>
              <w:rPr>
                <w:sz w:val="1"/>
                <w:szCs w:val="1"/>
                <w:color w:val="auto"/>
              </w:rPr>
            </w:pPr>
          </w:p>
        </w:tc>
      </w:tr>
      <w:tr>
        <w:trPr>
          <w:trHeight w:val="213"/>
        </w:trPr>
        <w:tc>
          <w:tcPr>
            <w:tcW w:w="5540" w:type="dxa"/>
            <w:vAlign w:val="bottom"/>
          </w:tcPr>
          <w:p>
            <w:pPr>
              <w:spacing w:after="0" w:line="212" w:lineRule="exact"/>
              <w:rPr>
                <w:sz w:val="20"/>
                <w:szCs w:val="20"/>
                <w:color w:val="auto"/>
              </w:rPr>
            </w:pPr>
            <w:r>
              <w:rPr>
                <w:rFonts w:ascii="Arial" w:cs="Arial" w:eastAsia="Arial" w:hAnsi="Arial"/>
                <w:sz w:val="22"/>
                <w:szCs w:val="22"/>
                <w:b w:val="1"/>
                <w:bCs w:val="1"/>
                <w:color w:val="auto"/>
                <w:w w:val="93"/>
              </w:rPr>
              <w:t>Net realized and unrealized gain (loss) from investments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5540" w:type="dxa"/>
            <w:vAlign w:val="bottom"/>
          </w:tcPr>
          <w:p>
            <w:pPr>
              <w:spacing w:after="0"/>
              <w:rPr>
                <w:sz w:val="20"/>
                <w:szCs w:val="20"/>
                <w:color w:val="auto"/>
              </w:rPr>
            </w:pPr>
            <w:r>
              <w:rPr>
                <w:rFonts w:ascii="Arial" w:cs="Arial" w:eastAsia="Arial" w:hAnsi="Arial"/>
                <w:sz w:val="22"/>
                <w:szCs w:val="22"/>
                <w:b w:val="1"/>
                <w:bCs w:val="1"/>
                <w:color w:val="auto"/>
              </w:rPr>
              <w:t>and debt</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4,428,152</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2,357,305</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6"/>
              </w:rPr>
              <w:t>22,199,811</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0"/>
              </w:rPr>
              <w:t>(31,638,038</w:t>
            </w:r>
          </w:p>
        </w:tc>
        <w:tc>
          <w:tcPr>
            <w:tcW w:w="0" w:type="dxa"/>
            <w:vAlign w:val="bottom"/>
          </w:tcPr>
          <w:p>
            <w:pPr>
              <w:spacing w:after="0"/>
              <w:rPr>
                <w:sz w:val="1"/>
                <w:szCs w:val="1"/>
                <w:color w:val="auto"/>
              </w:rPr>
            </w:pPr>
          </w:p>
        </w:tc>
      </w:tr>
      <w:tr>
        <w:trPr>
          <w:trHeight w:val="265"/>
        </w:trPr>
        <w:tc>
          <w:tcPr>
            <w:tcW w:w="5540" w:type="dxa"/>
            <w:vAlign w:val="bottom"/>
          </w:tcPr>
          <w:p>
            <w:pPr>
              <w:spacing w:after="0"/>
              <w:rPr>
                <w:sz w:val="20"/>
                <w:szCs w:val="20"/>
                <w:color w:val="auto"/>
              </w:rPr>
            </w:pPr>
            <w:r>
              <w:rPr>
                <w:rFonts w:ascii="Arial" w:cs="Arial" w:eastAsia="Arial" w:hAnsi="Arial"/>
                <w:sz w:val="22"/>
                <w:szCs w:val="22"/>
                <w:b w:val="1"/>
                <w:bCs w:val="1"/>
                <w:color w:val="auto"/>
              </w:rPr>
              <w:t>Net increase in net assets resulting from operations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8"/>
              </w:rPr>
              <w:t>14,707,479</w:t>
            </w:r>
          </w:p>
        </w:tc>
        <w:tc>
          <w:tcPr>
            <w:tcW w:w="22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6"/>
              </w:rPr>
              <w:t>12,555,145</w:t>
            </w:r>
          </w:p>
        </w:tc>
        <w:tc>
          <w:tcPr>
            <w:tcW w:w="22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6"/>
              </w:rPr>
              <w:t>52,511,411</w:t>
            </w:r>
          </w:p>
        </w:tc>
        <w:tc>
          <w:tcPr>
            <w:tcW w:w="22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1,426,990</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line="242" w:lineRule="exact"/>
              <w:rPr>
                <w:sz w:val="20"/>
                <w:szCs w:val="20"/>
                <w:color w:val="auto"/>
              </w:rPr>
            </w:pPr>
            <w:r>
              <w:rPr>
                <w:rFonts w:ascii="Arial" w:cs="Arial" w:eastAsia="Arial" w:hAnsi="Arial"/>
                <w:sz w:val="22"/>
                <w:szCs w:val="22"/>
                <w:color w:val="auto"/>
              </w:rPr>
              <w:t>Net increase in net assets resulting from operations per</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5540" w:type="dxa"/>
            <w:vAlign w:val="bottom"/>
            <w:vMerge w:val="continue"/>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22"/>
                <w:szCs w:val="22"/>
                <w:color w:val="auto"/>
                <w:w w:val="97"/>
              </w:rPr>
              <w:t>$</w:t>
            </w:r>
          </w:p>
        </w:tc>
        <w:tc>
          <w:tcPr>
            <w:tcW w:w="1100" w:type="dxa"/>
            <w:vAlign w:val="bottom"/>
            <w:vMerge w:val="restart"/>
          </w:tcPr>
          <w:p>
            <w:pPr>
              <w:jc w:val="right"/>
              <w:spacing w:after="0"/>
              <w:rPr>
                <w:sz w:val="20"/>
                <w:szCs w:val="20"/>
                <w:color w:val="auto"/>
              </w:rPr>
            </w:pPr>
            <w:r>
              <w:rPr>
                <w:rFonts w:ascii="Arial" w:cs="Arial" w:eastAsia="Arial" w:hAnsi="Arial"/>
                <w:sz w:val="22"/>
                <w:szCs w:val="22"/>
                <w:color w:val="auto"/>
              </w:rPr>
              <w:t>0.38</w:t>
            </w:r>
          </w:p>
        </w:tc>
        <w:tc>
          <w:tcPr>
            <w:tcW w:w="22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100" w:type="dxa"/>
            <w:vAlign w:val="bottom"/>
            <w:vMerge w:val="restart"/>
          </w:tcPr>
          <w:p>
            <w:pPr>
              <w:jc w:val="right"/>
              <w:spacing w:after="0"/>
              <w:rPr>
                <w:sz w:val="20"/>
                <w:szCs w:val="20"/>
                <w:color w:val="auto"/>
              </w:rPr>
            </w:pPr>
            <w:r>
              <w:rPr>
                <w:rFonts w:ascii="Arial" w:cs="Arial" w:eastAsia="Arial" w:hAnsi="Arial"/>
                <w:sz w:val="22"/>
                <w:szCs w:val="22"/>
                <w:color w:val="auto"/>
              </w:rPr>
              <w:t>0.32</w:t>
            </w:r>
          </w:p>
        </w:tc>
        <w:tc>
          <w:tcPr>
            <w:tcW w:w="22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vMerge w:val="restart"/>
          </w:tcPr>
          <w:p>
            <w:pPr>
              <w:jc w:val="right"/>
              <w:spacing w:after="0"/>
              <w:rPr>
                <w:sz w:val="20"/>
                <w:szCs w:val="20"/>
                <w:color w:val="auto"/>
              </w:rPr>
            </w:pPr>
            <w:r>
              <w:rPr>
                <w:rFonts w:ascii="Arial" w:cs="Arial" w:eastAsia="Arial" w:hAnsi="Arial"/>
                <w:sz w:val="22"/>
                <w:szCs w:val="22"/>
                <w:color w:val="auto"/>
              </w:rPr>
              <w:t>1.35</w:t>
            </w:r>
          </w:p>
        </w:tc>
        <w:tc>
          <w:tcPr>
            <w:tcW w:w="22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100" w:type="dxa"/>
            <w:vAlign w:val="bottom"/>
            <w:vMerge w:val="restart"/>
          </w:tcPr>
          <w:p>
            <w:pPr>
              <w:jc w:val="right"/>
              <w:spacing w:after="0"/>
              <w:rPr>
                <w:sz w:val="20"/>
                <w:szCs w:val="20"/>
                <w:color w:val="auto"/>
              </w:rPr>
            </w:pPr>
            <w:r>
              <w:rPr>
                <w:rFonts w:ascii="Arial" w:cs="Arial" w:eastAsia="Arial" w:hAnsi="Arial"/>
                <w:sz w:val="22"/>
                <w:szCs w:val="22"/>
                <w:color w:val="auto"/>
              </w:rPr>
              <w:t>0.04</w:t>
            </w:r>
          </w:p>
        </w:tc>
        <w:tc>
          <w:tcPr>
            <w:tcW w:w="0" w:type="dxa"/>
            <w:vAlign w:val="bottom"/>
          </w:tcPr>
          <w:p>
            <w:pPr>
              <w:spacing w:after="0"/>
              <w:rPr>
                <w:sz w:val="1"/>
                <w:szCs w:val="1"/>
                <w:color w:val="auto"/>
              </w:rPr>
            </w:pPr>
          </w:p>
        </w:tc>
      </w:tr>
      <w:tr>
        <w:trPr>
          <w:trHeight w:val="256"/>
        </w:trPr>
        <w:tc>
          <w:tcPr>
            <w:tcW w:w="5540" w:type="dxa"/>
            <w:vAlign w:val="bottom"/>
          </w:tcPr>
          <w:p>
            <w:pPr>
              <w:spacing w:after="0" w:line="251" w:lineRule="exact"/>
              <w:rPr>
                <w:sz w:val="20"/>
                <w:szCs w:val="20"/>
                <w:color w:val="auto"/>
              </w:rPr>
            </w:pPr>
            <w:r>
              <w:rPr>
                <w:rFonts w:ascii="Arial" w:cs="Arial" w:eastAsia="Arial" w:hAnsi="Arial"/>
                <w:sz w:val="22"/>
                <w:szCs w:val="22"/>
                <w:color w:val="auto"/>
              </w:rPr>
              <w:t>common share</w:t>
            </w:r>
          </w:p>
        </w:tc>
        <w:tc>
          <w:tcPr>
            <w:tcW w:w="160" w:type="dxa"/>
            <w:vAlign w:val="bottom"/>
            <w:tcBorders>
              <w:bottom w:val="single" w:sz="8" w:color="auto"/>
            </w:tcBorders>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540" w:type="dxa"/>
            <w:vAlign w:val="bottom"/>
          </w:tcPr>
          <w:p>
            <w:pPr>
              <w:spacing w:after="0"/>
              <w:rPr>
                <w:sz w:val="20"/>
                <w:szCs w:val="20"/>
                <w:color w:val="auto"/>
              </w:rPr>
            </w:pPr>
            <w:r>
              <w:rPr>
                <w:rFonts w:ascii="Arial" w:cs="Arial" w:eastAsia="Arial" w:hAnsi="Arial"/>
                <w:sz w:val="22"/>
                <w:szCs w:val="22"/>
                <w:color w:val="auto"/>
              </w:rPr>
              <w:t>Net investment income per common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0.27</w:t>
            </w:r>
          </w:p>
        </w:tc>
        <w:tc>
          <w:tcPr>
            <w:tcW w:w="2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0.26</w:t>
            </w:r>
          </w:p>
        </w:tc>
        <w:tc>
          <w:tcPr>
            <w:tcW w:w="2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0.78</w:t>
            </w:r>
          </w:p>
        </w:tc>
        <w:tc>
          <w:tcPr>
            <w:tcW w:w="2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0.85</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FLOATING RATE CAPITAL LTD.</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ADVISERS, LLC</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middle-market credit platform, managing $5.2 billion of investable capital, including potential leverage. Since its inception in 2007, PennantPark Investment Advisers, LLC has provided investors access to middle-market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as well as changes in the economy and risks associated with possible disruption in the Company’s operations or the economy generally due to terrorism, natural disasters or pandemics such as COVID-19.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98" w:lineRule="exact"/>
        <w:rPr>
          <w:sz w:val="20"/>
          <w:szCs w:val="20"/>
          <w:color w:val="auto"/>
        </w:rPr>
      </w:pPr>
    </w:p>
    <w:p>
      <w:pPr>
        <w:ind w:left="20"/>
        <w:spacing w:after="0"/>
        <w:tabs>
          <w:tab w:leader="none" w:pos="1360" w:val="left"/>
        </w:tabs>
        <w:rPr>
          <w:sz w:val="20"/>
          <w:szCs w:val="20"/>
          <w:color w:val="auto"/>
        </w:rPr>
      </w:pPr>
      <w:r>
        <w:rPr>
          <w:rFonts w:ascii="Arial" w:cs="Arial" w:eastAsia="Arial" w:hAnsi="Arial"/>
          <w:sz w:val="22"/>
          <w:szCs w:val="22"/>
          <w:color w:val="auto"/>
        </w:rPr>
        <w:t>CONTACT:</w:t>
        <w:tab/>
        <w:t>Richard Cheung</w:t>
      </w:r>
    </w:p>
    <w:p>
      <w:pPr>
        <w:spacing w:after="0" w:line="21"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PennantPark Floating Rate Capital Ltd.</w:t>
      </w:r>
    </w:p>
    <w:p>
      <w:pPr>
        <w:sectPr>
          <w:pgSz w:w="11900" w:h="16838" w:orient="portrait"/>
          <w:cols w:equalWidth="0" w:num="1">
            <w:col w:w="11240"/>
          </w:cols>
          <w:pgMar w:left="320" w:top="118" w:right="339" w:bottom="0" w:gutter="0" w:footer="0" w:header="0"/>
        </w:sectPr>
      </w:pPr>
    </w:p>
    <w:bookmarkStart w:id="9" w:name="page10"/>
    <w:bookmarkEnd w:id="9"/>
    <w:p>
      <w:pPr>
        <w:ind w:left="260" w:right="6759" w:hanging="9"/>
        <w:spacing w:after="0" w:line="358" w:lineRule="auto"/>
        <w:tabs>
          <w:tab w:leader="none" w:pos="782" w:val="left"/>
        </w:tabs>
        <w:numPr>
          <w:ilvl w:val="0"/>
          <w:numId w:val="5"/>
        </w:numPr>
        <w:rPr>
          <w:rFonts w:ascii="Arial" w:cs="Arial" w:eastAsia="Arial" w:hAnsi="Arial"/>
          <w:sz w:val="19"/>
          <w:szCs w:val="19"/>
          <w:color w:val="auto"/>
        </w:rPr>
      </w:pPr>
      <w:r>
        <w:rPr>
          <w:rFonts w:ascii="Arial" w:cs="Arial" w:eastAsia="Arial" w:hAnsi="Arial"/>
          <w:sz w:val="19"/>
          <w:szCs w:val="19"/>
          <w:color w:val="auto"/>
        </w:rPr>
        <w:t xml:space="preserve">905-1000 </w:t>
      </w:r>
      <w:r>
        <w:rPr>
          <w:rFonts w:ascii="Arial" w:cs="Arial" w:eastAsia="Arial" w:hAnsi="Arial"/>
          <w:sz w:val="19"/>
          <w:szCs w:val="19"/>
          <w:u w:val="single" w:color="auto"/>
          <w:color w:val="auto"/>
        </w:rPr>
        <w:t>www.pennantpark.com</w:t>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2021-08-04T16:22:52Z</dcterms:created>
  <dcterms:modified xsi:type="dcterms:W3CDTF">2021-08-04T16:22:52Z</dcterms:modified>
</cp:coreProperties>
</file>