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Date of Report: November 17, 2011</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261"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382"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Maryland</w:t>
            </w:r>
          </w:p>
        </w:tc>
        <w:tc>
          <w:tcPr>
            <w:tcW w:w="198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814-00891</w:t>
            </w:r>
          </w:p>
        </w:tc>
        <w:tc>
          <w:tcPr>
            <w:tcW w:w="2180" w:type="dxa"/>
            <w:vAlign w:val="bottom"/>
          </w:tcPr>
          <w:p>
            <w:pPr>
              <w:jc w:val="right"/>
              <w:ind w:right="330"/>
              <w:spacing w:after="0"/>
              <w:rPr>
                <w:sz w:val="20"/>
                <w:szCs w:val="20"/>
                <w:color w:val="auto"/>
              </w:rPr>
            </w:pPr>
            <w:r>
              <w:rPr>
                <w:rFonts w:ascii="Arial" w:cs="Arial" w:eastAsia="Arial" w:hAnsi="Arial"/>
                <w:sz w:val="18"/>
                <w:szCs w:val="18"/>
                <w:b w:val="1"/>
                <w:bCs w:val="1"/>
                <w:color w:val="auto"/>
              </w:rPr>
              <w:t>27-3794690</w:t>
            </w:r>
          </w:p>
        </w:tc>
      </w:tr>
      <w:tr>
        <w:trPr>
          <w:trHeight w:val="216"/>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198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w:t>
            </w:r>
          </w:p>
        </w:tc>
        <w:tc>
          <w:tcPr>
            <w:tcW w:w="2180" w:type="dxa"/>
            <w:vAlign w:val="bottom"/>
          </w:tcPr>
          <w:p>
            <w:pPr>
              <w:jc w:val="center"/>
              <w:ind w:left="430"/>
              <w:spacing w:after="0"/>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w w:val="91"/>
              </w:rPr>
              <w:t>Number)</w:t>
            </w:r>
          </w:p>
        </w:tc>
        <w:tc>
          <w:tcPr>
            <w:tcW w:w="2180" w:type="dxa"/>
            <w:vAlign w:val="bottom"/>
          </w:tcPr>
          <w:p>
            <w:pPr>
              <w:jc w:val="center"/>
              <w:ind w:left="430"/>
              <w:spacing w:after="0"/>
              <w:rPr>
                <w:sz w:val="20"/>
                <w:szCs w:val="20"/>
                <w:color w:val="auto"/>
              </w:rPr>
            </w:pPr>
            <w:r>
              <w:rPr>
                <w:rFonts w:ascii="Arial" w:cs="Arial" w:eastAsia="Arial" w:hAnsi="Arial"/>
                <w:sz w:val="18"/>
                <w:szCs w:val="18"/>
                <w:color w:val="auto"/>
                <w:w w:val="94"/>
              </w:rPr>
              <w:t>Identification Number)</w:t>
            </w:r>
          </w:p>
        </w:tc>
      </w:tr>
      <w:tr>
        <w:trPr>
          <w:trHeight w:val="589"/>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590 Madison Avenue, 15th Floor, New</w:t>
            </w: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0"/>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York, NY</w:t>
            </w:r>
          </w:p>
        </w:tc>
        <w:tc>
          <w:tcPr>
            <w:tcW w:w="1980" w:type="dxa"/>
            <w:vAlign w:val="bottom"/>
          </w:tcPr>
          <w:p>
            <w:pPr>
              <w:spacing w:after="0"/>
              <w:rPr>
                <w:sz w:val="19"/>
                <w:szCs w:val="19"/>
                <w:color w:val="auto"/>
              </w:rPr>
            </w:pPr>
          </w:p>
        </w:tc>
        <w:tc>
          <w:tcPr>
            <w:tcW w:w="2180" w:type="dxa"/>
            <w:vAlign w:val="bottom"/>
          </w:tcPr>
          <w:p>
            <w:pPr>
              <w:jc w:val="right"/>
              <w:ind w:right="550"/>
              <w:spacing w:after="0"/>
              <w:rPr>
                <w:sz w:val="20"/>
                <w:szCs w:val="20"/>
                <w:color w:val="auto"/>
              </w:rPr>
            </w:pPr>
            <w:r>
              <w:rPr>
                <w:rFonts w:ascii="Arial" w:cs="Arial" w:eastAsia="Arial" w:hAnsi="Arial"/>
                <w:sz w:val="18"/>
                <w:szCs w:val="18"/>
                <w:b w:val="1"/>
                <w:bCs w:val="1"/>
                <w:color w:val="auto"/>
              </w:rPr>
              <w:t>10022</w:t>
            </w:r>
          </w:p>
        </w:tc>
      </w:tr>
      <w:tr>
        <w:trPr>
          <w:trHeight w:val="230"/>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c>
          <w:tcPr>
            <w:tcW w:w="21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(Registrant's telephone number, including area code)</w:t>
      </w:r>
    </w:p>
    <w:p>
      <w:pPr>
        <w:spacing w:after="0" w:line="38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54"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0560"/>
          </w:cols>
          <w:pgMar w:left="320" w:top="1066" w:right="1019" w:bottom="1440" w:gutter="0" w:footer="0" w:header="0"/>
        </w:sectPr>
      </w:pPr>
    </w:p>
    <w:bookmarkStart w:id="1" w:name="page2"/>
    <w:bookmarkEnd w:id="1"/>
    <w:p>
      <w:pPr>
        <w:ind w:left="5"/>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5"/>
        <w:spacing w:after="0" w:line="342" w:lineRule="auto"/>
        <w:rPr>
          <w:sz w:val="20"/>
          <w:szCs w:val="20"/>
          <w:color w:val="auto"/>
        </w:rPr>
      </w:pPr>
      <w:r>
        <w:rPr>
          <w:rFonts w:ascii="Arial" w:cs="Arial" w:eastAsia="Arial" w:hAnsi="Arial"/>
          <w:sz w:val="16"/>
          <w:szCs w:val="16"/>
          <w:color w:val="auto"/>
        </w:rPr>
        <w:t>On November 17, 2011, PennantPark Floating Rate Capital Ltd. issued a press release announcing its financial results for the quarter and fiscal year ended September 30, 2011. A copy of the press release is furnished as exhibit 99.1 to this report pursuant to Item 2.02 on Form 8-K and Regulation FD.</w:t>
      </w:r>
    </w:p>
    <w:p>
      <w:pPr>
        <w:spacing w:after="0" w:line="124" w:lineRule="exact"/>
        <w:rPr>
          <w:sz w:val="20"/>
          <w:szCs w:val="20"/>
          <w:color w:val="auto"/>
        </w:rPr>
      </w:pPr>
    </w:p>
    <w:p>
      <w:pPr>
        <w:ind w:left="5" w:right="80"/>
        <w:spacing w:after="0" w:line="259"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report on Form 8-K shall not be deemed incorporated by reference in any filing under the Securities Act of 1933, as amended, or the Exchange Act, except as shall be expressly set forth by specific reference in such filing.</w:t>
      </w:r>
    </w:p>
    <w:p>
      <w:pPr>
        <w:spacing w:after="0" w:line="39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p>
      <w:pPr>
        <w:ind w:left="585" w:right="9220" w:hanging="585"/>
        <w:spacing w:after="0" w:line="293" w:lineRule="auto"/>
        <w:tabs>
          <w:tab w:leader="none" w:pos="25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585" w:right="8320" w:hanging="585"/>
        <w:spacing w:after="0" w:line="250" w:lineRule="auto"/>
        <w:tabs>
          <w:tab w:leader="none" w:pos="26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585" w:right="8720" w:hanging="585"/>
        <w:spacing w:after="0" w:line="250" w:lineRule="auto"/>
        <w:tabs>
          <w:tab w:leader="none" w:pos="24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65" w:hanging="265"/>
        <w:spacing w:after="0"/>
        <w:tabs>
          <w:tab w:leader="none" w:pos="26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585"/>
        <w:spacing w:after="0"/>
        <w:tabs>
          <w:tab w:leader="none" w:pos="1145"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PennantPark Floating Rate Capital Ltd. dated November 17,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5" w:right="8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tbl>
      <w:tblPr>
        <w:tblLayout w:type="fixed"/>
        <w:tblInd w:w="1105"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100" w:type="dxa"/>
            <w:vAlign w:val="bottom"/>
            <w:gridSpan w:val="3"/>
          </w:tcPr>
          <w:p>
            <w:pPr>
              <w:ind w:left="920"/>
              <w:spacing w:after="0"/>
              <w:rPr>
                <w:sz w:val="20"/>
                <w:szCs w:val="20"/>
                <w:color w:val="auto"/>
              </w:rPr>
            </w:pPr>
            <w:r>
              <w:rPr>
                <w:rFonts w:ascii="Arial" w:cs="Arial" w:eastAsia="Arial" w:hAnsi="Arial"/>
                <w:sz w:val="18"/>
                <w:szCs w:val="18"/>
                <w:b w:val="1"/>
                <w:bCs w:val="1"/>
                <w:color w:val="auto"/>
                <w:w w:val="99"/>
              </w:rPr>
              <w:t>PENNANTPARK FLOATING RATE CAPITAL LTD.</w:t>
            </w:r>
          </w:p>
        </w:tc>
      </w:tr>
      <w:tr>
        <w:trPr>
          <w:trHeight w:val="391"/>
        </w:trPr>
        <w:tc>
          <w:tcPr>
            <w:tcW w:w="2860" w:type="dxa"/>
            <w:vAlign w:val="bottom"/>
          </w:tcPr>
          <w:p>
            <w:pPr>
              <w:spacing w:after="0"/>
              <w:rPr>
                <w:sz w:val="20"/>
                <w:szCs w:val="20"/>
                <w:color w:val="auto"/>
              </w:rPr>
            </w:pPr>
            <w:r>
              <w:rPr>
                <w:rFonts w:ascii="Arial" w:cs="Arial" w:eastAsia="Arial" w:hAnsi="Arial"/>
                <w:sz w:val="18"/>
                <w:szCs w:val="18"/>
                <w:color w:val="auto"/>
              </w:rPr>
              <w:t>Dated: November 17, 2011</w:t>
            </w:r>
          </w:p>
        </w:tc>
        <w:tc>
          <w:tcPr>
            <w:tcW w:w="5100" w:type="dxa"/>
            <w:vAlign w:val="bottom"/>
            <w:gridSpan w:val="3"/>
          </w:tcPr>
          <w:p>
            <w:pPr>
              <w:ind w:left="920"/>
              <w:spacing w:after="0"/>
              <w:rPr>
                <w:sz w:val="20"/>
                <w:szCs w:val="20"/>
                <w:color w:val="auto"/>
              </w:rPr>
            </w:pPr>
            <w:r>
              <w:rPr>
                <w:rFonts w:ascii="Arial" w:cs="Arial" w:eastAsia="Arial" w:hAnsi="Arial"/>
                <w:sz w:val="18"/>
                <w:szCs w:val="18"/>
                <w:color w:val="auto"/>
              </w:rPr>
              <w:t>By: /s/ Aviv Efrat</w:t>
            </w:r>
          </w:p>
        </w:tc>
      </w:tr>
      <w:tr>
        <w:trPr>
          <w:trHeight w:val="20"/>
        </w:trPr>
        <w:tc>
          <w:tcPr>
            <w:tcW w:w="2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2860" w:type="dxa"/>
            <w:vAlign w:val="bottom"/>
          </w:tcPr>
          <w:p>
            <w:pPr>
              <w:spacing w:after="0"/>
              <w:rPr>
                <w:sz w:val="19"/>
                <w:szCs w:val="19"/>
                <w:color w:val="auto"/>
              </w:rPr>
            </w:pPr>
          </w:p>
        </w:tc>
        <w:tc>
          <w:tcPr>
            <w:tcW w:w="5100" w:type="dxa"/>
            <w:vAlign w:val="bottom"/>
            <w:gridSpan w:val="3"/>
          </w:tcPr>
          <w:p>
            <w:pPr>
              <w:ind w:left="1180"/>
              <w:spacing w:after="0"/>
              <w:rPr>
                <w:sz w:val="20"/>
                <w:szCs w:val="20"/>
                <w:color w:val="auto"/>
              </w:rPr>
            </w:pPr>
            <w:r>
              <w:rPr>
                <w:rFonts w:ascii="Arial" w:cs="Arial" w:eastAsia="Arial" w:hAnsi="Arial"/>
                <w:sz w:val="18"/>
                <w:szCs w:val="18"/>
                <w:color w:val="auto"/>
              </w:rPr>
              <w:t>Aviv Efrat</w:t>
            </w:r>
          </w:p>
        </w:tc>
      </w:tr>
      <w:tr>
        <w:trPr>
          <w:trHeight w:val="230"/>
        </w:trPr>
        <w:tc>
          <w:tcPr>
            <w:tcW w:w="2860" w:type="dxa"/>
            <w:vAlign w:val="bottom"/>
          </w:tcPr>
          <w:p>
            <w:pPr>
              <w:spacing w:after="0"/>
              <w:rPr>
                <w:sz w:val="20"/>
                <w:szCs w:val="20"/>
                <w:color w:val="auto"/>
              </w:rPr>
            </w:pPr>
          </w:p>
        </w:tc>
        <w:tc>
          <w:tcPr>
            <w:tcW w:w="5100" w:type="dxa"/>
            <w:vAlign w:val="bottom"/>
            <w:gridSpan w:val="3"/>
          </w:tcPr>
          <w:p>
            <w:pPr>
              <w:ind w:left="1200"/>
              <w:spacing w:after="0"/>
              <w:rPr>
                <w:sz w:val="20"/>
                <w:szCs w:val="20"/>
                <w:color w:val="auto"/>
              </w:rPr>
            </w:pPr>
            <w:r>
              <w:rPr>
                <w:rFonts w:ascii="Arial" w:cs="Arial" w:eastAsia="Arial" w:hAnsi="Arial"/>
                <w:sz w:val="18"/>
                <w:szCs w:val="18"/>
                <w:i w:val="1"/>
                <w:iCs w:val="1"/>
                <w:color w:val="auto"/>
              </w:rPr>
              <w:t>Chief Financial Officer &amp; Treasurer</w:t>
            </w:r>
          </w:p>
        </w:tc>
      </w:tr>
    </w:tbl>
    <w:p>
      <w:pPr>
        <w:spacing w:after="0" w:line="387" w:lineRule="exact"/>
        <w:rPr>
          <w:sz w:val="20"/>
          <w:szCs w:val="20"/>
          <w:color w:val="auto"/>
        </w:rPr>
      </w:pPr>
    </w:p>
    <w:tbl>
      <w:tblPr>
        <w:tblLayout w:type="fixed"/>
        <w:tblInd w:w="2345"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42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3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47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Description</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80" w:type="dxa"/>
            <w:vAlign w:val="bottom"/>
            <w:vMerge w:val="restart"/>
          </w:tcPr>
          <w:p>
            <w:pPr>
              <w:jc w:val="right"/>
              <w:ind w:right="190"/>
              <w:spacing w:after="0"/>
              <w:rPr>
                <w:sz w:val="20"/>
                <w:szCs w:val="20"/>
                <w:color w:val="auto"/>
              </w:rPr>
            </w:pPr>
            <w:r>
              <w:rPr>
                <w:rFonts w:ascii="Arial" w:cs="Arial" w:eastAsia="Arial" w:hAnsi="Arial"/>
                <w:sz w:val="18"/>
                <w:szCs w:val="18"/>
                <w:color w:val="auto"/>
              </w:rPr>
              <w:t>99.1</w:t>
            </w:r>
          </w:p>
        </w:tc>
        <w:tc>
          <w:tcPr>
            <w:tcW w:w="7420" w:type="dxa"/>
            <w:vAlign w:val="bottom"/>
            <w:gridSpan w:val="3"/>
          </w:tcPr>
          <w:p>
            <w:pPr>
              <w:jc w:val="center"/>
              <w:ind w:left="2830"/>
              <w:spacing w:after="0"/>
              <w:rPr>
                <w:sz w:val="20"/>
                <w:szCs w:val="20"/>
                <w:color w:val="auto"/>
              </w:rPr>
            </w:pPr>
            <w:r>
              <w:rPr>
                <w:rFonts w:ascii="Arial" w:cs="Arial" w:eastAsia="Arial" w:hAnsi="Arial"/>
                <w:sz w:val="18"/>
                <w:szCs w:val="18"/>
                <w:color w:val="auto"/>
                <w:w w:val="89"/>
              </w:rPr>
              <w:t>Press Release of PennantPark Floating Rate Capital Ltd. dated</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7420" w:type="dxa"/>
            <w:vAlign w:val="bottom"/>
            <w:gridSpan w:val="3"/>
            <w:vMerge w:val="restart"/>
          </w:tcPr>
          <w:p>
            <w:pPr>
              <w:jc w:val="center"/>
              <w:ind w:left="2830"/>
              <w:spacing w:after="0"/>
              <w:rPr>
                <w:sz w:val="20"/>
                <w:szCs w:val="20"/>
                <w:color w:val="auto"/>
              </w:rPr>
            </w:pPr>
            <w:r>
              <w:rPr>
                <w:rFonts w:ascii="Arial" w:cs="Arial" w:eastAsia="Arial" w:hAnsi="Arial"/>
                <w:sz w:val="18"/>
                <w:szCs w:val="18"/>
                <w:color w:val="auto"/>
                <w:w w:val="89"/>
              </w:rPr>
              <w:t>November 17, 2011</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25"/>
          </w:cols>
          <w:pgMar w:left="355" w:top="742"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37160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283210"/>
                    </a:xfrm>
                    <a:prstGeom prst="rect">
                      <a:avLst/>
                    </a:prstGeom>
                    <a:noFill/>
                  </pic:spPr>
                </pic:pic>
              </a:graphicData>
            </a:graphic>
          </wp:anchor>
        </w:drawing>
        <w:t>PennantPark Floating Rate Capital Ltd. Announces Financial Results for the Quarter and Year Ended September 30, 2011</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NEW YORK, NY - (Marketwire - November 17, 2011) - PennantPark Floating Rate Capital Ltd. (NASDAQ: PFLT), “we," “our,” “us” or “Company” today announces financial results for its fourth and year ended September 30,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171" w:lineRule="exact"/>
        <w:rPr>
          <w:sz w:val="20"/>
          <w:szCs w:val="20"/>
          <w:color w:val="auto"/>
        </w:rPr>
      </w:pPr>
    </w:p>
    <w:p>
      <w:pPr>
        <w:ind w:left="40" w:right="4640"/>
        <w:spacing w:after="0" w:line="277" w:lineRule="auto"/>
        <w:rPr>
          <w:sz w:val="20"/>
          <w:szCs w:val="20"/>
          <w:color w:val="auto"/>
        </w:rPr>
      </w:pPr>
      <w:r>
        <w:rPr>
          <w:rFonts w:ascii="Arial" w:cs="Arial" w:eastAsia="Arial" w:hAnsi="Arial"/>
          <w:sz w:val="18"/>
          <w:szCs w:val="18"/>
          <w:color w:val="auto"/>
        </w:rPr>
        <w:t>For the period from March 4, 2011 (commencement of operations) to September 30, 2011 ($ in millions,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00" w:type="dxa"/>
            <w:vAlign w:val="bottom"/>
            <w:shd w:val="clear" w:color="auto" w:fill="CCECFF"/>
          </w:tcPr>
          <w:p>
            <w:pPr>
              <w:ind w:left="40"/>
              <w:spacing w:after="0"/>
              <w:rPr>
                <w:sz w:val="20"/>
                <w:szCs w:val="20"/>
                <w:color w:val="auto"/>
              </w:rPr>
            </w:pPr>
            <w:r>
              <w:rPr>
                <w:rFonts w:ascii="Arial" w:cs="Arial" w:eastAsia="Arial" w:hAnsi="Arial"/>
                <w:sz w:val="18"/>
                <w:szCs w:val="18"/>
                <w:color w:val="auto"/>
              </w:rPr>
              <w:t>Assets and Liabilities:</w:t>
            </w:r>
          </w:p>
        </w:tc>
        <w:tc>
          <w:tcPr>
            <w:tcW w:w="1340" w:type="dxa"/>
            <w:vAlign w:val="bottom"/>
            <w:shd w:val="clear" w:color="auto" w:fill="CCECFF"/>
          </w:tcPr>
          <w:p>
            <w:pPr>
              <w:spacing w:after="0"/>
              <w:rPr>
                <w:sz w:val="23"/>
                <w:szCs w:val="23"/>
                <w:color w:val="auto"/>
              </w:rPr>
            </w:pPr>
          </w:p>
        </w:tc>
        <w:tc>
          <w:tcPr>
            <w:tcW w:w="900" w:type="dxa"/>
            <w:vAlign w:val="bottom"/>
            <w:shd w:val="clear" w:color="auto" w:fill="CCECFF"/>
          </w:tcPr>
          <w:p>
            <w:pPr>
              <w:spacing w:after="0"/>
              <w:rPr>
                <w:sz w:val="23"/>
                <w:szCs w:val="23"/>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Investment portfolio</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110.7</w:t>
            </w:r>
          </w:p>
        </w:tc>
      </w:tr>
      <w:tr>
        <w:trPr>
          <w:trHeight w:val="27"/>
        </w:trPr>
        <w:tc>
          <w:tcPr>
            <w:tcW w:w="3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Net assets</w:t>
            </w:r>
          </w:p>
        </w:tc>
        <w:tc>
          <w:tcPr>
            <w:tcW w:w="1340" w:type="dxa"/>
            <w:vAlign w:val="bottom"/>
            <w:tcBorders>
              <w:bottom w:val="single" w:sz="8" w:color="CCECFF"/>
            </w:tcBorders>
            <w:shd w:val="clear" w:color="auto" w:fill="CCEC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CFF"/>
            </w:tcBorders>
            <w:shd w:val="clear" w:color="auto" w:fill="CCECFF"/>
          </w:tcPr>
          <w:p>
            <w:pPr>
              <w:jc w:val="right"/>
              <w:ind w:right="210"/>
              <w:spacing w:after="0"/>
              <w:rPr>
                <w:sz w:val="20"/>
                <w:szCs w:val="20"/>
                <w:color w:val="auto"/>
              </w:rPr>
            </w:pPr>
            <w:r>
              <w:rPr>
                <w:rFonts w:ascii="Arial" w:cs="Arial" w:eastAsia="Arial" w:hAnsi="Arial"/>
                <w:sz w:val="18"/>
                <w:szCs w:val="18"/>
                <w:color w:val="auto"/>
              </w:rPr>
              <w:t>92.1</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Net asset value per share</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13.44</w:t>
            </w:r>
          </w:p>
        </w:tc>
      </w:tr>
      <w:tr>
        <w:trPr>
          <w:trHeight w:val="27"/>
        </w:trPr>
        <w:tc>
          <w:tcPr>
            <w:tcW w:w="3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000" w:type="dxa"/>
            <w:vAlign w:val="bottom"/>
            <w:shd w:val="clear" w:color="auto" w:fill="CCECFF"/>
          </w:tcPr>
          <w:p>
            <w:pPr>
              <w:ind w:left="40"/>
              <w:spacing w:after="0"/>
              <w:rPr>
                <w:sz w:val="20"/>
                <w:szCs w:val="20"/>
                <w:color w:val="auto"/>
              </w:rPr>
            </w:pPr>
            <w:r>
              <w:rPr>
                <w:rFonts w:ascii="Arial" w:cs="Arial" w:eastAsia="Arial" w:hAnsi="Arial"/>
                <w:sz w:val="18"/>
                <w:szCs w:val="18"/>
                <w:color w:val="auto"/>
              </w:rPr>
              <w:t>Credit facility (cost</w:t>
            </w:r>
            <w:r>
              <w:rPr>
                <w:rFonts w:ascii="Arial" w:cs="Arial" w:eastAsia="Arial" w:hAnsi="Arial"/>
                <w:sz w:val="14"/>
                <w:szCs w:val="14"/>
                <w:color w:val="auto"/>
              </w:rPr>
              <w:t>-</w:t>
            </w:r>
            <w:r>
              <w:rPr>
                <w:rFonts w:ascii="Arial" w:cs="Arial" w:eastAsia="Arial" w:hAnsi="Arial"/>
                <w:sz w:val="18"/>
                <w:szCs w:val="18"/>
                <w:color w:val="auto"/>
              </w:rPr>
              <w:t>$24.7)</w:t>
            </w:r>
          </w:p>
        </w:tc>
        <w:tc>
          <w:tcPr>
            <w:tcW w:w="134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rPr>
              <w:t>24.7</w:t>
            </w:r>
          </w:p>
        </w:tc>
      </w:tr>
      <w:tr>
        <w:trPr>
          <w:trHeight w:val="27"/>
        </w:trPr>
        <w:tc>
          <w:tcPr>
            <w:tcW w:w="3000" w:type="dxa"/>
            <w:vAlign w:val="bottom"/>
            <w:shd w:val="clear" w:color="auto" w:fill="CCECFF"/>
          </w:tcPr>
          <w:p>
            <w:pPr>
              <w:spacing w:after="0"/>
              <w:rPr>
                <w:sz w:val="2"/>
                <w:szCs w:val="2"/>
                <w:color w:val="auto"/>
              </w:rPr>
            </w:pPr>
          </w:p>
        </w:tc>
        <w:tc>
          <w:tcPr>
            <w:tcW w:w="1340" w:type="dxa"/>
            <w:vAlign w:val="bottom"/>
            <w:shd w:val="clear" w:color="auto" w:fill="CCECFF"/>
          </w:tcPr>
          <w:p>
            <w:pPr>
              <w:spacing w:after="0"/>
              <w:rPr>
                <w:sz w:val="2"/>
                <w:szCs w:val="2"/>
                <w:color w:val="auto"/>
              </w:rPr>
            </w:pPr>
          </w:p>
        </w:tc>
        <w:tc>
          <w:tcPr>
            <w:tcW w:w="900" w:type="dxa"/>
            <w:vAlign w:val="bottom"/>
            <w:shd w:val="clear" w:color="auto" w:fill="CCECFF"/>
          </w:tcPr>
          <w:p>
            <w:pPr>
              <w:spacing w:after="0"/>
              <w:rPr>
                <w:sz w:val="2"/>
                <w:szCs w:val="2"/>
                <w:color w:val="auto"/>
              </w:rPr>
            </w:pP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60" w:type="dxa"/>
            <w:vAlign w:val="bottom"/>
            <w:shd w:val="clear" w:color="auto" w:fill="CCECFF"/>
          </w:tcPr>
          <w:p>
            <w:pPr>
              <w:ind w:left="40"/>
              <w:spacing w:after="0"/>
              <w:rPr>
                <w:sz w:val="20"/>
                <w:szCs w:val="20"/>
                <w:color w:val="auto"/>
              </w:rPr>
            </w:pPr>
            <w:r>
              <w:rPr>
                <w:rFonts w:ascii="Arial" w:cs="Arial" w:eastAsia="Arial" w:hAnsi="Arial"/>
                <w:sz w:val="18"/>
                <w:szCs w:val="18"/>
                <w:color w:val="auto"/>
              </w:rPr>
              <w:t>Yield on debt investments at period-end</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35"/>
        </w:trPr>
        <w:tc>
          <w:tcPr>
            <w:tcW w:w="4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left w:val="single" w:sz="8" w:color="CCEEFF"/>
              <w:bottom w:val="single" w:sz="8" w:color="CCECFF"/>
            </w:tcBorders>
            <w:shd w:val="clear" w:color="auto" w:fill="CCECFF"/>
          </w:tcPr>
          <w:p>
            <w:pPr>
              <w:spacing w:after="0"/>
              <w:rPr>
                <w:sz w:val="23"/>
                <w:szCs w:val="23"/>
                <w:color w:val="auto"/>
              </w:rPr>
            </w:pPr>
          </w:p>
        </w:tc>
        <w:tc>
          <w:tcPr>
            <w:tcW w:w="1560" w:type="dxa"/>
            <w:vAlign w:val="bottom"/>
            <w:tcBorders>
              <w:bottom w:val="single" w:sz="8" w:color="CCECFF"/>
            </w:tcBorders>
            <w:shd w:val="clear" w:color="auto" w:fill="CCECFF"/>
          </w:tcPr>
          <w:p>
            <w:pPr>
              <w:jc w:val="right"/>
              <w:ind w:right="330"/>
              <w:spacing w:after="0"/>
              <w:rPr>
                <w:sz w:val="20"/>
                <w:szCs w:val="20"/>
                <w:color w:val="auto"/>
              </w:rPr>
            </w:pPr>
            <w:r>
              <w:rPr>
                <w:rFonts w:ascii="Arial" w:cs="Arial" w:eastAsia="Arial" w:hAnsi="Arial"/>
                <w:sz w:val="18"/>
                <w:szCs w:val="18"/>
                <w:color w:val="auto"/>
              </w:rPr>
              <w:t>Period Ended</w:t>
            </w:r>
          </w:p>
        </w:tc>
        <w:tc>
          <w:tcPr>
            <w:tcW w:w="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CFF"/>
            </w:tcBorders>
            <w:shd w:val="clear" w:color="auto" w:fill="CCECFF"/>
          </w:tcPr>
          <w:p>
            <w:pPr>
              <w:spacing w:after="0"/>
              <w:rPr>
                <w:sz w:val="23"/>
                <w:szCs w:val="23"/>
                <w:color w:val="auto"/>
              </w:rPr>
            </w:pPr>
          </w:p>
        </w:tc>
        <w:tc>
          <w:tcPr>
            <w:tcW w:w="1580" w:type="dxa"/>
            <w:vAlign w:val="bottom"/>
            <w:tcBorders>
              <w:bottom w:val="single" w:sz="8" w:color="CCECFF"/>
            </w:tcBorders>
            <w:shd w:val="clear" w:color="auto" w:fill="CCECFF"/>
          </w:tcPr>
          <w:p>
            <w:pPr>
              <w:jc w:val="right"/>
              <w:ind w:right="292"/>
              <w:spacing w:after="0"/>
              <w:rPr>
                <w:sz w:val="20"/>
                <w:szCs w:val="20"/>
                <w:color w:val="auto"/>
              </w:rPr>
            </w:pPr>
            <w:r>
              <w:rPr>
                <w:rFonts w:ascii="Arial" w:cs="Arial" w:eastAsia="Arial" w:hAnsi="Arial"/>
                <w:sz w:val="18"/>
                <w:szCs w:val="18"/>
                <w:color w:val="auto"/>
                <w:w w:val="99"/>
              </w:rPr>
              <w:t>Quarter Ended</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Net investment income per share</w:t>
            </w:r>
          </w:p>
        </w:tc>
        <w:tc>
          <w:tcPr>
            <w:tcW w:w="1080" w:type="dxa"/>
            <w:vAlign w:val="bottom"/>
          </w:tcPr>
          <w:p>
            <w:pPr>
              <w:spacing w:after="0"/>
              <w:rPr>
                <w:sz w:val="20"/>
                <w:szCs w:val="20"/>
                <w:color w:val="auto"/>
              </w:rPr>
            </w:pP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6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0.18</w:t>
            </w:r>
          </w:p>
        </w:tc>
      </w:tr>
      <w:tr>
        <w:trPr>
          <w:trHeight w:val="27"/>
        </w:trPr>
        <w:tc>
          <w:tcPr>
            <w:tcW w:w="4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costs per share</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4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declared per share</w:t>
            </w:r>
          </w:p>
        </w:tc>
        <w:tc>
          <w:tcPr>
            <w:tcW w:w="1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9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0.20</w:t>
            </w:r>
          </w:p>
        </w:tc>
      </w:tr>
      <w:tr>
        <w:trPr>
          <w:trHeight w:val="270"/>
        </w:trPr>
        <w:tc>
          <w:tcPr>
            <w:tcW w:w="4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Portfolio Activity:</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left w:val="single" w:sz="8" w:color="CCEEFF"/>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Purchases of long-term investments</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32.7</w:t>
            </w:r>
          </w:p>
        </w:tc>
      </w:tr>
      <w:tr>
        <w:trPr>
          <w:trHeight w:val="27"/>
        </w:trPr>
        <w:tc>
          <w:tcPr>
            <w:tcW w:w="4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repayments of long-term investments</w:t>
            </w:r>
          </w:p>
        </w:tc>
        <w:tc>
          <w:tcPr>
            <w:tcW w:w="1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9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4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new portfolio companies invested</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left w:val="single" w:sz="8" w:color="CCEEFF"/>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Number of portfolio companies at end of period</w:t>
            </w: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38</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AT 10:00 A.M. ET ON NOVEMBER 18, 2011</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host a conference call at 10:00 a.m. (Eastern Time) on Friday, November 18, 2011 to discuss the fourth quarter and partial year 2011 financial results. All interested parties are welcome to participate. You can access the conference call by dialing (877) 780-3381 approximately 5-10 minutes prior to the call. International callers should dial (719) 325-2100. All callers should reference PennantPark Floating Rate Capital Ltd. An archived replay of the call will be available through December 2, 2011 by calling (888) 203-1112. International callers please dial (719) 457-0820. For all phone replays, please reference conference ID #8066498.</w:t>
      </w:r>
    </w:p>
    <w:p>
      <w:pPr>
        <w:sectPr>
          <w:pgSz w:w="11900" w:h="16838" w:orient="portrait"/>
          <w:cols w:equalWidth="0" w:num="1">
            <w:col w:w="11140"/>
          </w:cols>
          <w:pgMar w:left="320" w:top="1242"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 of September 30, 2011, our portfolio totaled $110.7 million and consisted of $94.3 million of senior secured loans, $9.3 million of second lien secured debt, $7.0 million of subordinated debt and $0.1 million of preferred and common equity investments.</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September 30, 2011,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8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the three months ended September 30, 2011, we invested $32.7 million in 12 new portfolio companies with a weighted average yield on debt investments of 8.2%. For the same period, sales and repayments of investments totaled $5.4 million.</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period March 4, 2011 (commencement of operations) to September 30, 2011, we invested $147.5 million in 50 portfolio companies with a weighted average yield on debt investments of 7.6%. For the same period, sales and repayments of investments totaled $33.2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Set forth below are the results of operations for the three months ended September 30, 2011 and for the period March 4, 2011 (commencement of operations) to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Investment income for the three months ended September 30, 2011, was $2.0 million, and was primarily attributable to $1.6 million from senior secured loan investments, and the remaining from second lien secured debt and subordinated debt.</w:t>
      </w:r>
    </w:p>
    <w:p>
      <w:pPr>
        <w:spacing w:after="0" w:line="23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Investment income for the period March 4, 2011 (commencement of operations) to September 30, 2011, was $2.9 million, and was primarily attributable to $2.4 million from senior secured loan investments, $0.4 from second lien secured debt investments, and $0.1 million from subordinated debt investments. We intend to deploy capital from our new credit facility to grow both our portfolio and investment income over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9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Expenses for the three months ended to September 30, 2011, totaled $0.8 million. Of this total, base management fees for the same period totaled $0.3 million, credit facility related expenses totaled $0.2 million, and general and administrative expenses totaled $0.3 million.</w:t>
      </w:r>
    </w:p>
    <w:p>
      <w:pPr>
        <w:spacing w:after="0" w:line="21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Expenses for the period from March 4, 2011 (commencement of operations) to September 30, 2011, totaled $2.6 million. Of this total, base management fees for the same period totaled $0.4 million, debt-issuance costs (non-recurring) totaled $1.4 million, credit facility expenses totaled $0.1 million and general and administrative expenses totaled $0.7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29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Net investment income totaled $1.2 million, or $0.18 per share for the three months ended September 30, 2011. Net investment income totaled $0.3 million, or $0.05 per share, for the period from March 4, 2011 (commencement of operations) to September 30, 2011.</w:t>
      </w:r>
    </w:p>
    <w:p>
      <w:pPr>
        <w:sectPr>
          <w:pgSz w:w="11900" w:h="16838" w:orient="portrait"/>
          <w:cols w:equalWidth="0" w:num="1">
            <w:col w:w="11220"/>
          </w:cols>
          <w:pgMar w:left="320" w:top="58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Net Realized Gains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Sales and repayments of investments for the three months ended September 30, 2011 totaled $5.4 million, and there were no realized gains.</w:t>
      </w:r>
    </w:p>
    <w:p>
      <w:pPr>
        <w:spacing w:after="0" w:line="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Sales and repayments of investments for the period from March 4, 2011 (commencement of operations) to September 30, 2011 totaled $33.2 million, and net realized gains totaled $0.3 million.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on Investments and Credit Facility</w:t>
      </w:r>
    </w:p>
    <w:p>
      <w:pPr>
        <w:spacing w:after="0" w:line="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unrealized depreciation on investments totaled $4.0 million for the three months ended September 30, 2011. There was no change in unrealized (appreciation) depreciation on the credit facility for the same period.</w:t>
      </w:r>
    </w:p>
    <w:p>
      <w:pPr>
        <w:spacing w:after="0" w:line="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unrealized depreciation on investments total $4.1 million for the period March 4, 2011 (commencement of operations) to September 30, 2011. There was no change in unrealized (appreciation) depreciation on the credit facility for the same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 net assets resulting from operations totaled $2.8 million, or $0.41 per share, for the three months ended September 30, 2011.</w:t>
      </w:r>
    </w:p>
    <w:p>
      <w:pPr>
        <w:spacing w:after="0" w:line="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decrease in net assets resulting from operations totaled $3.5 million, or $0.51 per share, for the period from March 4, 2011 (commencement of operations) to September 30, 2011.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liquidity and capital resources are derived from proceeds of our initial public offering, our credit facility, and cash flows from operations, including investment sales and income earned. Our primary use of funds from operations included investments in portfolio companies and other operating expenses we incur. We used, and expect to continue to use, these capital resources as well as proceeds from rotation within our portfolio and from public and private offerings of securities and our credit facility to finance our investment objective.</w:t>
      </w:r>
    </w:p>
    <w:p>
      <w:pPr>
        <w:spacing w:after="0" w:line="7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On June 23, 2011, we entered into a five-year senior secured revolving credit facility with affiliates of SunTrust Robinson Humphrey, Inc. The credit facility allows us to borrow up to $100.0 million and contains an accordion feature whereby the credit facility can be expanded to $600.0 million. As of September 30, 2011, we had $24.7 million in outstanding borrowings under the credit facility with a rate of 2.53%, exclusive of the 0.50% on undrawn commitments. We had $75.3 million available under our credit facility subject to various restrictions and covenants as of September 30, 2011.</w:t>
      </w:r>
    </w:p>
    <w:p>
      <w:pPr>
        <w:spacing w:after="0" w:line="49"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For the period March 4, 2011 (commencement of operations) to September 30, 2011 and for the three months ended September 30, 2011, we generated operating cash flows primarily from interest earned on debt investments and sales of investments. Our primary use of funds from operations during the same period consisted of investments in portfolio companies, payments of fees, and other operating expenses we incurred. Our operating activities used cash of $113.7 million for the period March 4, 2011 (commencement of operations) to September 30, 2011, and our financing activities provided cash of $120.7 million for the same period, primarily from our common stock offering and borrowings under the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the period from March 4, 2011 (commencement of operations) to September 30, 2011, we declared distributions of $0.25 per share, for total distributions of $1.7 million. For the three months ended September 30, 2011, we declared distributions of $0.20 per share, for total distributions of $1.4 million. Distributions are paid from taxable earnings and may include a return of capital and/or capital gains. The specific tax characteristics of the distributions will be reported to stockholders on Form 1099-DIV after the end of the calendar year and in its periodic report filed with the SEC.</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Company makes available on its website its report on Form 10-K filed with the Securities and Exchange Commission and stockholders may find the report on our website at </w:t>
      </w:r>
      <w:r>
        <w:rPr>
          <w:rFonts w:ascii="Arial" w:cs="Arial" w:eastAsia="Arial" w:hAnsi="Arial"/>
          <w:sz w:val="18"/>
          <w:szCs w:val="18"/>
          <w:u w:val="single" w:color="auto"/>
          <w:color w:val="auto"/>
        </w:rPr>
        <w:t>www.pennantpark.com</w:t>
      </w:r>
      <w:r>
        <w:rPr>
          <w:rFonts w:ascii="Arial" w:cs="Arial" w:eastAsia="Arial" w:hAnsi="Arial"/>
          <w:sz w:val="18"/>
          <w:szCs w:val="18"/>
          <w:color w:val="auto"/>
        </w:rPr>
        <w:t>.</w:t>
      </w:r>
    </w:p>
    <w:p>
      <w:pPr>
        <w:sectPr>
          <w:pgSz w:w="11900" w:h="16838" w:orient="portrait"/>
          <w:cols w:equalWidth="0" w:num="1">
            <w:col w:w="11160"/>
          </w:cols>
          <w:pgMar w:left="320" w:top="580" w:right="419" w:bottom="1440" w:gutter="0" w:footer="0" w:header="0"/>
        </w:sectPr>
      </w:pPr>
    </w:p>
    <w:bookmarkStart w:id="5" w:name="page6"/>
    <w:bookmarkEnd w:id="5"/>
    <w:p>
      <w:pPr>
        <w:ind w:left="2600" w:right="2600" w:hanging="1074"/>
        <w:spacing w:after="0" w:line="261"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ASSETS AND LIABILITIES</w:t>
      </w:r>
    </w:p>
    <w:p>
      <w:pPr>
        <w:jc w:val="center"/>
        <w:spacing w:after="0"/>
        <w:rPr>
          <w:sz w:val="20"/>
          <w:szCs w:val="20"/>
          <w:color w:val="auto"/>
        </w:rPr>
      </w:pPr>
      <w:r>
        <w:rPr>
          <w:rFonts w:ascii="Arial" w:cs="Arial" w:eastAsia="Arial" w:hAnsi="Arial"/>
          <w:sz w:val="18"/>
          <w:szCs w:val="18"/>
          <w:b w:val="1"/>
          <w:bCs w:val="1"/>
          <w:color w:val="auto"/>
        </w:rPr>
        <w:t>(Audited)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8"/>
              </w:rPr>
              <w:t>September 30, 2011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Non-controlled, non-affiliated investments, at fair value (cost-$114,829,621)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110,724,241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6,987,450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732,695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for investments sold</w:t>
            </w:r>
          </w:p>
        </w:tc>
        <w:tc>
          <w:tcPr>
            <w:tcW w:w="3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2,467,500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163,374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121,075,260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60082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0825" cy="171450"/>
                    </a:xfrm>
                    <a:prstGeom prst="rect">
                      <a:avLst/>
                    </a:prstGeom>
                    <a:noFill/>
                  </pic:spPr>
                </pic:pic>
              </a:graphicData>
            </a:graphic>
          </wp:anchor>
        </w:drawing>
      </w:r>
    </w:p>
    <w:p>
      <w:pPr>
        <w:sectPr>
          <w:pgSz w:w="11900" w:h="16838" w:orient="portrait"/>
          <w:cols w:equalWidth="0" w:num="1">
            <w:col w:w="10400"/>
          </w:cols>
          <w:pgMar w:left="740" w:top="648" w:right="759" w:bottom="1440" w:gutter="0" w:footer="0" w:header="0"/>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Distributions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Payable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60082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082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Unfunded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 facility payable (cost-$24,650,000)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60082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082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payable on credit facility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60082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082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other expenses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660082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0825"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6,850,667 shares are issued and outstanding.</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Par value is $0.001 per share and 100,000,000 shares are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660082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0825" cy="171450"/>
                    </a:xfrm>
                    <a:prstGeom prst="rect">
                      <a:avLst/>
                    </a:prstGeom>
                    <a:noFill/>
                  </pic:spPr>
                </pic:pic>
              </a:graphicData>
            </a:graphic>
          </wp:anchor>
        </w:drawing>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Paid-in capital in excess of par value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Distributions in excess of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60082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082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net realized gain on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unrealized depreciation on investments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479,547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990,000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2,323,250</w:t>
      </w:r>
    </w:p>
    <w:p>
      <w:pPr>
        <w:spacing w:after="0" w:line="75"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24,650,000</w:t>
      </w:r>
    </w:p>
    <w:p>
      <w:pPr>
        <w:spacing w:after="0" w:line="9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150,246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266,432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31750</wp:posOffset>
            </wp:positionV>
            <wp:extent cx="1586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29,003,155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53975</wp:posOffset>
            </wp:positionV>
            <wp:extent cx="1586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6,851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97,251,174</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(1,392,528)</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311,988</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(4,105,380)</w:t>
      </w:r>
    </w:p>
    <w:p>
      <w:pPr>
        <w:spacing w:after="0" w:line="52" w:lineRule="exact"/>
        <w:rPr>
          <w:sz w:val="20"/>
          <w:szCs w:val="20"/>
          <w:color w:val="auto"/>
        </w:rPr>
      </w:pPr>
    </w:p>
    <w:p>
      <w:pPr>
        <w:sectPr>
          <w:pgSz w:w="11900" w:h="16838" w:orient="portrait"/>
          <w:cols w:equalWidth="0" w:num="2">
            <w:col w:w="8780" w:space="720"/>
            <w:col w:w="900"/>
          </w:cols>
          <w:pgMar w:left="740" w:top="648" w:right="75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79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net assets</w:t>
            </w:r>
          </w:p>
        </w:tc>
        <w:tc>
          <w:tcPr>
            <w:tcW w:w="8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92,072,105</w:t>
            </w:r>
          </w:p>
        </w:tc>
      </w:tr>
      <w:tr>
        <w:trPr>
          <w:trHeight w:val="20"/>
        </w:trPr>
        <w:tc>
          <w:tcPr>
            <w:tcW w:w="7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90"/>
        </w:trPr>
        <w:tc>
          <w:tcPr>
            <w:tcW w:w="7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liabilities and net assets</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121,075,260</w:t>
            </w:r>
          </w:p>
        </w:tc>
      </w:tr>
      <w:tr>
        <w:trPr>
          <w:trHeight w:val="25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 value per share</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13.44</w:t>
            </w:r>
          </w:p>
        </w:tc>
      </w:tr>
      <w:tr>
        <w:trPr>
          <w:trHeight w:val="20"/>
        </w:trPr>
        <w:tc>
          <w:tcPr>
            <w:tcW w:w="7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400"/>
          </w:cols>
          <w:pgMar w:left="740" w:top="648" w:right="759" w:bottom="1440" w:gutter="0" w:footer="0" w:header="0"/>
          <w:type w:val="continuous"/>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OPERATIONS (Audited)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tcPr>
          <w:p>
            <w:pPr>
              <w:jc w:val="center"/>
              <w:ind w:right="73"/>
              <w:spacing w:after="0"/>
              <w:rPr>
                <w:sz w:val="20"/>
                <w:szCs w:val="20"/>
                <w:color w:val="auto"/>
              </w:rPr>
            </w:pPr>
            <w:r>
              <w:rPr>
                <w:rFonts w:ascii="Arial" w:cs="Arial" w:eastAsia="Arial" w:hAnsi="Arial"/>
                <w:sz w:val="14"/>
                <w:szCs w:val="14"/>
                <w:color w:val="auto"/>
                <w:w w:val="94"/>
              </w:rPr>
              <w:t>For the period from March 4, 2011</w:t>
            </w:r>
          </w:p>
        </w:tc>
      </w:tr>
      <w:tr>
        <w:trPr>
          <w:trHeight w:val="148"/>
        </w:trPr>
        <w:tc>
          <w:tcPr>
            <w:tcW w:w="8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(commencement of operations) to</w:t>
            </w:r>
          </w:p>
        </w:tc>
      </w:tr>
      <w:tr>
        <w:trPr>
          <w:trHeight w:val="188"/>
        </w:trPr>
        <w:tc>
          <w:tcPr>
            <w:tcW w:w="8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89"/>
              </w:rPr>
              <w:t>September 30, 2011</w:t>
            </w:r>
          </w:p>
        </w:tc>
      </w:tr>
      <w:tr>
        <w:trPr>
          <w:trHeight w:val="249"/>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From non-controlled, non-affiliated investments:</w:t>
            </w:r>
          </w:p>
        </w:tc>
        <w:tc>
          <w:tcPr>
            <w:tcW w:w="18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2,946,599</w:t>
            </w: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26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8"/>
                <w:szCs w:val="18"/>
                <w:color w:val="auto"/>
              </w:rPr>
              <w:t>Base management fee</w:t>
            </w:r>
          </w:p>
        </w:tc>
        <w:tc>
          <w:tcPr>
            <w:tcW w:w="180" w:type="dxa"/>
            <w:vAlign w:val="bottom"/>
            <w:tcBorders>
              <w:bottom w:val="single" w:sz="8" w:color="CCECFF"/>
            </w:tcBorders>
            <w:shd w:val="clear" w:color="auto" w:fill="CCECFF"/>
          </w:tcPr>
          <w:p>
            <w:pPr>
              <w:spacing w:after="0"/>
              <w:rPr>
                <w:sz w:val="21"/>
                <w:szCs w:val="21"/>
                <w:color w:val="auto"/>
              </w:rPr>
            </w:pPr>
          </w:p>
        </w:tc>
        <w:tc>
          <w:tcPr>
            <w:tcW w:w="2280" w:type="dxa"/>
            <w:vAlign w:val="bottom"/>
            <w:tcBorders>
              <w:bottom w:val="single" w:sz="8" w:color="CCECFF"/>
            </w:tcBorders>
            <w:shd w:val="clear" w:color="auto" w:fill="CCECFF"/>
          </w:tcPr>
          <w:p>
            <w:pPr>
              <w:jc w:val="right"/>
              <w:ind w:right="13"/>
              <w:spacing w:after="0"/>
              <w:rPr>
                <w:sz w:val="20"/>
                <w:szCs w:val="20"/>
                <w:color w:val="auto"/>
              </w:rPr>
            </w:pPr>
            <w:r>
              <w:rPr>
                <w:rFonts w:ascii="Arial" w:cs="Arial" w:eastAsia="Arial" w:hAnsi="Arial"/>
                <w:sz w:val="18"/>
                <w:szCs w:val="18"/>
                <w:color w:val="auto"/>
              </w:rPr>
              <w:t>365,433</w:t>
            </w:r>
          </w:p>
        </w:tc>
      </w:tr>
      <w:tr>
        <w:trPr>
          <w:trHeight w:val="243"/>
        </w:trPr>
        <w:tc>
          <w:tcPr>
            <w:tcW w:w="8260" w:type="dxa"/>
            <w:vAlign w:val="bottom"/>
          </w:tcPr>
          <w:p>
            <w:pPr>
              <w:ind w:left="260"/>
              <w:spacing w:after="0"/>
              <w:rPr>
                <w:sz w:val="20"/>
                <w:szCs w:val="20"/>
                <w:color w:val="auto"/>
              </w:rPr>
            </w:pPr>
            <w:r>
              <w:rPr>
                <w:rFonts w:ascii="Arial" w:cs="Arial" w:eastAsia="Arial" w:hAnsi="Arial"/>
                <w:sz w:val="18"/>
                <w:szCs w:val="18"/>
                <w:color w:val="auto"/>
              </w:rPr>
              <w:t>Interest and expenses on the credit facility</w:t>
            </w:r>
          </w:p>
        </w:tc>
        <w:tc>
          <w:tcPr>
            <w:tcW w:w="180" w:type="dxa"/>
            <w:vAlign w:val="bottom"/>
          </w:tcPr>
          <w:p>
            <w:pPr>
              <w:spacing w:after="0"/>
              <w:rPr>
                <w:sz w:val="21"/>
                <w:szCs w:val="21"/>
                <w:color w:val="auto"/>
              </w:rPr>
            </w:pP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155,913</w:t>
            </w: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260" w:type="dxa"/>
            <w:vAlign w:val="bottom"/>
            <w:tcBorders>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Administrative services expenses</w:t>
            </w:r>
          </w:p>
        </w:tc>
        <w:tc>
          <w:tcPr>
            <w:tcW w:w="180" w:type="dxa"/>
            <w:vAlign w:val="bottom"/>
            <w:tcBorders>
              <w:bottom w:val="single" w:sz="8" w:color="CCECFF"/>
            </w:tcBorders>
            <w:shd w:val="clear" w:color="auto" w:fill="CCECFF"/>
          </w:tcPr>
          <w:p>
            <w:pPr>
              <w:spacing w:after="0"/>
              <w:rPr>
                <w:sz w:val="21"/>
                <w:szCs w:val="21"/>
                <w:color w:val="auto"/>
              </w:rPr>
            </w:pPr>
          </w:p>
        </w:tc>
        <w:tc>
          <w:tcPr>
            <w:tcW w:w="2280" w:type="dxa"/>
            <w:vAlign w:val="bottom"/>
            <w:tcBorders>
              <w:bottom w:val="single" w:sz="8" w:color="CCECFF"/>
            </w:tcBorders>
            <w:shd w:val="clear" w:color="auto" w:fill="CCECFF"/>
          </w:tcPr>
          <w:p>
            <w:pPr>
              <w:jc w:val="right"/>
              <w:ind w:right="13"/>
              <w:spacing w:after="0"/>
              <w:rPr>
                <w:sz w:val="20"/>
                <w:szCs w:val="20"/>
                <w:color w:val="auto"/>
              </w:rPr>
            </w:pPr>
            <w:r>
              <w:rPr>
                <w:rFonts w:ascii="Arial" w:cs="Arial" w:eastAsia="Arial" w:hAnsi="Arial"/>
                <w:sz w:val="18"/>
                <w:szCs w:val="18"/>
                <w:color w:val="auto"/>
              </w:rPr>
              <w:t>182,995</w:t>
            </w:r>
          </w:p>
        </w:tc>
      </w:tr>
      <w:tr>
        <w:trPr>
          <w:trHeight w:val="243"/>
        </w:trPr>
        <w:tc>
          <w:tcPr>
            <w:tcW w:w="8260" w:type="dxa"/>
            <w:vAlign w:val="bottom"/>
          </w:tcPr>
          <w:p>
            <w:pPr>
              <w:ind w:left="260"/>
              <w:spacing w:after="0"/>
              <w:rPr>
                <w:sz w:val="20"/>
                <w:szCs w:val="20"/>
                <w:color w:val="auto"/>
              </w:rPr>
            </w:pPr>
            <w:r>
              <w:rPr>
                <w:rFonts w:ascii="Arial" w:cs="Arial" w:eastAsia="Arial" w:hAnsi="Arial"/>
                <w:sz w:val="18"/>
                <w:szCs w:val="18"/>
                <w:color w:val="auto"/>
              </w:rPr>
              <w:t>Other general and administrative expenses</w:t>
            </w:r>
          </w:p>
        </w:tc>
        <w:tc>
          <w:tcPr>
            <w:tcW w:w="180" w:type="dxa"/>
            <w:vAlign w:val="bottom"/>
          </w:tcPr>
          <w:p>
            <w:pPr>
              <w:spacing w:after="0"/>
              <w:rPr>
                <w:sz w:val="21"/>
                <w:szCs w:val="21"/>
                <w:color w:val="auto"/>
              </w:rPr>
            </w:pP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556,076</w:t>
            </w:r>
          </w:p>
        </w:tc>
      </w:tr>
      <w:tr>
        <w:trPr>
          <w:trHeight w:val="27"/>
        </w:trPr>
        <w:tc>
          <w:tcPr>
            <w:tcW w:w="8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8"/>
                <w:szCs w:val="18"/>
                <w:b w:val="1"/>
                <w:bCs w:val="1"/>
                <w:color w:val="auto"/>
              </w:rPr>
              <w:t>Expenses before debt issuance costs</w:t>
            </w:r>
          </w:p>
        </w:tc>
        <w:tc>
          <w:tcPr>
            <w:tcW w:w="180" w:type="dxa"/>
            <w:vAlign w:val="bottom"/>
            <w:tcBorders>
              <w:bottom w:val="single" w:sz="8" w:color="CCECFF"/>
            </w:tcBorders>
            <w:shd w:val="clear" w:color="auto" w:fill="CCECFF"/>
          </w:tcPr>
          <w:p>
            <w:pPr>
              <w:spacing w:after="0"/>
              <w:rPr>
                <w:sz w:val="21"/>
                <w:szCs w:val="21"/>
                <w:color w:val="auto"/>
              </w:rPr>
            </w:pPr>
          </w:p>
        </w:tc>
        <w:tc>
          <w:tcPr>
            <w:tcW w:w="2280" w:type="dxa"/>
            <w:vAlign w:val="bottom"/>
            <w:tcBorders>
              <w:bottom w:val="single" w:sz="8" w:color="CCECFF"/>
            </w:tcBorders>
            <w:shd w:val="clear" w:color="auto" w:fill="CCECFF"/>
          </w:tcPr>
          <w:p>
            <w:pPr>
              <w:jc w:val="right"/>
              <w:ind w:right="13"/>
              <w:spacing w:after="0"/>
              <w:rPr>
                <w:sz w:val="20"/>
                <w:szCs w:val="20"/>
                <w:color w:val="auto"/>
              </w:rPr>
            </w:pPr>
            <w:r>
              <w:rPr>
                <w:rFonts w:ascii="Arial" w:cs="Arial" w:eastAsia="Arial" w:hAnsi="Arial"/>
                <w:sz w:val="18"/>
                <w:szCs w:val="18"/>
                <w:color w:val="auto"/>
              </w:rPr>
              <w:t>1,260,417</w:t>
            </w:r>
          </w:p>
        </w:tc>
      </w:tr>
      <w:tr>
        <w:trPr>
          <w:trHeight w:val="243"/>
        </w:trPr>
        <w:tc>
          <w:tcPr>
            <w:tcW w:w="826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21"/>
                <w:szCs w:val="21"/>
                <w:color w:val="auto"/>
              </w:rPr>
            </w:pPr>
          </w:p>
        </w:tc>
        <w:tc>
          <w:tcPr>
            <w:tcW w:w="2280" w:type="dxa"/>
            <w:vAlign w:val="bottom"/>
          </w:tcPr>
          <w:p>
            <w:pPr>
              <w:jc w:val="right"/>
              <w:ind w:right="13"/>
              <w:spacing w:after="0"/>
              <w:rPr>
                <w:sz w:val="20"/>
                <w:szCs w:val="20"/>
                <w:color w:val="auto"/>
              </w:rPr>
            </w:pPr>
            <w:r>
              <w:rPr>
                <w:rFonts w:ascii="Arial" w:cs="Arial" w:eastAsia="Arial" w:hAnsi="Arial"/>
                <w:sz w:val="18"/>
                <w:szCs w:val="18"/>
                <w:color w:val="auto"/>
              </w:rPr>
              <w:t>1,366,043</w:t>
            </w:r>
          </w:p>
        </w:tc>
      </w:tr>
      <w:tr>
        <w:trPr>
          <w:trHeight w:val="27"/>
        </w:trPr>
        <w:tc>
          <w:tcPr>
            <w:tcW w:w="8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CCECFF"/>
            </w:tcBorders>
            <w:shd w:val="clear" w:color="auto" w:fill="CCECFF"/>
          </w:tcPr>
          <w:p>
            <w:pPr>
              <w:spacing w:after="0"/>
              <w:rPr>
                <w:sz w:val="22"/>
                <w:szCs w:val="22"/>
                <w:color w:val="auto"/>
              </w:rPr>
            </w:pPr>
          </w:p>
        </w:tc>
        <w:tc>
          <w:tcPr>
            <w:tcW w:w="2280" w:type="dxa"/>
            <w:vAlign w:val="bottom"/>
            <w:tcBorders>
              <w:bottom w:val="single" w:sz="8" w:color="CCECFF"/>
            </w:tcBorders>
            <w:shd w:val="clear" w:color="auto" w:fill="CCECFF"/>
          </w:tcPr>
          <w:p>
            <w:pPr>
              <w:jc w:val="right"/>
              <w:ind w:right="13"/>
              <w:spacing w:after="0"/>
              <w:rPr>
                <w:sz w:val="20"/>
                <w:szCs w:val="20"/>
                <w:color w:val="auto"/>
              </w:rPr>
            </w:pPr>
            <w:r>
              <w:rPr>
                <w:rFonts w:ascii="Arial" w:cs="Arial" w:eastAsia="Arial" w:hAnsi="Arial"/>
                <w:sz w:val="18"/>
                <w:szCs w:val="18"/>
                <w:color w:val="auto"/>
              </w:rPr>
              <w:t>2,626,460</w:t>
            </w:r>
          </w:p>
        </w:tc>
      </w:tr>
      <w:tr>
        <w:trPr>
          <w:trHeight w:val="237"/>
        </w:trPr>
        <w:tc>
          <w:tcPr>
            <w:tcW w:w="8260" w:type="dxa"/>
            <w:vAlign w:val="bottom"/>
          </w:tcPr>
          <w:p>
            <w:pPr>
              <w:ind w:left="260"/>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320,139</w:t>
            </w:r>
          </w:p>
        </w:tc>
      </w:tr>
      <w:tr>
        <w:trPr>
          <w:trHeight w:val="27"/>
        </w:trPr>
        <w:tc>
          <w:tcPr>
            <w:tcW w:w="8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4"/>
        </w:trPr>
        <w:tc>
          <w:tcPr>
            <w:tcW w:w="82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280" w:type="dxa"/>
            <w:vAlign w:val="bottom"/>
            <w:shd w:val="clear" w:color="auto" w:fill="CCECFF"/>
          </w:tcPr>
          <w:p>
            <w:pPr>
              <w:spacing w:after="0"/>
              <w:rPr>
                <w:sz w:val="22"/>
                <w:szCs w:val="22"/>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Realized and unrealized gain (loss) on investments:</w:t>
            </w:r>
          </w:p>
        </w:tc>
        <w:tc>
          <w:tcPr>
            <w:tcW w:w="18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26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Net realized gain on non-controlled, non-affiliated investments</w:t>
            </w:r>
          </w:p>
        </w:tc>
        <w:tc>
          <w:tcPr>
            <w:tcW w:w="180" w:type="dxa"/>
            <w:vAlign w:val="bottom"/>
            <w:tcBorders>
              <w:bottom w:val="single" w:sz="8" w:color="CCECFF"/>
            </w:tcBorders>
            <w:shd w:val="clear" w:color="auto" w:fill="CCECFF"/>
          </w:tcPr>
          <w:p>
            <w:pPr>
              <w:spacing w:after="0"/>
              <w:rPr>
                <w:sz w:val="21"/>
                <w:szCs w:val="21"/>
                <w:color w:val="auto"/>
              </w:rPr>
            </w:pPr>
          </w:p>
        </w:tc>
        <w:tc>
          <w:tcPr>
            <w:tcW w:w="2280" w:type="dxa"/>
            <w:vAlign w:val="bottom"/>
            <w:tcBorders>
              <w:bottom w:val="single" w:sz="8" w:color="CCECFF"/>
            </w:tcBorders>
            <w:shd w:val="clear" w:color="auto" w:fill="CCECFF"/>
          </w:tcPr>
          <w:p>
            <w:pPr>
              <w:jc w:val="right"/>
              <w:ind w:right="13"/>
              <w:spacing w:after="0"/>
              <w:rPr>
                <w:sz w:val="20"/>
                <w:szCs w:val="20"/>
                <w:color w:val="auto"/>
              </w:rPr>
            </w:pPr>
            <w:r>
              <w:rPr>
                <w:rFonts w:ascii="Arial" w:cs="Arial" w:eastAsia="Arial" w:hAnsi="Arial"/>
                <w:sz w:val="18"/>
                <w:szCs w:val="18"/>
                <w:color w:val="auto"/>
              </w:rPr>
              <w:t>311,988</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Net unrealized (depreciation) on:</w:t>
            </w:r>
          </w:p>
        </w:tc>
        <w:tc>
          <w:tcPr>
            <w:tcW w:w="18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826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80" w:type="dxa"/>
            <w:vAlign w:val="bottom"/>
            <w:tcBorders>
              <w:bottom w:val="single" w:sz="8" w:color="CCECFF"/>
            </w:tcBorders>
            <w:shd w:val="clear" w:color="auto" w:fill="CCECFF"/>
          </w:tcPr>
          <w:p>
            <w:pPr>
              <w:spacing w:after="0"/>
              <w:rPr>
                <w:sz w:val="23"/>
                <w:szCs w:val="23"/>
                <w:color w:val="auto"/>
              </w:rPr>
            </w:pPr>
          </w:p>
        </w:tc>
        <w:tc>
          <w:tcPr>
            <w:tcW w:w="22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(4,105,380)</w:t>
            </w: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Net realized and unrealized loss from investments</w:t>
            </w:r>
          </w:p>
        </w:tc>
        <w:tc>
          <w:tcPr>
            <w:tcW w:w="18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(3,793,392)</w:t>
            </w:r>
          </w:p>
        </w:tc>
      </w:tr>
      <w:tr>
        <w:trPr>
          <w:trHeight w:val="27"/>
        </w:trPr>
        <w:tc>
          <w:tcPr>
            <w:tcW w:w="8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4"/>
        </w:trPr>
        <w:tc>
          <w:tcPr>
            <w:tcW w:w="82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280" w:type="dxa"/>
            <w:vAlign w:val="bottom"/>
            <w:shd w:val="clear" w:color="auto" w:fill="CCECFF"/>
          </w:tcPr>
          <w:p>
            <w:pPr>
              <w:spacing w:after="0"/>
              <w:rPr>
                <w:sz w:val="22"/>
                <w:szCs w:val="22"/>
                <w:color w:val="auto"/>
              </w:rPr>
            </w:pPr>
          </w:p>
        </w:tc>
      </w:tr>
      <w:tr>
        <w:trPr>
          <w:trHeight w:val="303"/>
        </w:trPr>
        <w:tc>
          <w:tcPr>
            <w:tcW w:w="8260" w:type="dxa"/>
            <w:vAlign w:val="bottom"/>
            <w:tcBorders>
              <w:bottom w:val="single" w:sz="8" w:color="CCECFF"/>
            </w:tcBorders>
          </w:tcPr>
          <w:p>
            <w:pPr>
              <w:ind w:left="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(3,473,253)</w:t>
            </w:r>
          </w:p>
        </w:tc>
      </w:tr>
      <w:tr>
        <w:trPr>
          <w:trHeight w:val="257"/>
        </w:trPr>
        <w:tc>
          <w:tcPr>
            <w:tcW w:w="826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2280" w:type="dxa"/>
            <w:vAlign w:val="bottom"/>
            <w:shd w:val="clear" w:color="auto" w:fill="CCECFF"/>
          </w:tcPr>
          <w:p>
            <w:pPr>
              <w:spacing w:after="0"/>
              <w:rPr>
                <w:sz w:val="22"/>
                <w:szCs w:val="22"/>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Net decrease in net assets resulting from operations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8260" w:type="dxa"/>
            <w:vAlign w:val="bottom"/>
            <w:shd w:val="clear" w:color="auto" w:fill="CCECFF"/>
          </w:tcPr>
          <w:p>
            <w:pPr>
              <w:ind w:left="40"/>
              <w:spacing w:after="0"/>
              <w:rPr>
                <w:sz w:val="20"/>
                <w:szCs w:val="20"/>
                <w:color w:val="auto"/>
              </w:rPr>
            </w:pPr>
            <w:r>
              <w:rPr>
                <w:rFonts w:ascii="Arial" w:cs="Arial" w:eastAsia="Arial" w:hAnsi="Arial"/>
                <w:sz w:val="18"/>
                <w:szCs w:val="18"/>
                <w:color w:val="auto"/>
              </w:rPr>
              <w:t>Net investment income per common share</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CFF"/>
          </w:tcPr>
          <w:p>
            <w:pPr>
              <w:jc w:val="right"/>
              <w:ind w:right="13"/>
              <w:spacing w:after="0"/>
              <w:rPr>
                <w:sz w:val="20"/>
                <w:szCs w:val="20"/>
                <w:color w:val="auto"/>
              </w:rPr>
            </w:pPr>
            <w:r>
              <w:rPr>
                <w:rFonts w:ascii="Arial" w:cs="Arial" w:eastAsia="Arial" w:hAnsi="Arial"/>
                <w:sz w:val="18"/>
                <w:szCs w:val="18"/>
                <w:color w:val="auto"/>
              </w:rPr>
              <w:t>0.05</w:t>
            </w:r>
          </w:p>
        </w:tc>
      </w:tr>
      <w:tr>
        <w:trPr>
          <w:trHeight w:val="27"/>
        </w:trPr>
        <w:tc>
          <w:tcPr>
            <w:tcW w:w="826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2280" w:type="dxa"/>
            <w:vAlign w:val="bottom"/>
            <w:shd w:val="clear" w:color="auto" w:fill="CCECFF"/>
          </w:tcPr>
          <w:p>
            <w:pPr>
              <w:spacing w:after="0"/>
              <w:rPr>
                <w:sz w:val="2"/>
                <w:szCs w:val="2"/>
                <w:color w:val="auto"/>
              </w:rPr>
            </w:pPr>
          </w:p>
        </w:tc>
      </w:tr>
    </w:tbl>
    <w:p>
      <w:pPr>
        <w:sectPr>
          <w:pgSz w:w="11900" w:h="16838" w:orient="portrait"/>
          <w:cols w:equalWidth="0" w:num="1">
            <w:col w:w="10720"/>
          </w:cols>
          <w:pgMar w:left="580" w:top="756" w:right="5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33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350"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Aviv Efrat</w:t>
      </w:r>
    </w:p>
    <w:p>
      <w:pPr>
        <w:spacing w:after="0" w:line="6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PennantPark Floating Rate Capital Ltd.</w:t>
      </w:r>
    </w:p>
    <w:p>
      <w:pPr>
        <w:spacing w:after="0" w:line="6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Reception: (212) 905-1000</w:t>
      </w:r>
    </w:p>
    <w:p>
      <w:pPr>
        <w:spacing w:after="0" w:line="63" w:lineRule="exact"/>
        <w:rPr>
          <w:sz w:val="20"/>
          <w:szCs w:val="20"/>
          <w:color w:val="auto"/>
        </w:rPr>
      </w:pPr>
    </w:p>
    <w:p>
      <w:pPr>
        <w:ind w:left="1520"/>
        <w:spacing w:after="0"/>
        <w:rPr>
          <w:sz w:val="20"/>
          <w:szCs w:val="20"/>
          <w:color w:val="auto"/>
        </w:rPr>
      </w:pPr>
      <w:r>
        <w:rPr>
          <w:rFonts w:ascii="Arial" w:cs="Arial" w:eastAsia="Arial" w:hAnsi="Arial"/>
          <w:sz w:val="18"/>
          <w:szCs w:val="18"/>
          <w:u w:val="single" w:color="auto"/>
          <w:color w:val="auto"/>
        </w:rPr>
        <w:t>www.pennantpark.com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2020-05-05T12:10:44Z</dcterms:created>
  <dcterms:modified xsi:type="dcterms:W3CDTF">2020-05-05T12:10:44Z</dcterms:modified>
</cp:coreProperties>
</file>