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14,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14, 2018, PennantPark Floating Rate Capital Ltd. issued a press release announcing its financial results for the fourth quarter and fiscal year ended September 30, 2018.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14,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14, 2018</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2018</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NEW YORK, Nov. 14, 2018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fourth quarter and fiscal year ended September 30, 2018.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6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1"/>
        </w:trPr>
        <w:tc>
          <w:tcPr>
            <w:tcW w:w="4860" w:type="dxa"/>
            <w:vAlign w:val="bottom"/>
          </w:tcPr>
          <w:p>
            <w:pPr>
              <w:ind w:left="20"/>
              <w:spacing w:after="0"/>
              <w:rPr>
                <w:sz w:val="20"/>
                <w:szCs w:val="20"/>
                <w:color w:val="auto"/>
              </w:rPr>
            </w:pPr>
            <w:r>
              <w:rPr>
                <w:rFonts w:ascii="Arial" w:cs="Arial" w:eastAsia="Arial" w:hAnsi="Arial"/>
                <w:sz w:val="22"/>
                <w:szCs w:val="22"/>
                <w:color w:val="auto"/>
              </w:rPr>
              <w:t>Quarter ended September 30, 2018</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4"/>
        </w:trPr>
        <w:tc>
          <w:tcPr>
            <w:tcW w:w="4860" w:type="dxa"/>
            <w:vAlign w:val="bottom"/>
          </w:tcPr>
          <w:p>
            <w:pPr>
              <w:ind w:left="20"/>
              <w:spacing w:after="0"/>
              <w:rPr>
                <w:sz w:val="20"/>
                <w:szCs w:val="20"/>
                <w:color w:val="auto"/>
              </w:rPr>
            </w:pPr>
            <w:r>
              <w:rPr>
                <w:rFonts w:ascii="Arial" w:cs="Arial" w:eastAsia="Arial" w:hAnsi="Arial"/>
                <w:sz w:val="22"/>
                <w:szCs w:val="22"/>
                <w:color w:val="auto"/>
              </w:rPr>
              <w:t>($ in millions, except per share amounts)</w:t>
            </w:r>
          </w:p>
        </w:tc>
        <w:tc>
          <w:tcPr>
            <w:tcW w:w="1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0"/>
        </w:trPr>
        <w:tc>
          <w:tcPr>
            <w:tcW w:w="486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0"/>
        </w:trPr>
        <w:tc>
          <w:tcPr>
            <w:tcW w:w="4860" w:type="dxa"/>
            <w:vAlign w:val="bottom"/>
          </w:tcPr>
          <w:p>
            <w:pPr>
              <w:ind w:left="14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w w:val="92"/>
              </w:rPr>
              <w:t>1,000.6</w:t>
            </w:r>
          </w:p>
        </w:tc>
      </w:tr>
      <w:tr>
        <w:trPr>
          <w:trHeight w:val="270"/>
        </w:trPr>
        <w:tc>
          <w:tcPr>
            <w:tcW w:w="4860" w:type="dxa"/>
            <w:vAlign w:val="bottom"/>
          </w:tcPr>
          <w:p>
            <w:pPr>
              <w:ind w:left="140"/>
              <w:spacing w:after="0"/>
              <w:rPr>
                <w:sz w:val="20"/>
                <w:szCs w:val="20"/>
                <w:color w:val="auto"/>
              </w:rPr>
            </w:pPr>
            <w:r>
              <w:rPr>
                <w:rFonts w:ascii="Arial" w:cs="Arial" w:eastAsia="Arial" w:hAnsi="Arial"/>
                <w:sz w:val="22"/>
                <w:szCs w:val="22"/>
                <w:color w:val="auto"/>
              </w:rPr>
              <w:t>PSSL investment portfolio</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425.4</w:t>
            </w:r>
          </w:p>
        </w:tc>
      </w:tr>
      <w:tr>
        <w:trPr>
          <w:trHeight w:val="270"/>
        </w:trPr>
        <w:tc>
          <w:tcPr>
            <w:tcW w:w="4860" w:type="dxa"/>
            <w:vAlign w:val="bottom"/>
          </w:tcPr>
          <w:p>
            <w:pPr>
              <w:ind w:left="140"/>
              <w:spacing w:after="0"/>
              <w:rPr>
                <w:sz w:val="20"/>
                <w:szCs w:val="20"/>
                <w:color w:val="auto"/>
              </w:rPr>
            </w:pPr>
            <w:r>
              <w:rPr>
                <w:rFonts w:ascii="Arial" w:cs="Arial" w:eastAsia="Arial" w:hAnsi="Arial"/>
                <w:sz w:val="22"/>
                <w:szCs w:val="22"/>
                <w:color w:val="auto"/>
              </w:rPr>
              <w:t>Net assets</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535.8</w:t>
            </w:r>
          </w:p>
        </w:tc>
      </w:tr>
      <w:tr>
        <w:trPr>
          <w:trHeight w:val="274"/>
        </w:trPr>
        <w:tc>
          <w:tcPr>
            <w:tcW w:w="4860" w:type="dxa"/>
            <w:vAlign w:val="bottom"/>
          </w:tcPr>
          <w:p>
            <w:pPr>
              <w:ind w:left="140"/>
              <w:spacing w:after="0"/>
              <w:rPr>
                <w:sz w:val="20"/>
                <w:szCs w:val="20"/>
                <w:color w:val="auto"/>
              </w:rPr>
            </w:pPr>
            <w:r>
              <w:rPr>
                <w:rFonts w:ascii="Arial" w:cs="Arial" w:eastAsia="Arial" w:hAnsi="Arial"/>
                <w:sz w:val="22"/>
                <w:szCs w:val="22"/>
                <w:color w:val="auto"/>
              </w:rPr>
              <w:t>Net asset value per share</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13.82</w:t>
            </w:r>
          </w:p>
        </w:tc>
      </w:tr>
      <w:tr>
        <w:trPr>
          <w:trHeight w:val="536"/>
        </w:trPr>
        <w:tc>
          <w:tcPr>
            <w:tcW w:w="4860" w:type="dxa"/>
            <w:vAlign w:val="bottom"/>
          </w:tcPr>
          <w:p>
            <w:pPr>
              <w:ind w:left="140"/>
              <w:spacing w:after="0"/>
              <w:rPr>
                <w:sz w:val="20"/>
                <w:szCs w:val="20"/>
                <w:color w:val="auto"/>
              </w:rPr>
            </w:pPr>
            <w:r>
              <w:rPr>
                <w:rFonts w:ascii="Arial" w:cs="Arial" w:eastAsia="Arial" w:hAnsi="Arial"/>
                <w:sz w:val="22"/>
                <w:szCs w:val="22"/>
                <w:color w:val="auto"/>
              </w:rPr>
              <w:t>Credit Facility</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332.1</w:t>
            </w:r>
          </w:p>
        </w:tc>
      </w:tr>
      <w:tr>
        <w:trPr>
          <w:trHeight w:val="274"/>
        </w:trPr>
        <w:tc>
          <w:tcPr>
            <w:tcW w:w="4860" w:type="dxa"/>
            <w:vAlign w:val="bottom"/>
          </w:tcPr>
          <w:p>
            <w:pPr>
              <w:ind w:left="140"/>
              <w:spacing w:after="0"/>
              <w:rPr>
                <w:sz w:val="20"/>
                <w:szCs w:val="20"/>
                <w:color w:val="auto"/>
              </w:rPr>
            </w:pPr>
            <w:r>
              <w:rPr>
                <w:rFonts w:ascii="Arial" w:cs="Arial" w:eastAsia="Arial" w:hAnsi="Arial"/>
                <w:sz w:val="22"/>
                <w:szCs w:val="22"/>
                <w:color w:val="auto"/>
              </w:rPr>
              <w:t>2023 Notes</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135.5</w:t>
            </w:r>
          </w:p>
        </w:tc>
      </w:tr>
      <w:tr>
        <w:trPr>
          <w:trHeight w:val="540"/>
        </w:trPr>
        <w:tc>
          <w:tcPr>
            <w:tcW w:w="4860" w:type="dxa"/>
            <w:vAlign w:val="bottom"/>
          </w:tcPr>
          <w:p>
            <w:pPr>
              <w:ind w:left="140"/>
              <w:spacing w:after="0"/>
              <w:rPr>
                <w:sz w:val="20"/>
                <w:szCs w:val="20"/>
                <w:color w:val="auto"/>
              </w:rPr>
            </w:pPr>
            <w:r>
              <w:rPr>
                <w:rFonts w:ascii="Arial" w:cs="Arial" w:eastAsia="Arial" w:hAnsi="Arial"/>
                <w:sz w:val="22"/>
                <w:szCs w:val="22"/>
                <w:color w:val="auto"/>
              </w:rPr>
              <w:t>Yield on debt investments at quarter-end</w:t>
            </w:r>
          </w:p>
        </w:tc>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720" w:type="dxa"/>
            <w:vAlign w:val="bottom"/>
          </w:tcPr>
          <w:p>
            <w:pPr>
              <w:spacing w:after="0"/>
              <w:rPr>
                <w:sz w:val="21"/>
                <w:szCs w:val="21"/>
                <w:color w:val="auto"/>
              </w:rPr>
            </w:pPr>
          </w:p>
        </w:tc>
        <w:tc>
          <w:tcPr>
            <w:tcW w:w="1920" w:type="dxa"/>
            <w:vAlign w:val="bottom"/>
            <w:gridSpan w:val="3"/>
          </w:tcPr>
          <w:p>
            <w:pPr>
              <w:ind w:left="260"/>
              <w:spacing w:after="0"/>
              <w:rPr>
                <w:sz w:val="20"/>
                <w:szCs w:val="20"/>
                <w:color w:val="auto"/>
              </w:rPr>
            </w:pPr>
            <w:r>
              <w:rPr>
                <w:rFonts w:ascii="Arial" w:cs="Arial" w:eastAsia="Arial" w:hAnsi="Arial"/>
                <w:sz w:val="22"/>
                <w:szCs w:val="22"/>
                <w:color w:val="auto"/>
              </w:rPr>
              <w:t>Quarter Ended</w:t>
            </w:r>
          </w:p>
        </w:tc>
        <w:tc>
          <w:tcPr>
            <w:tcW w:w="360" w:type="dxa"/>
            <w:vAlign w:val="bottom"/>
          </w:tcPr>
          <w:p>
            <w:pPr>
              <w:spacing w:after="0"/>
              <w:rPr>
                <w:sz w:val="21"/>
                <w:szCs w:val="21"/>
                <w:color w:val="auto"/>
              </w:rPr>
            </w:pPr>
          </w:p>
        </w:tc>
        <w:tc>
          <w:tcPr>
            <w:tcW w:w="1440" w:type="dxa"/>
            <w:vAlign w:val="bottom"/>
          </w:tcPr>
          <w:p>
            <w:pPr>
              <w:jc w:val="right"/>
              <w:ind w:right="312"/>
              <w:spacing w:after="0"/>
              <w:rPr>
                <w:sz w:val="20"/>
                <w:szCs w:val="20"/>
                <w:color w:val="auto"/>
              </w:rPr>
            </w:pPr>
            <w:r>
              <w:rPr>
                <w:rFonts w:ascii="Arial" w:cs="Arial" w:eastAsia="Arial" w:hAnsi="Arial"/>
                <w:sz w:val="22"/>
                <w:szCs w:val="22"/>
                <w:color w:val="auto"/>
                <w:w w:val="86"/>
              </w:rPr>
              <w:t>Year Ended</w:t>
            </w:r>
          </w:p>
        </w:tc>
      </w:tr>
      <w:tr>
        <w:trPr>
          <w:trHeight w:val="274"/>
        </w:trPr>
        <w:tc>
          <w:tcPr>
            <w:tcW w:w="5720" w:type="dxa"/>
            <w:vAlign w:val="bottom"/>
          </w:tcPr>
          <w:p>
            <w:pPr>
              <w:spacing w:after="0"/>
              <w:rPr>
                <w:sz w:val="20"/>
                <w:szCs w:val="20"/>
                <w:color w:val="auto"/>
              </w:rPr>
            </w:pPr>
            <w:r>
              <w:rPr>
                <w:rFonts w:ascii="Arial" w:cs="Arial" w:eastAsia="Arial" w:hAnsi="Arial"/>
                <w:sz w:val="22"/>
                <w:szCs w:val="22"/>
                <w:color w:val="auto"/>
              </w:rPr>
              <w:t>Operating Results:</w:t>
            </w:r>
          </w:p>
        </w:tc>
        <w:tc>
          <w:tcPr>
            <w:tcW w:w="1920" w:type="dxa"/>
            <w:vAlign w:val="bottom"/>
            <w:gridSpan w:val="3"/>
          </w:tcPr>
          <w:p>
            <w:pPr>
              <w:ind w:left="40"/>
              <w:spacing w:after="0"/>
              <w:rPr>
                <w:sz w:val="20"/>
                <w:szCs w:val="20"/>
                <w:color w:val="auto"/>
              </w:rPr>
            </w:pPr>
            <w:r>
              <w:rPr>
                <w:rFonts w:ascii="Arial" w:cs="Arial" w:eastAsia="Arial" w:hAnsi="Arial"/>
                <w:sz w:val="22"/>
                <w:szCs w:val="22"/>
                <w:color w:val="auto"/>
                <w:w w:val="93"/>
              </w:rPr>
              <w:t>September 30, 2018</w:t>
            </w:r>
          </w:p>
        </w:tc>
        <w:tc>
          <w:tcPr>
            <w:tcW w:w="1800" w:type="dxa"/>
            <w:vAlign w:val="bottom"/>
            <w:gridSpan w:val="2"/>
          </w:tcPr>
          <w:p>
            <w:pPr>
              <w:jc w:val="right"/>
              <w:spacing w:after="0"/>
              <w:rPr>
                <w:sz w:val="20"/>
                <w:szCs w:val="20"/>
                <w:color w:val="auto"/>
              </w:rPr>
            </w:pPr>
            <w:r>
              <w:rPr>
                <w:rFonts w:ascii="Arial" w:cs="Arial" w:eastAsia="Arial" w:hAnsi="Arial"/>
                <w:sz w:val="22"/>
                <w:szCs w:val="22"/>
                <w:color w:val="auto"/>
                <w:w w:val="87"/>
              </w:rPr>
              <w:t>September 30, 2018</w:t>
            </w:r>
          </w:p>
        </w:tc>
      </w:tr>
      <w:tr>
        <w:trPr>
          <w:trHeight w:val="259"/>
        </w:trPr>
        <w:tc>
          <w:tcPr>
            <w:tcW w:w="572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720" w:type="dxa"/>
            <w:vAlign w:val="bottom"/>
            <w:tcBorders>
              <w:top w:val="single" w:sz="8" w:color="auto"/>
            </w:tcBorders>
          </w:tcPr>
          <w:p>
            <w:pPr>
              <w:ind w:left="280"/>
              <w:spacing w:after="0"/>
              <w:rPr>
                <w:sz w:val="20"/>
                <w:szCs w:val="20"/>
                <w:color w:val="auto"/>
              </w:rPr>
            </w:pPr>
            <w:r>
              <w:rPr>
                <w:rFonts w:ascii="Arial" w:cs="Arial" w:eastAsia="Arial" w:hAnsi="Arial"/>
                <w:sz w:val="22"/>
                <w:szCs w:val="22"/>
                <w:color w:val="auto"/>
              </w:rPr>
              <w:t>$</w:t>
            </w:r>
          </w:p>
        </w:tc>
        <w:tc>
          <w:tcPr>
            <w:tcW w:w="1100" w:type="dxa"/>
            <w:vAlign w:val="bottom"/>
            <w:tcBorders>
              <w:top w:val="single" w:sz="8" w:color="auto"/>
            </w:tcBorders>
          </w:tcPr>
          <w:p>
            <w:pPr>
              <w:jc w:val="right"/>
              <w:ind w:right="172"/>
              <w:spacing w:after="0"/>
              <w:rPr>
                <w:sz w:val="20"/>
                <w:szCs w:val="20"/>
                <w:color w:val="auto"/>
              </w:rPr>
            </w:pPr>
            <w:r>
              <w:rPr>
                <w:rFonts w:ascii="Arial" w:cs="Arial" w:eastAsia="Arial" w:hAnsi="Arial"/>
                <w:sz w:val="22"/>
                <w:szCs w:val="22"/>
                <w:color w:val="auto"/>
              </w:rPr>
              <w:t>11.7</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40" w:type="dxa"/>
            <w:vAlign w:val="bottom"/>
            <w:tcBorders>
              <w:top w:val="single" w:sz="8" w:color="auto"/>
            </w:tcBorders>
          </w:tcPr>
          <w:p>
            <w:pPr>
              <w:jc w:val="right"/>
              <w:ind w:right="172"/>
              <w:spacing w:after="0"/>
              <w:rPr>
                <w:sz w:val="20"/>
                <w:szCs w:val="20"/>
                <w:color w:val="auto"/>
              </w:rPr>
            </w:pPr>
            <w:r>
              <w:rPr>
                <w:rFonts w:ascii="Arial" w:cs="Arial" w:eastAsia="Arial" w:hAnsi="Arial"/>
                <w:sz w:val="22"/>
                <w:szCs w:val="22"/>
                <w:color w:val="auto"/>
              </w:rPr>
              <w:t>31.0</w:t>
            </w:r>
          </w:p>
        </w:tc>
      </w:tr>
      <w:tr>
        <w:trPr>
          <w:trHeight w:val="270"/>
        </w:trPr>
        <w:tc>
          <w:tcPr>
            <w:tcW w:w="5720" w:type="dxa"/>
            <w:vAlign w:val="bottom"/>
          </w:tcPr>
          <w:p>
            <w:pPr>
              <w:ind w:left="120"/>
              <w:spacing w:after="0"/>
              <w:rPr>
                <w:sz w:val="20"/>
                <w:szCs w:val="20"/>
                <w:color w:val="auto"/>
              </w:rPr>
            </w:pPr>
            <w:r>
              <w:rPr>
                <w:rFonts w:ascii="Arial" w:cs="Arial" w:eastAsia="Arial" w:hAnsi="Arial"/>
                <w:sz w:val="22"/>
                <w:szCs w:val="22"/>
                <w:color w:val="auto"/>
              </w:rPr>
              <w:t>GAAP net investment income per share</w:t>
            </w:r>
          </w:p>
        </w:tc>
        <w:tc>
          <w:tcPr>
            <w:tcW w:w="720" w:type="dxa"/>
            <w:vAlign w:val="bottom"/>
          </w:tcPr>
          <w:p>
            <w:pPr>
              <w:ind w:left="280"/>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0.30</w:t>
            </w:r>
          </w:p>
        </w:tc>
        <w:tc>
          <w:tcPr>
            <w:tcW w:w="1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0.81</w:t>
            </w:r>
          </w:p>
        </w:tc>
      </w:tr>
      <w:tr>
        <w:trPr>
          <w:trHeight w:val="270"/>
        </w:trPr>
        <w:tc>
          <w:tcPr>
            <w:tcW w:w="5720" w:type="dxa"/>
            <w:vAlign w:val="bottom"/>
          </w:tcPr>
          <w:p>
            <w:pPr>
              <w:ind w:left="120"/>
              <w:spacing w:after="0"/>
              <w:rPr>
                <w:sz w:val="20"/>
                <w:szCs w:val="20"/>
                <w:color w:val="auto"/>
              </w:rPr>
            </w:pPr>
            <w:r>
              <w:rPr>
                <w:rFonts w:ascii="Arial" w:cs="Arial" w:eastAsia="Arial" w:hAnsi="Arial"/>
                <w:sz w:val="22"/>
                <w:szCs w:val="22"/>
                <w:color w:val="auto"/>
                <w:w w:val="95"/>
              </w:rPr>
              <w:t>Capital gain incentive fee accrued but not payable per share</w:t>
            </w:r>
          </w:p>
        </w:tc>
        <w:tc>
          <w:tcPr>
            <w:tcW w:w="720" w:type="dxa"/>
            <w:vAlign w:val="bottom"/>
          </w:tcPr>
          <w:p>
            <w:pPr>
              <w:ind w:left="280"/>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(0.01)</w:t>
            </w:r>
          </w:p>
        </w:tc>
        <w:tc>
          <w:tcPr>
            <w:tcW w:w="1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(0.03)</w:t>
            </w:r>
          </w:p>
        </w:tc>
      </w:tr>
      <w:tr>
        <w:trPr>
          <w:trHeight w:val="274"/>
        </w:trPr>
        <w:tc>
          <w:tcPr>
            <w:tcW w:w="5720" w:type="dxa"/>
            <w:vAlign w:val="bottom"/>
          </w:tcPr>
          <w:p>
            <w:pPr>
              <w:ind w:left="120"/>
              <w:spacing w:after="0"/>
              <w:rPr>
                <w:sz w:val="20"/>
                <w:szCs w:val="20"/>
                <w:color w:val="auto"/>
              </w:rPr>
            </w:pPr>
            <w:r>
              <w:rPr>
                <w:rFonts w:ascii="Arial" w:cs="Arial" w:eastAsia="Arial" w:hAnsi="Arial"/>
                <w:sz w:val="22"/>
                <w:szCs w:val="22"/>
                <w:color w:val="auto"/>
              </w:rPr>
              <w:t>Credit Facility amendment costs and debt issuance costs</w:t>
            </w:r>
          </w:p>
        </w:tc>
        <w:tc>
          <w:tcPr>
            <w:tcW w:w="720" w:type="dxa"/>
            <w:vAlign w:val="bottom"/>
          </w:tcPr>
          <w:p>
            <w:pPr>
              <w:ind w:left="280"/>
              <w:spacing w:after="0"/>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0.28</w:t>
            </w:r>
          </w:p>
        </w:tc>
      </w:tr>
      <w:tr>
        <w:trPr>
          <w:trHeight w:val="320"/>
        </w:trPr>
        <w:tc>
          <w:tcPr>
            <w:tcW w:w="572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(2)</w:t>
            </w:r>
          </w:p>
        </w:tc>
        <w:tc>
          <w:tcPr>
            <w:tcW w:w="720" w:type="dxa"/>
            <w:vAlign w:val="bottom"/>
          </w:tcPr>
          <w:p>
            <w:pPr>
              <w:ind w:left="280"/>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0.29</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1.06</w:t>
            </w:r>
          </w:p>
        </w:tc>
      </w:tr>
      <w:tr>
        <w:trPr>
          <w:trHeight w:val="274"/>
        </w:trPr>
        <w:tc>
          <w:tcPr>
            <w:tcW w:w="572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720" w:type="dxa"/>
            <w:vAlign w:val="bottom"/>
          </w:tcPr>
          <w:p>
            <w:pPr>
              <w:ind w:left="280"/>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0.285</w:t>
            </w:r>
          </w:p>
        </w:tc>
        <w:tc>
          <w:tcPr>
            <w:tcW w:w="1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1.14</w:t>
            </w:r>
          </w:p>
        </w:tc>
      </w:tr>
      <w:tr>
        <w:trPr>
          <w:trHeight w:val="536"/>
        </w:trPr>
        <w:tc>
          <w:tcPr>
            <w:tcW w:w="5720" w:type="dxa"/>
            <w:vAlign w:val="bottom"/>
          </w:tcPr>
          <w:p>
            <w:pPr>
              <w:spacing w:after="0"/>
              <w:rPr>
                <w:sz w:val="20"/>
                <w:szCs w:val="20"/>
                <w:color w:val="auto"/>
              </w:rPr>
            </w:pPr>
            <w:r>
              <w:rPr>
                <w:rFonts w:ascii="Arial" w:cs="Arial" w:eastAsia="Arial" w:hAnsi="Arial"/>
                <w:sz w:val="22"/>
                <w:szCs w:val="22"/>
                <w:color w:val="auto"/>
              </w:rPr>
              <w:t>Portfolio Activity:</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572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720" w:type="dxa"/>
            <w:vAlign w:val="bottom"/>
          </w:tcPr>
          <w:p>
            <w:pPr>
              <w:ind w:left="280"/>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202.1</w:t>
            </w:r>
          </w:p>
        </w:tc>
        <w:tc>
          <w:tcPr>
            <w:tcW w:w="1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682.7</w:t>
            </w:r>
          </w:p>
        </w:tc>
      </w:tr>
      <w:tr>
        <w:trPr>
          <w:trHeight w:val="274"/>
        </w:trPr>
        <w:tc>
          <w:tcPr>
            <w:tcW w:w="572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720" w:type="dxa"/>
            <w:vAlign w:val="bottom"/>
          </w:tcPr>
          <w:p>
            <w:pPr>
              <w:ind w:left="280"/>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107.9</w:t>
            </w:r>
          </w:p>
        </w:tc>
        <w:tc>
          <w:tcPr>
            <w:tcW w:w="1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391.4</w:t>
            </w:r>
          </w:p>
        </w:tc>
      </w:tr>
      <w:tr>
        <w:trPr>
          <w:trHeight w:val="536"/>
        </w:trPr>
        <w:tc>
          <w:tcPr>
            <w:tcW w:w="572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7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32</w:t>
            </w:r>
          </w:p>
        </w:tc>
      </w:tr>
      <w:tr>
        <w:trPr>
          <w:trHeight w:val="270"/>
        </w:trPr>
        <w:tc>
          <w:tcPr>
            <w:tcW w:w="572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720" w:type="dxa"/>
            <w:vAlign w:val="bottom"/>
          </w:tcPr>
          <w:p>
            <w:pPr>
              <w:spacing w:after="0"/>
              <w:rPr>
                <w:sz w:val="23"/>
                <w:szCs w:val="23"/>
                <w:color w:val="auto"/>
              </w:rPr>
            </w:pP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66</w:t>
            </w:r>
          </w:p>
        </w:tc>
      </w:tr>
      <w:tr>
        <w:trPr>
          <w:trHeight w:val="274"/>
        </w:trPr>
        <w:tc>
          <w:tcPr>
            <w:tcW w:w="572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720" w:type="dxa"/>
            <w:vAlign w:val="bottom"/>
          </w:tcPr>
          <w:p>
            <w:pPr>
              <w:spacing w:after="0"/>
              <w:rPr>
                <w:sz w:val="23"/>
                <w:szCs w:val="23"/>
                <w:color w:val="auto"/>
              </w:rPr>
            </w:pPr>
          </w:p>
        </w:tc>
        <w:tc>
          <w:tcPr>
            <w:tcW w:w="1100" w:type="dxa"/>
            <w:vAlign w:val="bottom"/>
          </w:tcPr>
          <w:p>
            <w:pPr>
              <w:jc w:val="right"/>
              <w:ind w:right="172"/>
              <w:spacing w:after="0"/>
              <w:rPr>
                <w:sz w:val="20"/>
                <w:szCs w:val="20"/>
                <w:color w:val="auto"/>
              </w:rPr>
            </w:pPr>
            <w:r>
              <w:rPr>
                <w:rFonts w:ascii="Arial" w:cs="Arial" w:eastAsia="Arial" w:hAnsi="Arial"/>
                <w:sz w:val="22"/>
                <w:szCs w:val="22"/>
                <w:color w:val="auto"/>
              </w:rPr>
              <w:t>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jc w:val="right"/>
              <w:ind w:right="172"/>
              <w:spacing w:after="0"/>
              <w:rPr>
                <w:sz w:val="20"/>
                <w:szCs w:val="20"/>
                <w:color w:val="auto"/>
              </w:rPr>
            </w:pPr>
            <w:r>
              <w:rPr>
                <w:rFonts w:ascii="Arial" w:cs="Arial" w:eastAsia="Arial" w:hAnsi="Arial"/>
                <w:sz w:val="22"/>
                <w:szCs w:val="22"/>
                <w:color w:val="auto"/>
              </w:rPr>
              <w:t>88</w:t>
            </w:r>
          </w:p>
        </w:tc>
      </w:tr>
    </w:tbl>
    <w:p>
      <w:pPr>
        <w:spacing w:after="0" w:line="252" w:lineRule="exact"/>
        <w:rPr>
          <w:sz w:val="20"/>
          <w:szCs w:val="20"/>
          <w:color w:val="auto"/>
        </w:rPr>
      </w:pPr>
    </w:p>
    <w:p>
      <w:pPr>
        <w:ind w:right="20" w:firstLine="8"/>
        <w:spacing w:after="0" w:line="196" w:lineRule="auto"/>
        <w:tabs>
          <w:tab w:leader="none" w:pos="287" w:val="left"/>
        </w:tabs>
        <w:numPr>
          <w:ilvl w:val="0"/>
          <w:numId w:val="3"/>
        </w:numPr>
        <w:rPr>
          <w:rFonts w:ascii="Arial" w:cs="Arial" w:eastAsia="Arial" w:hAnsi="Arial"/>
          <w:sz w:val="34"/>
          <w:szCs w:val="34"/>
          <w:color w:val="auto"/>
          <w:vertAlign w:val="superscript"/>
        </w:rPr>
      </w:pPr>
      <w:r>
        <w:rPr>
          <w:rFonts w:ascii="Arial" w:cs="Arial" w:eastAsia="Arial" w:hAnsi="Arial"/>
          <w:sz w:val="21"/>
          <w:szCs w:val="21"/>
          <w:color w:val="auto"/>
        </w:rPr>
        <w:t>Includes investments in PennantPark Senior Secured Loan Fund I LLC, or PSSL, an unconsolidated joint venture, totaling $145.9 million, at fair value.</w:t>
      </w:r>
    </w:p>
    <w:p>
      <w:pPr>
        <w:spacing w:after="0" w:line="23" w:lineRule="exact"/>
        <w:rPr>
          <w:rFonts w:ascii="Arial" w:cs="Arial" w:eastAsia="Arial" w:hAnsi="Arial"/>
          <w:sz w:val="34"/>
          <w:szCs w:val="34"/>
          <w:color w:val="auto"/>
          <w:vertAlign w:val="superscript"/>
        </w:rPr>
      </w:pPr>
    </w:p>
    <w:p>
      <w:pPr>
        <w:jc w:val="both"/>
        <w:ind w:firstLine="8"/>
        <w:spacing w:after="0" w:line="247" w:lineRule="auto"/>
        <w:tabs>
          <w:tab w:leader="none" w:pos="302"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the costs associated with amending our multi-currency, senior secured revolving credit facility, or the Credit Facility, and the costs associated with issuing the 3.83% Series A notes due 2023, or the 2023 Notes. The presentation of this additional information is not meant to be considered in isolation or as a substitute for financial results prepared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15, 2018</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Floating Rate Capital Ltd. (“we,” “our,” “us” or the “Company”) will host a conference call at 10:00 a.m. (Eastern Time) on Thursday, November 15, 2018 to discuss its financial results. All interested parties are welcome to participate. You can access the conference call by dialing toll-free (800) 458-4121 approximately 5-10 minutes prior to the call. International callers should dial (929) 477-0324. All callers should reference PennantPark Floating Rate Capital Ltd. An archived replay of the call will be available through November 29, 2018 by calling toll-free (888) 203-1112. International callers please dial (719) 457-0820. For all phone replays, please reference conference ID #3939708.</w:t>
      </w:r>
    </w:p>
    <w:p>
      <w:pPr>
        <w:sectPr>
          <w:pgSz w:w="11900" w:h="1683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pleased that our current run rate net investment income covers the dividend due to the selective growth of the portfolio, PSSL and the increase in LIBOR,” said Arthur H. Penn, Chairman and CEO. “Our earnings stream should have a nice tailwind based on a continuation of these factors.”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September 30, 2018, our portfolio totaled $1,000.6 million and consisted of $913.3 million of first lien secured debt (of which $101.1 million was invested in PSSL), $21.2 million of second lien secured debt and $66.1 million of preferred and common equity (of which $44.8 million was invested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(of which 10% was invested in PSSL), 2% in second lien secured debt and 7% in preferred and common equity (of which 4% was invested in PSSL). As of September 30, 2018, all of the investments held by PSSL were first lien secured debt.</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of September 30, 2017, our portfolio totaled $710.5 million and consisted of $609.7 million of first lien secured debt, $37.8 million of second lien secured debt, $37.5 million of subordinated debt (of which $30.1 million was invested in PSSL) and $25.5 million of preferred and common equity (of which $13.4 million was invested in PSSL). Our debt portfolio consisted of 99% variable-rate investments and 1% fixed-rate investments. As of September 30, 2017, we had one portfolio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by PSSL were first lien secured debt.</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September 30, 2018, we invested $202.1 million of investments in 10 new and 15 existing portfolio companies with a weighted average yield on debt investments of 8.4%. Sales and repayments of investments for the three months ended September 30, 2018 totaled $107.9 million. This compares to the three months ended September 30, 2017, in which we invested $101.1 million in four new and 12 existing portfolio companies with a weighted average yield on debt investments of 7.2%. Sales and repayments of investments for the same period totaled $91.7 million.</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year ended September 30, 2018, we invested $682.7 million of investments in 32 new and 66 existing portfolio companies with a weighted average yield on debt investments of 8.1%. Sales and repayments of investments for the year ended September 30, 2018 totaled $391.4 million. This compares to the year ended September 30, 2017, in which we invested $508.9 million of investments in 29 new and 49 existing portfolio companies with a weighted average yield on debt investments of 7.7%. Sales and repayments of investments for the same period totaled $406.5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2018, PSSL’s portfolio totaled $425.4 million, consisted of 42 companies with an average investment size of $10.1 million and had a weighted average yield on debt investments of 7.8%. As of September 30, 2017, PSSL’s portfolio totaled $100.0 million, consisted of 18 companies with an average investment size of $5.6 million and had a weighted average yield on debt investments of 7.2%.</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September 30, 2018, PSSL invested $100.9 million (of which $47.4 million was purchased from the Company) in five new and eight existing portfolio companies with a weighted average yield on debt investments of 7.8%. PSSL’s sales and repayments of investments for the same period totaled $22.0 million. For the three months ended September 30, 2017, PSSL invested $40.6 million (of which $14.2 million was purchased from the Company) in five new and four existing portfolio companies with a weighted average yield on debt investments of 6.4%. PSSL’s sales and repayments of investments for the same period totaled $11.8 million.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year ended September 30, 2018, PSSL invested $371.3 million (of which $108.0 million was purchased from the Company) in 28 new and 14 existing portfolio companies with a weighted average yield on debt investments of 7.5%. PSSL’s sales and repayments of investments for the year ended September 30, 2018 totaled $45.8 million. For the period May 4, 2017 (inception) through September 30, 2017, PSSL invested $111.5 million (of which $85.1 million was purchased from the Company) in 19 new and four existing portfolio companies with a weighted average yield on debt investments of 6.5%. PSSL’s sales and repayments of investments for the period May 4, 2017 (inception) through September 30, 2017 totaled $12.1 million.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2018 and 2017.</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Investment income for the three months ended September 30, 2018 and 2017 was $21.3 million and $18.5 million (including $4.6 million from a litigation settlement related to a former portfolio company of MCG Capital Corporation, which is not expected to be recurring), respectively, and was primarily attributable to $19.5 million and $12.8 million from first lien secured debt, $1.8 million and $1.1 million from second lien secured debt, subordinated debt and preferred equity, respectively.</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1"/>
          <w:szCs w:val="21"/>
          <w:color w:val="auto"/>
        </w:rPr>
        <w:t>Investment income for the years ended September 30, 2018 and 2017 was $72.2 million and $59.5 million (including $4.6 million from a litigation settlement related to a former portfolio company of MCG Capital Corporation, which is not expected to be recurring), respectively, and was attributable to $65.5 million and $50.0 million from first lien secured debt, $6.7 million and $4.9 million from second lien secured debt, subordinated debt and preferred equity, respectively. The increase in investment income over the prior year was primarily due to the growth of our portfolio.</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Expenses for the three months ended September 30, 2018 and 2017 totaled $9.7 million and $8.0 million, respectively. Base management fee totaled $2.4 million and $1.8 million, incentive fee totaled $1.5 million (including $(0.4) million on net unrealized gains accrued but not payable) and $2.8 million (including $(0.1) million on realized gains and $0.3 million on net unrealized gains accrued but not payable), debt related interest and expenses totaled $4.4 million and $2.1 million, general and administrative expenses totaled $1.2 million and $1.2 million and provision for taxes totaled $0.2 million and $0.1 million, respectively, for the same periods.</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Expenses for the years ended September 30, 2018 and 2017 totaled $41.2 million and $26.1 million, respectively. Base management fee totaled $8.4 million and $6.9 million, incentive fee totaled $2.4 million (including $(0.1) million on realized gains and $(1.0) million on net unrealized gains accrued but not payable) and $6.2 million (including $0.1 million on realized gains and $1.2 million on net unrealized gains accrued but not payable), debt related interest and expenses totaled $25.2 million (including $10.9 million in Credit Facility amendment and debt issuance costs on the 2023 Notes) and $8.5 million (including $0.1 million of Credit Facility amendment expenses), general and administrative expenses totaled $4.4 million and $4.2 million and provision for taxes totaled $0.8 million and $0.3 million, respectively, for the same periods. The increase in expenses compared to the prior year was primarily due to the expenses incurred in connection with the Credit Facility amendment and debt issuance costs on the 2023 Notes in the current year.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investment income totaled $11.7 million or $0.30 per share and $10.4 million or $0.32 per share, for the three months ended September 30, 2018 and 2017, respectively.</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$31.0 million or $0.81 per share and $33.4 million or $1.10 per share, for the years ended September 30, 2018 and 2017, respectively. The decrease in net investment income compared to the prior year was primarily due to the expenses incurred in connection with the Credit Facility amendment and debt issuance costs on the 2023 Notes in the current year.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Sales and repayments of investments for the three months ended September 30, 2018 and 2017 totaled $107.9 million and $91.7 million, respectively. Net realized gains totaled $0.8 million and $0.4 million for the same periods, respectively.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years ended September 30, 2018 and 2017 totaled $391.4 million and $406.5 million, respectively. Net realized (losses) gains totaled $(2.3) million and $5.4 million for the same periods, respectively. The change in realized gains/losses compared to the prior year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three months ended September 30, 2018 and 2017, we reported a net change in unrealized (depreciation) appreciation on investments totaled $(2.6) million and $0.6 million, respectively. For the years ended September 30, 2018 and 2017, we reported a net change in unrealized (depreciation) appreciation on investments of $(2.9) million and $1.1 million, respectively. As of September 30, 2018 and 2017, our net unrealized (depreciation) appreciation on investments totaled $(0.9) million and $2.0 million, respectively. The net change in unrealized appreciation/depreciation on our investments for the year ended September 30, 2018 compared to the prior year was primarily due to changes in capital markets conditions, the financial performance of certain portfolio companies and the reversal of appreciation/depreciation on investments that were realized.</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three months ended September 30, 2018, our Credit Facility and the 2023 Notes had a net change in unrealized depreciation of $1.2 million. For the three months ended September 30, 2017, our Credit Facility had a net change in unrealized appreciation of $0.6 million. For the year ended September 30, 2018 our Credit Facility and the 2023 Notes had a net change in unrealized depreciation of $7.8 million. For the year ended September 30, 2017 our Credit Facility had a net change in unrealized appreciation of $3.6 million. As of September 30, 2018 and 2017, our net unrealized depreciation (appreciation) on our Credit Facility and the 2023 Notes totaled $4.7 million and ($3.1) million, respectively. The net change in unrealized depreciation for the year ended September 30, 2018 compared to the prior year was primarily due to changes in the capital markets.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$11.0 million or $0.28 per share and $10.9 million or $0.33 per share, for the three months ended September 30, 2018 and 2017, respectively.</w:t>
      </w:r>
    </w:p>
    <w:p>
      <w:pPr>
        <w:sectPr>
          <w:pgSz w:w="11900" w:h="16838" w:orient="portrait"/>
          <w:cols w:equalWidth="0" w:num="1">
            <w:col w:w="11240"/>
          </w:cols>
          <w:pgMar w:left="320" w:top="118" w:right="339" w:bottom="211" w:gutter="0" w:footer="0" w:header="0"/>
        </w:sectPr>
      </w:pPr>
    </w:p>
    <w:bookmarkStart w:id="6" w:name="page7"/>
    <w:bookmarkEnd w:id="6"/>
    <w:p>
      <w:pPr>
        <w:spacing w:after="0" w:line="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change in net assets resulting from operations totaled $33.5 million or $0.87 per share and $36.3 million or $1.20 per share, for the years ended September 30, 2018 and 2017, respectively. The decrease in net assets from operations for year ended September 30, 2018 compared to the prior year was primarily due to the expenses incurred in connection with the Credit Facility amendment and debt issuance costs on the 2023 Notes, partially offset by an increase in investment income due to the growth of our portfolio.</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annualized weighted average cost of debt for the years ended September 30, 2018 and 2017, inclusive of the fee on the undrawn commitment of 0.375% on the Credit Facility, amendment costs and debt issuance costs, was 7.12% and 3.14%, respectively (excluding amendment and debt issuance costs, amounts are 4.05% and 3.10%, respectively).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2018 and September 30, 2017, we had $333.7 million and $253.8 million of outstanding borrowings under the Credit Facility, respectively. The Credit Facility had a weighted average interest rate of 4.13% and 3.18%, exclusive of the fee on undrawn commitments as of September 30, 2018 and September 30, 2017, respectively. As of September 30, 2018 and September 30, 2017, we had $71.3 million and $121.2 million of unused borrowing capacity under our Credit Facility, respectively, subject to the regulatory restrictions.</w:t>
      </w:r>
    </w:p>
    <w:p>
      <w:pPr>
        <w:spacing w:after="0" w:line="18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As of September 30, 2018 and September 30, 2017, we had cash equivalents of $72.2 million and $18.9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$208.3 million for the year ended September 30, 2018, and our financing activities provided cash of $263.6 million for the same period. Our operating activities used cash primarily for our investment activities and our financing activities provided cash primarily from a follow-on equity offering and the issuance of the 2023 Notes.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$76.7 million for the year ended September 30, 2017, and our financing activities provided cash of $67.1 million for the same period. Our operating activities used cash primarily for our investment activities and our financing activities provided cash primarily from a follow-on equity offering and net borrowings under the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During both years ended September 30, 2018 and 2017, we declared distributions of $1.14 per share, for total distributions of $43.6 million and $34.8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Subsequent to September 30, 2018, we entered into an amendment and restatement of our Credit Facility to, among other things,</w:t>
      </w:r>
    </w:p>
    <w:p>
      <w:pPr>
        <w:spacing w:after="0" w:line="43" w:lineRule="exact"/>
        <w:rPr>
          <w:sz w:val="20"/>
          <w:szCs w:val="20"/>
          <w:color w:val="auto"/>
        </w:rPr>
      </w:pPr>
    </w:p>
    <w:p>
      <w:pPr>
        <w:jc w:val="both"/>
        <w:ind w:firstLine="8"/>
        <w:spacing w:after="0" w:line="234" w:lineRule="auto"/>
        <w:tabs>
          <w:tab w:leader="none" w:pos="271"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 the size of the Credit Facility from $405 million to $520 million, (ii) extend the reinvestment period to October 30, 2021, (iii) extend the maturity date to October 30, 2023 and (iv) reduce the asset coverage ratio covenant from 200% to 150%. The interest rate of LIBOR plus 200 basis points remains unchanged.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10-K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22"/>
                <w:szCs w:val="22"/>
                <w:b w:val="1"/>
                <w:bCs w:val="1"/>
                <w:color w:val="auto"/>
              </w:rPr>
              <w:t>September 30,</w:t>
            </w:r>
          </w:p>
        </w:tc>
        <w:tc>
          <w:tcPr>
            <w:tcW w:w="14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22"/>
                <w:szCs w:val="22"/>
                <w:b w:val="1"/>
                <w:bCs w:val="1"/>
                <w:color w:val="auto"/>
                <w:w w:val="86"/>
              </w:rPr>
              <w:t>September 30,</w:t>
            </w:r>
          </w:p>
        </w:tc>
      </w:tr>
      <w:tr>
        <w:trPr>
          <w:trHeight w:val="280"/>
        </w:trPr>
        <w:tc>
          <w:tcPr>
            <w:tcW w:w="7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2017</w:t>
            </w:r>
          </w:p>
        </w:tc>
      </w:tr>
      <w:tr>
        <w:trPr>
          <w:trHeight w:val="259"/>
        </w:trPr>
        <w:tc>
          <w:tcPr>
            <w:tcW w:w="77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7700" w:type="dxa"/>
            <w:vAlign w:val="bottom"/>
          </w:tcPr>
          <w:p>
            <w:pPr>
              <w:ind w:left="200"/>
              <w:spacing w:after="0" w:line="243" w:lineRule="exact"/>
              <w:rPr>
                <w:sz w:val="20"/>
                <w:szCs w:val="20"/>
                <w:color w:val="auto"/>
              </w:rPr>
            </w:pPr>
            <w:r>
              <w:rPr>
                <w:rFonts w:ascii="Arial" w:cs="Arial" w:eastAsia="Arial" w:hAnsi="Arial"/>
                <w:sz w:val="22"/>
                <w:szCs w:val="22"/>
                <w:color w:val="auto"/>
                <w:w w:val="92"/>
              </w:rPr>
              <w:t>Non-controlled, non-affiliated investments (cost—$856,893,017 and $665,514,821,</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70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854,753,064</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666,973,639</w:t>
            </w:r>
          </w:p>
        </w:tc>
      </w:tr>
      <w:tr>
        <w:trPr>
          <w:trHeight w:val="243"/>
        </w:trPr>
        <w:tc>
          <w:tcPr>
            <w:tcW w:w="7700" w:type="dxa"/>
            <w:vAlign w:val="bottom"/>
          </w:tcPr>
          <w:p>
            <w:pPr>
              <w:ind w:left="200"/>
              <w:spacing w:after="0" w:line="243" w:lineRule="exact"/>
              <w:rPr>
                <w:sz w:val="20"/>
                <w:szCs w:val="20"/>
                <w:color w:val="auto"/>
              </w:rPr>
            </w:pPr>
            <w:r>
              <w:rPr>
                <w:rFonts w:ascii="Arial" w:cs="Arial" w:eastAsia="Arial" w:hAnsi="Arial"/>
                <w:sz w:val="22"/>
                <w:szCs w:val="22"/>
                <w:color w:val="auto"/>
              </w:rPr>
              <w:t>Controlled, affiliated investments (cost—$144,375,000 and $43,000,000,</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4"/>
        </w:trPr>
        <w:tc>
          <w:tcPr>
            <w:tcW w:w="770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145,860,229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43,525,143</w:t>
            </w:r>
          </w:p>
        </w:tc>
      </w:tr>
      <w:tr>
        <w:trPr>
          <w:trHeight w:val="271"/>
        </w:trPr>
        <w:tc>
          <w:tcPr>
            <w:tcW w:w="7700" w:type="dxa"/>
            <w:vAlign w:val="bottom"/>
          </w:tcPr>
          <w:p>
            <w:pPr>
              <w:ind w:left="200"/>
              <w:spacing w:after="0"/>
              <w:rPr>
                <w:sz w:val="20"/>
                <w:szCs w:val="20"/>
                <w:color w:val="auto"/>
              </w:rPr>
            </w:pPr>
            <w:r>
              <w:rPr>
                <w:rFonts w:ascii="Arial" w:cs="Arial" w:eastAsia="Arial" w:hAnsi="Arial"/>
                <w:sz w:val="22"/>
                <w:szCs w:val="22"/>
                <w:color w:val="auto"/>
              </w:rPr>
              <w:t>Total of investments (cost—$1,001,268,017 and $708,514,821, respectively)</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1,000,613,293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710,498,782</w:t>
            </w:r>
          </w:p>
        </w:tc>
      </w:tr>
    </w:tbl>
    <w:p>
      <w:pPr>
        <w:sectPr>
          <w:pgSz w:w="11900" w:h="16895" w:orient="portrait"/>
          <w:cols w:equalWidth="0" w:num="1">
            <w:col w:w="11240"/>
          </w:cols>
          <w:pgMar w:left="320" w:top="118" w:right="339" w:bottom="0" w:gutter="0" w:footer="0" w:header="0"/>
        </w:sectPr>
      </w:pPr>
    </w:p>
    <w:bookmarkStart w:id="7" w:name="page8"/>
    <w:bookmarkEnd w:id="7"/>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700" w:type="dxa"/>
            <w:vAlign w:val="bottom"/>
          </w:tcPr>
          <w:p>
            <w:pPr>
              <w:spacing w:after="0"/>
              <w:rPr>
                <w:sz w:val="20"/>
                <w:szCs w:val="20"/>
                <w:color w:val="auto"/>
              </w:rPr>
            </w:pPr>
            <w:r>
              <w:rPr>
                <w:rFonts w:ascii="Arial" w:cs="Arial" w:eastAsia="Arial" w:hAnsi="Arial"/>
                <w:sz w:val="22"/>
                <w:szCs w:val="22"/>
                <w:color w:val="auto"/>
                <w:w w:val="99"/>
              </w:rPr>
              <w:t>Cash and cash equivalents (cost—$72,231,801 and $18,847,673, respectively)</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72,224,183</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18,910,756</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Interest receivable</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2,813,808</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2,520,506</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14,185,850</w:t>
            </w:r>
          </w:p>
        </w:tc>
        <w:tc>
          <w:tcPr>
            <w:tcW w:w="80" w:type="dxa"/>
            <w:vAlign w:val="bottom"/>
          </w:tcPr>
          <w:p>
            <w:pPr>
              <w:spacing w:after="0"/>
              <w:rPr>
                <w:sz w:val="23"/>
                <w:szCs w:val="23"/>
                <w:color w:val="auto"/>
              </w:rPr>
            </w:pP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792,069</w:t>
            </w:r>
          </w:p>
        </w:tc>
        <w:tc>
          <w:tcPr>
            <w:tcW w:w="1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1,229,505</w:t>
            </w:r>
          </w:p>
        </w:tc>
        <w:tc>
          <w:tcPr>
            <w:tcW w:w="80" w:type="dxa"/>
            <w:vAlign w:val="bottom"/>
          </w:tcPr>
          <w:p>
            <w:pPr>
              <w:spacing w:after="0"/>
              <w:rPr>
                <w:sz w:val="23"/>
                <w:szCs w:val="23"/>
                <w:color w:val="auto"/>
              </w:rPr>
            </w:pP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5"/>
              </w:rPr>
              <w:t>1,076,443,353</w:t>
            </w:r>
          </w:p>
        </w:tc>
        <w:tc>
          <w:tcPr>
            <w:tcW w:w="1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4"/>
              </w:rPr>
              <w:t>747,345,399</w:t>
            </w:r>
          </w:p>
        </w:tc>
        <w:tc>
          <w:tcPr>
            <w:tcW w:w="80" w:type="dxa"/>
            <w:vAlign w:val="bottom"/>
          </w:tcPr>
          <w:p>
            <w:pPr>
              <w:spacing w:after="0"/>
              <w:rPr>
                <w:sz w:val="23"/>
                <w:szCs w:val="23"/>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Distributions payable</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3,085,607</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59,587,222</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21,730,512</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Credit Facility payable (cost—$333,727,520 and $253,783,301, respectively)</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332,128,815</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256,858,457</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2023 Notes payable (cost—$138,579,858 and zero, respectively)</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135,503,385</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2,638,504</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693,787</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2,419,629</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1,784,806</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3,298,404</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5,061,217</w:t>
            </w:r>
          </w:p>
        </w:tc>
        <w:tc>
          <w:tcPr>
            <w:tcW w:w="80" w:type="dxa"/>
            <w:vAlign w:val="bottom"/>
          </w:tcPr>
          <w:p>
            <w:pPr>
              <w:spacing w:after="0"/>
              <w:rPr>
                <w:sz w:val="23"/>
                <w:szCs w:val="23"/>
                <w:color w:val="auto"/>
              </w:rPr>
            </w:pP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1,342,479</w:t>
            </w:r>
          </w:p>
        </w:tc>
        <w:tc>
          <w:tcPr>
            <w:tcW w:w="1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224,739</w:t>
            </w:r>
          </w:p>
        </w:tc>
        <w:tc>
          <w:tcPr>
            <w:tcW w:w="80" w:type="dxa"/>
            <w:vAlign w:val="bottom"/>
          </w:tcPr>
          <w:p>
            <w:pPr>
              <w:spacing w:after="0"/>
              <w:rPr>
                <w:sz w:val="23"/>
                <w:szCs w:val="23"/>
                <w:color w:val="auto"/>
              </w:rPr>
            </w:pP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540,601,785</w:t>
            </w:r>
          </w:p>
        </w:tc>
        <w:tc>
          <w:tcPr>
            <w:tcW w:w="1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4"/>
              </w:rPr>
              <w:t>289,439,125</w:t>
            </w:r>
          </w:p>
        </w:tc>
        <w:tc>
          <w:tcPr>
            <w:tcW w:w="80" w:type="dxa"/>
            <w:vAlign w:val="bottom"/>
          </w:tcPr>
          <w:p>
            <w:pPr>
              <w:spacing w:after="0"/>
              <w:rPr>
                <w:sz w:val="23"/>
                <w:szCs w:val="23"/>
                <w:color w:val="auto"/>
              </w:rPr>
            </w:pPr>
          </w:p>
        </w:tc>
      </w:tr>
      <w:tr>
        <w:trPr>
          <w:trHeight w:val="250"/>
        </w:trPr>
        <w:tc>
          <w:tcPr>
            <w:tcW w:w="770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7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700" w:type="dxa"/>
            <w:vAlign w:val="bottom"/>
          </w:tcPr>
          <w:p>
            <w:pPr>
              <w:spacing w:after="0" w:line="243" w:lineRule="exact"/>
              <w:rPr>
                <w:sz w:val="20"/>
                <w:szCs w:val="20"/>
                <w:color w:val="auto"/>
              </w:rPr>
            </w:pPr>
            <w:r>
              <w:rPr>
                <w:rFonts w:ascii="Arial" w:cs="Arial" w:eastAsia="Arial" w:hAnsi="Arial"/>
                <w:sz w:val="22"/>
                <w:szCs w:val="22"/>
                <w:color w:val="auto"/>
                <w:w w:val="89"/>
              </w:rPr>
              <w:t>Common stock, 38,772,074 and 32,480,074 shares issued and outstanding, respectively</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0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38,772</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32,480</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539,462,336</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w w:val="94"/>
              </w:rPr>
              <w:t>451,448,872</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(Distributions in excess of ) undistributed net investment income</w:t>
            </w:r>
          </w:p>
        </w:tc>
        <w:tc>
          <w:tcPr>
            <w:tcW w:w="24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22"/>
                <w:szCs w:val="22"/>
                <w:color w:val="auto"/>
              </w:rPr>
              <w:t>(8,531,826)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3,163,645</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Accumulated net realized gain on investments</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1,047,147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4,289,389</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unrealized (depreciation) appreciation on investments</w:t>
            </w:r>
          </w:p>
        </w:tc>
        <w:tc>
          <w:tcPr>
            <w:tcW w:w="24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22"/>
                <w:szCs w:val="22"/>
                <w:color w:val="auto"/>
              </w:rPr>
              <w:t>(850,039)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2,047,044</w:t>
            </w:r>
          </w:p>
        </w:tc>
        <w:tc>
          <w:tcPr>
            <w:tcW w:w="80" w:type="dxa"/>
            <w:vAlign w:val="bottom"/>
          </w:tcPr>
          <w:p>
            <w:pPr>
              <w:spacing w:after="0"/>
              <w:rPr>
                <w:sz w:val="23"/>
                <w:szCs w:val="23"/>
                <w:color w:val="auto"/>
              </w:rPr>
            </w:pP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Net unrealized depreciation (appreciation) on debt</w:t>
            </w:r>
          </w:p>
        </w:tc>
        <w:tc>
          <w:tcPr>
            <w:tcW w:w="24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4,675,178</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(3,075,156)</w:t>
            </w:r>
          </w:p>
        </w:tc>
      </w:tr>
      <w:tr>
        <w:trPr>
          <w:trHeight w:val="267"/>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535,841,568</w:t>
            </w:r>
          </w:p>
        </w:tc>
        <w:tc>
          <w:tcPr>
            <w:tcW w:w="180" w:type="dxa"/>
            <w:vAlign w:val="bottom"/>
          </w:tcPr>
          <w:p>
            <w:pPr>
              <w:spacing w:after="0"/>
              <w:rPr>
                <w:sz w:val="23"/>
                <w:szCs w:val="23"/>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w w:val="81"/>
              </w:rPr>
              <w:t>$</w:t>
            </w:r>
          </w:p>
        </w:tc>
        <w:tc>
          <w:tcPr>
            <w:tcW w:w="2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4"/>
              </w:rPr>
              <w:t>457,906,274</w:t>
            </w:r>
          </w:p>
        </w:tc>
        <w:tc>
          <w:tcPr>
            <w:tcW w:w="80" w:type="dxa"/>
            <w:vAlign w:val="bottom"/>
          </w:tcPr>
          <w:p>
            <w:pPr>
              <w:spacing w:after="0"/>
              <w:rPr>
                <w:sz w:val="23"/>
                <w:szCs w:val="23"/>
                <w:color w:val="auto"/>
              </w:rPr>
            </w:pPr>
          </w:p>
        </w:tc>
      </w:tr>
      <w:tr>
        <w:trPr>
          <w:trHeight w:val="263"/>
        </w:trPr>
        <w:tc>
          <w:tcPr>
            <w:tcW w:w="77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5"/>
              </w:rPr>
              <w:t>1,076,443,353</w:t>
            </w:r>
          </w:p>
        </w:tc>
        <w:tc>
          <w:tcPr>
            <w:tcW w:w="18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w w:val="81"/>
              </w:rPr>
              <w:t>$</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4"/>
              </w:rPr>
              <w:t>747,345,399</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13.82</w:t>
            </w:r>
          </w:p>
        </w:tc>
        <w:tc>
          <w:tcPr>
            <w:tcW w:w="18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w w:val="81"/>
              </w:rPr>
              <w:t>$</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14.10</w:t>
            </w:r>
          </w:p>
        </w:tc>
        <w:tc>
          <w:tcPr>
            <w:tcW w:w="8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5"/>
        </w:trPr>
        <w:tc>
          <w:tcPr>
            <w:tcW w:w="9500" w:type="dxa"/>
            <w:vAlign w:val="bottom"/>
            <w:gridSpan w:val="5"/>
          </w:tcPr>
          <w:p>
            <w:pPr>
              <w:ind w:left="2040"/>
              <w:spacing w:after="0"/>
              <w:rPr>
                <w:sz w:val="20"/>
                <w:szCs w:val="20"/>
                <w:color w:val="auto"/>
              </w:rPr>
            </w:pPr>
            <w:r>
              <w:rPr>
                <w:rFonts w:ascii="Arial" w:cs="Arial" w:eastAsia="Arial" w:hAnsi="Arial"/>
                <w:sz w:val="22"/>
                <w:szCs w:val="22"/>
                <w:b w:val="1"/>
                <w:bCs w:val="1"/>
                <w:color w:val="auto"/>
              </w:rPr>
              <w:t>PENNANTPARK FLOATING RATE CAPITAL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0"/>
        </w:trPr>
        <w:tc>
          <w:tcPr>
            <w:tcW w:w="9500" w:type="dxa"/>
            <w:vAlign w:val="bottom"/>
            <w:gridSpan w:val="5"/>
          </w:tcPr>
          <w:p>
            <w:pPr>
              <w:ind w:left="3080"/>
              <w:spacing w:after="0"/>
              <w:rPr>
                <w:sz w:val="20"/>
                <w:szCs w:val="20"/>
                <w:color w:val="auto"/>
              </w:rPr>
            </w:pPr>
            <w:r>
              <w:rPr>
                <w:rFonts w:ascii="Arial" w:cs="Arial" w:eastAsia="Arial" w:hAnsi="Arial"/>
                <w:sz w:val="22"/>
                <w:szCs w:val="22"/>
                <w:b w:val="1"/>
                <w:bCs w:val="1"/>
                <w:color w:val="auto"/>
              </w:rPr>
              <w:t>CONSOLIDATED STATEMENTS OF OPERATIONS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8"/>
          </w:tcPr>
          <w:p>
            <w:pPr>
              <w:jc w:val="right"/>
              <w:ind w:right="280"/>
              <w:spacing w:after="0"/>
              <w:rPr>
                <w:sz w:val="20"/>
                <w:szCs w:val="20"/>
                <w:color w:val="auto"/>
              </w:rPr>
            </w:pPr>
            <w:r>
              <w:rPr>
                <w:rFonts w:ascii="Arial" w:cs="Arial" w:eastAsia="Arial" w:hAnsi="Arial"/>
                <w:sz w:val="22"/>
                <w:szCs w:val="22"/>
                <w:b w:val="1"/>
                <w:bCs w:val="1"/>
                <w:color w:val="auto"/>
                <w:w w:val="92"/>
              </w:rPr>
              <w:t>Years Ended September 30,</w:t>
            </w:r>
          </w:p>
        </w:tc>
      </w:tr>
      <w:tr>
        <w:trPr>
          <w:trHeight w:val="267"/>
        </w:trPr>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b w:val="1"/>
                <w:bCs w:val="1"/>
                <w:color w:val="auto"/>
              </w:rPr>
              <w:t>2018</w:t>
            </w:r>
          </w:p>
        </w:tc>
        <w:tc>
          <w:tcPr>
            <w:tcW w:w="1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  62,469,275</w:t>
            </w:r>
          </w:p>
        </w:tc>
        <w:tc>
          <w:tcPr>
            <w:tcW w:w="10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52,772,368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2,244,895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1,660,371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Settlement proceeds</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22"/>
                <w:szCs w:val="22"/>
                <w:color w:val="auto"/>
                <w:w w:val="99"/>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4,551,485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5,302,909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512,610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Dividend</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2,187,500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rPr>
              <w:t>72,204,579</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59,496,834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8,351,653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6,902,645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2,399,249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6,217,210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14,359,908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8,338,880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2,000,000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2,245,000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2,460,582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1,935,000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9"/>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88"/>
              </w:rPr>
              <w:t>Expenses before amendment costs, debt issuance costs and provision for taxes</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22"/>
                <w:szCs w:val="22"/>
                <w:color w:val="auto"/>
              </w:rPr>
              <w:t>29,571,392</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25,638,735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10,869,098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112,736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800,000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300,000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rPr>
              <w:t>41,240,490</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26,051,471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63"/>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30,964,089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33,445,363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Realized and unrealized gain on investments and debt:</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realized (loss) gain on investments</w:t>
            </w:r>
          </w:p>
        </w:tc>
        <w:tc>
          <w:tcPr>
            <w:tcW w:w="240" w:type="dxa"/>
            <w:vAlign w:val="bottom"/>
          </w:tcPr>
          <w:p>
            <w:pPr>
              <w:spacing w:after="0"/>
              <w:rPr>
                <w:sz w:val="23"/>
                <w:szCs w:val="23"/>
                <w:color w:val="auto"/>
              </w:rPr>
            </w:pPr>
          </w:p>
        </w:tc>
        <w:tc>
          <w:tcPr>
            <w:tcW w:w="1740" w:type="dxa"/>
            <w:vAlign w:val="bottom"/>
            <w:gridSpan w:val="5"/>
          </w:tcPr>
          <w:p>
            <w:pPr>
              <w:jc w:val="right"/>
              <w:ind w:right="20"/>
              <w:spacing w:after="0"/>
              <w:rPr>
                <w:sz w:val="20"/>
                <w:szCs w:val="20"/>
                <w:color w:val="auto"/>
              </w:rPr>
            </w:pPr>
            <w:r>
              <w:rPr>
                <w:rFonts w:ascii="Arial" w:cs="Arial" w:eastAsia="Arial" w:hAnsi="Arial"/>
                <w:sz w:val="22"/>
                <w:szCs w:val="22"/>
                <w:color w:val="auto"/>
              </w:rPr>
              <w:t>(2,327,118)</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5,410,903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240" w:type="dxa"/>
            <w:vAlign w:val="bottom"/>
          </w:tcPr>
          <w:p>
            <w:pPr>
              <w:spacing w:after="0"/>
              <w:rPr>
                <w:sz w:val="23"/>
                <w:szCs w:val="23"/>
                <w:color w:val="auto"/>
              </w:rPr>
            </w:pPr>
          </w:p>
        </w:tc>
        <w:tc>
          <w:tcPr>
            <w:tcW w:w="1740" w:type="dxa"/>
            <w:vAlign w:val="bottom"/>
            <w:gridSpan w:val="5"/>
          </w:tcPr>
          <w:p>
            <w:pPr>
              <w:jc w:val="right"/>
              <w:ind w:right="20"/>
              <w:spacing w:after="0"/>
              <w:rPr>
                <w:sz w:val="20"/>
                <w:szCs w:val="20"/>
                <w:color w:val="auto"/>
              </w:rPr>
            </w:pPr>
            <w:r>
              <w:rPr>
                <w:rFonts w:ascii="Arial" w:cs="Arial" w:eastAsia="Arial" w:hAnsi="Arial"/>
                <w:sz w:val="22"/>
                <w:szCs w:val="22"/>
                <w:color w:val="auto"/>
              </w:rPr>
              <w:t>(3,857,170)</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537,029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Controlled, affiliated investments</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960,087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525,143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24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22"/>
                <w:szCs w:val="22"/>
                <w:color w:val="auto"/>
              </w:rPr>
              <w:t>7,750,334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22"/>
                <w:szCs w:val="22"/>
                <w:color w:val="auto"/>
              </w:rPr>
              <w:t>(3,593,158)</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91"/>
              </w:rPr>
              <w:t>Net change in unrealized appreciation (depreciation) on investments and debt</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rPr>
              <w:t>4,853,251</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(2,530,986)</w:t>
            </w:r>
          </w:p>
        </w:tc>
        <w:tc>
          <w:tcPr>
            <w:tcW w:w="120" w:type="dxa"/>
            <w:vAlign w:val="bottom"/>
            <w:gridSpan w:val="2"/>
          </w:tcPr>
          <w:p>
            <w:pPr>
              <w:spacing w:after="0"/>
              <w:rPr>
                <w:sz w:val="23"/>
                <w:szCs w:val="23"/>
                <w:color w:val="auto"/>
              </w:rPr>
            </w:pPr>
          </w:p>
        </w:tc>
      </w:tr>
      <w:tr>
        <w:trPr>
          <w:trHeight w:val="268"/>
        </w:trPr>
        <w:tc>
          <w:tcPr>
            <w:tcW w:w="7700" w:type="dxa"/>
            <w:vAlign w:val="bottom"/>
          </w:tcPr>
          <w:p>
            <w:pPr>
              <w:spacing w:after="0"/>
              <w:rPr>
                <w:sz w:val="20"/>
                <w:szCs w:val="20"/>
                <w:color w:val="auto"/>
              </w:rPr>
            </w:pPr>
            <w:r>
              <w:rPr>
                <w:rFonts w:ascii="Arial" w:cs="Arial" w:eastAsia="Arial" w:hAnsi="Arial"/>
                <w:sz w:val="22"/>
                <w:szCs w:val="22"/>
                <w:b w:val="1"/>
                <w:bCs w:val="1"/>
                <w:color w:val="auto"/>
              </w:rPr>
              <w:t>Net realized and unrealized gain from investments and debt</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22"/>
                <w:szCs w:val="22"/>
                <w:color w:val="auto"/>
              </w:rPr>
              <w:t>2,526,133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2,879,917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936" w:orient="portrait"/>
          <w:cols w:equalWidth="0" w:num="1">
            <w:col w:w="11200"/>
          </w:cols>
          <w:pgMar w:left="340" w:top="11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822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33,490,222</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36,325,280</w:t>
            </w:r>
          </w:p>
        </w:tc>
      </w:tr>
      <w:tr>
        <w:trPr>
          <w:trHeight w:val="21"/>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3"/>
        </w:trPr>
        <w:tc>
          <w:tcPr>
            <w:tcW w:w="822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3"/>
        </w:trPr>
        <w:tc>
          <w:tcPr>
            <w:tcW w:w="822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w:t>
            </w:r>
          </w:p>
        </w:tc>
      </w:tr>
      <w:tr>
        <w:trPr>
          <w:trHeight w:val="21"/>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5"/>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2020-05-05T12:04:50Z</dcterms:created>
  <dcterms:modified xsi:type="dcterms:W3CDTF">2020-05-05T12:04:50Z</dcterms:modified>
</cp:coreProperties>
</file>