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400"/>
        <w:spacing w:after="0" w:line="226"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4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6737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87"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3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CURRENT REPORT</w:t>
      </w:r>
    </w:p>
    <w:p>
      <w:pPr>
        <w:spacing w:after="0" w:line="14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Date of Report: May 3, 2022</w:t>
      </w:r>
    </w:p>
    <w:p>
      <w:pPr>
        <w:spacing w:after="0" w:line="6"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8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98" w:lineRule="exact"/>
        <w:rPr>
          <w:sz w:val="24"/>
          <w:szCs w:val="24"/>
          <w:color w:val="auto"/>
        </w:rPr>
      </w:pPr>
    </w:p>
    <w:tbl>
      <w:tblPr>
        <w:tblLayout w:type="fixed"/>
        <w:tblInd w:w="2340" w:type="dxa"/>
        <w:tblCellMar>
          <w:top w:w="0" w:type="dxa"/>
          <w:left w:w="0" w:type="dxa"/>
          <w:bottom w:w="0" w:type="dxa"/>
          <w:right w:w="0" w:type="dxa"/>
        </w:tblCellMar>
      </w:tblPr>
      <w:tr>
        <w:trPr>
          <w:trHeight w:val="207"/>
        </w:trPr>
        <w:tc>
          <w:tcPr>
            <w:tcW w:w="22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2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814-00891</w:t>
            </w:r>
          </w:p>
        </w:tc>
        <w:tc>
          <w:tcPr>
            <w:tcW w:w="2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27-3794690</w:t>
            </w:r>
          </w:p>
        </w:tc>
      </w:tr>
      <w:tr>
        <w:trPr>
          <w:trHeight w:val="189"/>
        </w:trPr>
        <w:tc>
          <w:tcPr>
            <w:tcW w:w="22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06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8"/>
              </w:rPr>
              <w:t>(Commission File</w:t>
            </w:r>
          </w:p>
        </w:tc>
        <w:tc>
          <w:tcPr>
            <w:tcW w:w="2120" w:type="dxa"/>
            <w:vAlign w:val="bottom"/>
          </w:tcPr>
          <w:p>
            <w:pPr>
              <w:jc w:val="center"/>
              <w:ind w:left="37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Number)</w:t>
            </w:r>
          </w:p>
        </w:tc>
        <w:tc>
          <w:tcPr>
            <w:tcW w:w="2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707"/>
        </w:trPr>
        <w:tc>
          <w:tcPr>
            <w:tcW w:w="22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1691 Michigan Avenue</w:t>
            </w:r>
          </w:p>
        </w:tc>
        <w:tc>
          <w:tcPr>
            <w:tcW w:w="2060" w:type="dxa"/>
            <w:vAlign w:val="bottom"/>
          </w:tcPr>
          <w:p>
            <w:pPr>
              <w:spacing w:after="0"/>
              <w:rPr>
                <w:sz w:val="24"/>
                <w:szCs w:val="24"/>
                <w:color w:val="auto"/>
              </w:rPr>
            </w:pPr>
          </w:p>
        </w:tc>
        <w:tc>
          <w:tcPr>
            <w:tcW w:w="2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33139</w:t>
            </w:r>
          </w:p>
        </w:tc>
      </w:tr>
      <w:tr>
        <w:trPr>
          <w:trHeight w:val="213"/>
        </w:trPr>
        <w:tc>
          <w:tcPr>
            <w:tcW w:w="22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2060" w:type="dxa"/>
            <w:vAlign w:val="bottom"/>
          </w:tcPr>
          <w:p>
            <w:pPr>
              <w:spacing w:after="0"/>
              <w:rPr>
                <w:sz w:val="18"/>
                <w:szCs w:val="18"/>
                <w:color w:val="auto"/>
              </w:rPr>
            </w:pPr>
          </w:p>
        </w:tc>
        <w:tc>
          <w:tcPr>
            <w:tcW w:w="2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(Zip Code)</w:t>
            </w:r>
          </w:p>
        </w:tc>
      </w:tr>
    </w:tbl>
    <w:p>
      <w:pPr>
        <w:ind w:left="18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3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397" w:lineRule="exact"/>
        <w:rPr>
          <w:sz w:val="24"/>
          <w:szCs w:val="24"/>
          <w:color w:val="auto"/>
        </w:rPr>
      </w:pPr>
    </w:p>
    <w:p>
      <w:pPr>
        <w:ind w:right="540"/>
        <w:spacing w:after="0" w:line="24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374" w:right="479" w:bottom="1440" w:gutter="0" w:footer="0" w:header="0"/>
        </w:sectPr>
      </w:pPr>
    </w:p>
    <w:p>
      <w:pPr>
        <w:spacing w:after="0" w:line="194"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060" w:space="720"/>
            <w:col w:w="1840" w:space="720"/>
            <w:col w:w="3760"/>
          </w:cols>
          <w:pgMar w:left="320" w:top="374" w:right="4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PFLT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New York Stock Exchange</w:t>
      </w:r>
    </w:p>
    <w:p>
      <w:pPr>
        <w:spacing w:after="0" w:line="200" w:lineRule="exact"/>
        <w:rPr>
          <w:sz w:val="24"/>
          <w:szCs w:val="24"/>
          <w:color w:val="auto"/>
        </w:rPr>
      </w:pPr>
    </w:p>
    <w:p>
      <w:pPr>
        <w:sectPr>
          <w:pgSz w:w="11900" w:h="16838" w:orient="portrait"/>
          <w:cols w:equalWidth="0" w:num="3">
            <w:col w:w="4580" w:space="720"/>
            <w:col w:w="1940" w:space="720"/>
            <w:col w:w="3140"/>
          </w:cols>
          <w:pgMar w:left="320" w:top="374" w:right="479" w:bottom="1440" w:gutter="0" w:footer="0" w:header="0"/>
          <w:type w:val="continuous"/>
        </w:sectPr>
      </w:pPr>
    </w:p>
    <w:p>
      <w:pPr>
        <w:spacing w:after="0" w:line="1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o</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74" w:right="479" w:bottom="1440" w:gutter="0" w:footer="0" w:header="0"/>
          <w:type w:val="continuous"/>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Item 5.02 - Departure of Directors or Principal Officers; Election of Directors; Appointment of Certain Officers; Compensatory Arrangements of Certain Officers.</w:t>
      </w:r>
    </w:p>
    <w:p>
      <w:pPr>
        <w:spacing w:after="0" w:line="13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On May 3, 2022, the Board of Directors (the “Board”) of PennantPark Floating Rate Capital, Ltd, (the “Company”) increased the size of the Board from five to six members and, on the recommendation of the Nominating and Governance Committee of the Board, appointed José Briones as an interested director to fill the vacancy created by such increase, effective immediately. Mr. Briones will serve as a Class III director with a term expiring at the Company's Annual Meeting of Stockholders in 2023. The Company announced the appointment of Mr. Briones in its May [6], 2022 press release. A copy of that press release is being filed with this Form 8-K as Exhibit 99.1.</w:t>
      </w:r>
    </w:p>
    <w:p>
      <w:pPr>
        <w:spacing w:after="0" w:line="164"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Mr. Briones was nominated by the Company's Nominating and Corporate Governance Committee after a thorough review of Mr. Briones’ background, relevant experience and professional and personal reputations. Mr. Briones is a Senior Partner at PennantPark Investment Advisers, LLC, the Company’s investment adviser (the “Adviser”). He joined the Adviser in December 2009, and oversees originating, underwriting, executing and monitoring investments for the Company. He is also responsible for various strategic initiatives.</w:t>
      </w:r>
    </w:p>
    <w:p>
      <w:pPr>
        <w:spacing w:after="0" w:line="17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Mr. Briones has not been elected to serve as a member of the Board pursuant to any agreement or understanding with the Company or any other person, and there are no related party transactions with regard to Ms. Briones that are reportable under Item 404(a) of Regulation S-K. Mr. Briones. will not receive director fees.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5.05. Amendments to the Registrant’s Code of Ethics, or Waiver of a Provision of the Code of Ethics.</w:t>
      </w:r>
    </w:p>
    <w:p>
      <w:pPr>
        <w:spacing w:after="0" w:line="2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May 3, 2022, the Board adopted an amended Joint Code of Ethics (as amended, the “Code”) applicable to, among others, the Company and the Adviser. The Code was amended to, among others, extend the Trading Window (as defined in the Code), in the case of the Company’s and the Adviser’s decision to buy the Company’s equity securities, from no later than 30 days after the release of financial results for a fiscal quarter to no later than the end of the quarter during which such financial results have been publicly released.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amendments reflected in the Code did not relate to or result in any waiver, explicit or implicit, of any provision of the previous Joint Code of Ethics.</w:t>
      </w:r>
    </w:p>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foregoing description of the amendments reflected in the Code is not complete and is qualified in its entirety by reference to the full text of the Code, a copy of which is attached hereto as Exhibit 14.1 and is incorporated by reference into this Item 5.05. A copy of the Code is also publicly available in the governance documents section of the Company’s website at: </w:t>
      </w:r>
      <w:r>
        <w:rPr>
          <w:rFonts w:ascii="Times New Roman" w:cs="Times New Roman" w:eastAsia="Times New Roman" w:hAnsi="Times New Roman"/>
          <w:sz w:val="18"/>
          <w:szCs w:val="18"/>
          <w:i w:val="1"/>
          <w:iCs w:val="1"/>
          <w:u w:val="single" w:color="auto"/>
          <w:color w:val="auto"/>
        </w:rPr>
        <w:t>https://pflt.pennantpark.com</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14" w:lineRule="exact"/>
        <w:rPr>
          <w:sz w:val="20"/>
          <w:szCs w:val="20"/>
          <w:color w:val="auto"/>
        </w:rPr>
      </w:pPr>
    </w:p>
    <w:p>
      <w:pPr>
        <w:ind w:left="600" w:right="9320" w:hanging="592"/>
        <w:spacing w:after="0" w:line="271" w:lineRule="auto"/>
        <w:tabs>
          <w:tab w:leader="none" w:pos="27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spacing w:after="0" w:line="1" w:lineRule="exact"/>
        <w:rPr>
          <w:rFonts w:ascii="Times New Roman" w:cs="Times New Roman" w:eastAsia="Times New Roman" w:hAnsi="Times New Roman"/>
          <w:sz w:val="17"/>
          <w:szCs w:val="17"/>
          <w:b w:val="1"/>
          <w:bCs w:val="1"/>
          <w:color w:val="auto"/>
        </w:rPr>
      </w:pPr>
    </w:p>
    <w:p>
      <w:pPr>
        <w:ind w:left="600" w:right="8380" w:hanging="547"/>
        <w:spacing w:after="0" w:line="241" w:lineRule="auto"/>
        <w:tabs>
          <w:tab w:leader="none" w:pos="325"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600" w:right="8760" w:hanging="547"/>
        <w:spacing w:after="0" w:line="235" w:lineRule="auto"/>
        <w:tabs>
          <w:tab w:leader="none" w:pos="305"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320" w:hanging="267"/>
        <w:spacing w:after="0"/>
        <w:tabs>
          <w:tab w:leader="none" w:pos="320"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5" w:lineRule="exact"/>
        <w:rPr>
          <w:sz w:val="20"/>
          <w:szCs w:val="20"/>
          <w:color w:val="auto"/>
        </w:rPr>
      </w:pPr>
    </w:p>
    <w:p>
      <w:pPr>
        <w:ind w:left="600"/>
        <w:spacing w:after="0"/>
        <w:tabs>
          <w:tab w:leader="none" w:pos="116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u w:val="single" w:color="auto"/>
          <w:color w:val="0000FF"/>
        </w:rPr>
        <w:t>Joint Code of Ethics of PennantPark Floating Rate Capital, Ltd.</w:t>
      </w:r>
    </w:p>
    <w:p>
      <w:pPr>
        <w:ind w:left="600"/>
        <w:spacing w:after="0"/>
        <w:tabs>
          <w:tab w:leader="none" w:pos="11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PennantPark Floating Rate Capital Ltd. Dated May 6, 2022</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660" w:firstLine="27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 w:name="page3"/>
    <w:bookmarkEnd w:id="2"/>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 May 6, 2022</w:t>
      </w:r>
      <w:r>
        <w:rPr>
          <w:sz w:val="20"/>
          <w:szCs w:val="20"/>
          <w:color w:val="auto"/>
        </w:rPr>
        <w:tab/>
      </w:r>
      <w:r>
        <w:rPr>
          <w:rFonts w:ascii="Times New Roman" w:cs="Times New Roman" w:eastAsia="Times New Roman" w:hAnsi="Times New Roman"/>
          <w:sz w:val="17"/>
          <w:szCs w:val="17"/>
          <w:b w:val="1"/>
          <w:bCs w:val="1"/>
          <w:color w:val="auto"/>
        </w:rPr>
        <w:t>PENNANTPARK FLOATING RATE CAPITAL LTD.</w:t>
      </w:r>
    </w:p>
    <w:p>
      <w:pPr>
        <w:sectPr>
          <w:pgSz w:w="11900" w:h="16838" w:orient="portrait"/>
          <w:cols w:equalWidth="0" w:num="1">
            <w:col w:w="10119"/>
          </w:cols>
          <w:pgMar w:left="340" w:top="117" w:right="1440" w:bottom="1440" w:gutter="0" w:footer="0" w:header="0"/>
        </w:sectPr>
      </w:pPr>
    </w:p>
    <w:p>
      <w:pPr>
        <w:spacing w:after="0" w:line="135" w:lineRule="exact"/>
        <w:rPr>
          <w:sz w:val="20"/>
          <w:szCs w:val="20"/>
          <w:color w:val="auto"/>
        </w:rPr>
      </w:pPr>
    </w:p>
    <w:p>
      <w:pPr>
        <w:jc w:val="center"/>
        <w:ind w:left="2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Richard Cheung</w:t>
      </w:r>
    </w:p>
    <w:p>
      <w:pPr>
        <w:jc w:val="center"/>
        <w:ind w:left="1980"/>
        <w:spacing w:after="0" w:line="221" w:lineRule="auto"/>
        <w:rPr>
          <w:sz w:val="20"/>
          <w:szCs w:val="20"/>
          <w:color w:val="auto"/>
        </w:rPr>
      </w:pPr>
      <w:r>
        <w:rPr>
          <w:rFonts w:ascii="Times New Roman" w:cs="Times New Roman" w:eastAsia="Times New Roman" w:hAnsi="Times New Roman"/>
          <w:sz w:val="18"/>
          <w:szCs w:val="18"/>
          <w:color w:val="auto"/>
        </w:rPr>
        <w:t>Richard Cheung</w:t>
      </w:r>
    </w:p>
    <w:p>
      <w:pPr>
        <w:jc w:val="right"/>
        <w:ind w:right="1459"/>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326390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7" w:right="1440" w:bottom="1440" w:gutter="0" w:footer="0" w:header="0"/>
          <w:type w:val="continuous"/>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JOINT CODE OF ETHICS</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FOR</w:t>
      </w:r>
    </w:p>
    <w:p>
      <w:pPr>
        <w:jc w:val="center"/>
        <w:ind w:right="60"/>
        <w:spacing w:after="0" w:line="233" w:lineRule="auto"/>
        <w:rPr>
          <w:sz w:val="20"/>
          <w:szCs w:val="20"/>
          <w:color w:val="auto"/>
        </w:rPr>
      </w:pPr>
      <w:r>
        <w:rPr>
          <w:rFonts w:ascii="Times New Roman" w:cs="Times New Roman" w:eastAsia="Times New Roman" w:hAnsi="Times New Roman"/>
          <w:sz w:val="22"/>
          <w:szCs w:val="22"/>
          <w:b w:val="1"/>
          <w:bCs w:val="1"/>
          <w:color w:val="auto"/>
        </w:rPr>
        <w:t>PENNANTPARK INVESTMENT CORPORATION</w:t>
      </w:r>
    </w:p>
    <w:p>
      <w:pPr>
        <w:jc w:val="center"/>
        <w:ind w:right="60"/>
        <w:spacing w:after="0" w:line="231" w:lineRule="auto"/>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ADVISERS, LLC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IStatement of General Fiduciary Principles</w:t>
      </w:r>
    </w:p>
    <w:p>
      <w:pPr>
        <w:spacing w:after="0" w:line="10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under the Act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73"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6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All Covered Personnel must read and retain this Code.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IIDefinitions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478" w:hanging="478"/>
        <w:spacing w:after="0" w:line="259" w:lineRule="auto"/>
        <w:tabs>
          <w:tab w:leader="none" w:pos="47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Person” means any director, officer, general partner or Advisory Person (as defined below) of the Corporations or the Adviser.</w:t>
      </w:r>
    </w:p>
    <w:p>
      <w:pPr>
        <w:spacing w:after="0" w:line="62" w:lineRule="exact"/>
        <w:rPr>
          <w:rFonts w:ascii="Times New Roman" w:cs="Times New Roman" w:eastAsia="Times New Roman" w:hAnsi="Times New Roman"/>
          <w:sz w:val="22"/>
          <w:szCs w:val="22"/>
          <w:color w:val="auto"/>
        </w:rPr>
      </w:pPr>
    </w:p>
    <w:p>
      <w:pPr>
        <w:jc w:val="both"/>
        <w:ind w:left="478" w:hanging="478"/>
        <w:spacing w:after="0" w:line="239" w:lineRule="auto"/>
        <w:tabs>
          <w:tab w:leader="none" w:pos="47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86" w:lineRule="exact"/>
        <w:rPr>
          <w:rFonts w:ascii="Times New Roman" w:cs="Times New Roman" w:eastAsia="Times New Roman" w:hAnsi="Times New Roman"/>
          <w:sz w:val="22"/>
          <w:szCs w:val="22"/>
          <w:color w:val="auto"/>
        </w:rPr>
      </w:pPr>
    </w:p>
    <w:p>
      <w:pPr>
        <w:jc w:val="both"/>
        <w:ind w:left="478" w:hanging="478"/>
        <w:spacing w:after="0" w:line="244" w:lineRule="auto"/>
        <w:tabs>
          <w:tab w:leader="none" w:pos="47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78" w:lineRule="exact"/>
        <w:rPr>
          <w:rFonts w:ascii="Times New Roman" w:cs="Times New Roman" w:eastAsia="Times New Roman" w:hAnsi="Times New Roman"/>
          <w:sz w:val="22"/>
          <w:szCs w:val="22"/>
          <w:color w:val="auto"/>
        </w:rPr>
      </w:pPr>
    </w:p>
    <w:p>
      <w:pPr>
        <w:ind w:left="478" w:hanging="478"/>
        <w:spacing w:after="0" w:line="258" w:lineRule="auto"/>
        <w:tabs>
          <w:tab w:leader="none" w:pos="47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“Chief Compliance Officer” means the Chief Compliance Officer of the Corporation (who also may serve as the compliance officer of the Adviser and/or one or more affiliates of the Adviser).</w:t>
      </w:r>
    </w:p>
    <w:p>
      <w:pPr>
        <w:spacing w:after="0" w:line="50" w:lineRule="exact"/>
        <w:rPr>
          <w:rFonts w:ascii="Times New Roman" w:cs="Times New Roman" w:eastAsia="Times New Roman" w:hAnsi="Times New Roman"/>
          <w:sz w:val="22"/>
          <w:szCs w:val="22"/>
          <w:color w:val="auto"/>
        </w:rPr>
      </w:pPr>
    </w:p>
    <w:p>
      <w:pPr>
        <w:ind w:left="478" w:hanging="478"/>
        <w:spacing w:after="0"/>
        <w:tabs>
          <w:tab w:leader="none" w:pos="47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“Control” shall have the same meaning as that set forth in Section 2(a)(9) of the Act.</w:t>
      </w:r>
    </w:p>
    <w:p>
      <w:pPr>
        <w:spacing w:after="0" w:line="111" w:lineRule="exact"/>
        <w:rPr>
          <w:rFonts w:ascii="Times New Roman" w:cs="Times New Roman" w:eastAsia="Times New Roman" w:hAnsi="Times New Roman"/>
          <w:sz w:val="22"/>
          <w:szCs w:val="22"/>
          <w:color w:val="auto"/>
        </w:rPr>
      </w:pPr>
    </w:p>
    <w:p>
      <w:pPr>
        <w:jc w:val="both"/>
        <w:ind w:left="478" w:hanging="478"/>
        <w:spacing w:after="0" w:line="248" w:lineRule="auto"/>
        <w:tabs>
          <w:tab w:leader="none" w:pos="478"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 However, a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54610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12" w:right="339" w:bottom="1440" w:gutter="0" w:footer="0" w:header="0"/>
        </w:sectPr>
      </w:pPr>
    </w:p>
    <w:bookmarkStart w:id="5" w:name="page6"/>
    <w:bookmarkEnd w:id="5"/>
    <w:p>
      <w:pPr>
        <w:ind w:left="860"/>
        <w:spacing w:after="0"/>
        <w:rPr>
          <w:sz w:val="20"/>
          <w:szCs w:val="20"/>
          <w:color w:val="auto"/>
        </w:rPr>
      </w:pPr>
      <w:r>
        <w:rPr>
          <w:rFonts w:ascii="Times New Roman" w:cs="Times New Roman" w:eastAsia="Times New Roman" w:hAnsi="Times New Roman"/>
          <w:sz w:val="22"/>
          <w:szCs w:val="22"/>
          <w:color w:val="auto"/>
        </w:rPr>
        <w:t>Derivative shall also be applicable to the purchase or sale of a Covered Security relating to that Derivative.</w:t>
      </w:r>
    </w:p>
    <w:p>
      <w:pPr>
        <w:spacing w:after="0" w:line="99" w:lineRule="exact"/>
        <w:rPr>
          <w:sz w:val="20"/>
          <w:szCs w:val="20"/>
          <w:color w:val="auto"/>
        </w:rPr>
      </w:pPr>
    </w:p>
    <w:p>
      <w:pPr>
        <w:ind w:left="860" w:hanging="478"/>
        <w:spacing w:after="0" w:line="271" w:lineRule="auto"/>
        <w:tabs>
          <w:tab w:leader="none" w:pos="8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Director” means a director of the Corporation who is not an “interested person” of the Corporation within the meaning of Section 2(a)(19) of the Act.</w:t>
      </w:r>
    </w:p>
    <w:p>
      <w:pPr>
        <w:spacing w:after="0" w:line="36" w:lineRule="exact"/>
        <w:rPr>
          <w:rFonts w:ascii="Times New Roman" w:cs="Times New Roman" w:eastAsia="Times New Roman" w:hAnsi="Times New Roman"/>
          <w:sz w:val="22"/>
          <w:szCs w:val="22"/>
          <w:color w:val="auto"/>
        </w:rPr>
      </w:pPr>
    </w:p>
    <w:p>
      <w:pPr>
        <w:jc w:val="both"/>
        <w:ind w:left="860" w:hanging="478"/>
        <w:spacing w:after="0" w:line="250" w:lineRule="auto"/>
        <w:tabs>
          <w:tab w:leader="none" w:pos="8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Public Offering” means an offering of securities registered under the Securities Act of 1933, as amended (the “1933 Act”), the issuer of which, immediately before the registration, was not subject to the reporting requirements of Sections 13 or 15(d) of the 1934 Act.</w:t>
      </w:r>
    </w:p>
    <w:p>
      <w:pPr>
        <w:spacing w:after="0" w:line="59" w:lineRule="exact"/>
        <w:rPr>
          <w:rFonts w:ascii="Times New Roman" w:cs="Times New Roman" w:eastAsia="Times New Roman" w:hAnsi="Times New Roman"/>
          <w:sz w:val="22"/>
          <w:szCs w:val="22"/>
          <w:color w:val="auto"/>
        </w:rPr>
      </w:pPr>
    </w:p>
    <w:p>
      <w:pPr>
        <w:ind w:left="860" w:hanging="478"/>
        <w:spacing w:after="0" w:line="271" w:lineRule="auto"/>
        <w:tabs>
          <w:tab w:leader="none" w:pos="8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“Limited Offering” means an offering that is exempt from registration under the 1933 Act pursuant to Section 4(2) or Section 4(6) thereof or pursuant to Rule 504, Rule 505, or Rule 506 thereunder.</w:t>
      </w:r>
    </w:p>
    <w:p>
      <w:pPr>
        <w:spacing w:after="0" w:line="36" w:lineRule="exact"/>
        <w:rPr>
          <w:rFonts w:ascii="Times New Roman" w:cs="Times New Roman" w:eastAsia="Times New Roman" w:hAnsi="Times New Roman"/>
          <w:sz w:val="22"/>
          <w:szCs w:val="22"/>
          <w:color w:val="auto"/>
        </w:rPr>
      </w:pPr>
    </w:p>
    <w:p>
      <w:pPr>
        <w:ind w:left="860" w:hanging="478"/>
        <w:spacing w:after="0" w:line="271" w:lineRule="auto"/>
        <w:tabs>
          <w:tab w:leader="none" w:pos="8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List” means the “Pipeline” report of potential investments combined with the current holdings of the clients. PennantPark Access Persons are restricted from trading any security on the Restricted List.</w:t>
      </w:r>
    </w:p>
    <w:p>
      <w:pPr>
        <w:spacing w:after="0" w:line="36"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“Security Held or to be Acquired” by the Corporation means: (i) any Covered Security which, within the most recent 15</w:t>
      </w:r>
    </w:p>
    <w:p>
      <w:pPr>
        <w:spacing w:after="0" w:line="25" w:lineRule="exact"/>
        <w:rPr>
          <w:rFonts w:ascii="Times New Roman" w:cs="Times New Roman" w:eastAsia="Times New Roman" w:hAnsi="Times New Roman"/>
          <w:sz w:val="21"/>
          <w:szCs w:val="21"/>
          <w:color w:val="auto"/>
        </w:rPr>
      </w:pPr>
    </w:p>
    <w:p>
      <w:pPr>
        <w:jc w:val="both"/>
        <w:ind w:left="860"/>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 of this Code.</w:t>
      </w:r>
    </w:p>
    <w:p>
      <w:pPr>
        <w:spacing w:after="0" w:line="70" w:lineRule="exact"/>
        <w:rPr>
          <w:rFonts w:ascii="Times New Roman" w:cs="Times New Roman" w:eastAsia="Times New Roman" w:hAnsi="Times New Roman"/>
          <w:sz w:val="21"/>
          <w:szCs w:val="21"/>
          <w:color w:val="auto"/>
        </w:rPr>
      </w:pPr>
    </w:p>
    <w:p>
      <w:pPr>
        <w:ind w:left="860" w:hanging="478"/>
        <w:spacing w:after="0"/>
        <w:tabs>
          <w:tab w:leader="none" w:pos="8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“17j-1 Organization” means the Corporation or the Adviser, as the context requires.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IIIObjective and General Prohibitions</w:t>
      </w:r>
    </w:p>
    <w:p>
      <w:pPr>
        <w:spacing w:after="0" w:line="1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6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69" w:lineRule="exact"/>
        <w:rPr>
          <w:sz w:val="20"/>
          <w:szCs w:val="20"/>
          <w:color w:val="auto"/>
        </w:rPr>
      </w:pPr>
    </w:p>
    <w:p>
      <w:pPr>
        <w:ind w:left="1140" w:hanging="383"/>
        <w:spacing w:after="0"/>
        <w:tabs>
          <w:tab w:leader="none" w:pos="11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any device, scheme or artifice to defraud the Corporation;</w:t>
      </w:r>
    </w:p>
    <w:p>
      <w:pPr>
        <w:spacing w:after="0" w:line="111"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78" w:lineRule="exact"/>
        <w:rPr>
          <w:rFonts w:ascii="Times New Roman" w:cs="Times New Roman" w:eastAsia="Times New Roman" w:hAnsi="Times New Roman"/>
          <w:sz w:val="22"/>
          <w:szCs w:val="22"/>
          <w:color w:val="auto"/>
        </w:rPr>
      </w:pPr>
    </w:p>
    <w:p>
      <w:pPr>
        <w:ind w:left="1320" w:right="580" w:hanging="563"/>
        <w:spacing w:after="0" w:line="258" w:lineRule="auto"/>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act, practice or course of business that operates or would operate as a fraud or deceit upon the Corporation;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ind w:left="1320" w:hanging="563"/>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manipulative practice with respect to the Corporation.</w:t>
      </w:r>
    </w:p>
    <w:p>
      <w:pPr>
        <w:spacing w:after="0" w:line="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Covered Personnel should also recognize that a violation of this Code or of Rule 17j-1 may result in the imposition of:</w:t>
      </w:r>
    </w:p>
    <w:p>
      <w:pPr>
        <w:spacing w:after="0" w:line="28" w:lineRule="exact"/>
        <w:rPr>
          <w:sz w:val="20"/>
          <w:szCs w:val="20"/>
          <w:color w:val="auto"/>
        </w:rPr>
      </w:pPr>
    </w:p>
    <w:p>
      <w:pPr>
        <w:ind w:firstLine="8"/>
        <w:spacing w:after="0" w:line="237" w:lineRule="auto"/>
        <w:tabs>
          <w:tab w:leader="none" w:pos="31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sanctions as provided by Section VIII of this Code; or (2) administrative, civil and, in certain cases, criminal fines, sanctions or penalties.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IVPre-Clearance of Personal Account Transactions; Window Period to Trade PennantPark shares</w:t>
      </w:r>
    </w:p>
    <w:p>
      <w:pPr>
        <w:spacing w:after="0" w:line="10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 and a statement that the Access Person has reviewed the Pipeline Report for any conflicts.</w:t>
      </w:r>
    </w:p>
    <w:p>
      <w:pPr>
        <w:spacing w:after="0" w:line="86" w:lineRule="exact"/>
        <w:rPr>
          <w:sz w:val="20"/>
          <w:szCs w:val="20"/>
          <w:color w:val="auto"/>
        </w:rPr>
      </w:pPr>
    </w:p>
    <w:p>
      <w:pPr>
        <w:ind w:left="760" w:right="1320"/>
        <w:spacing w:after="0" w:line="332" w:lineRule="auto"/>
        <w:rPr>
          <w:sz w:val="20"/>
          <w:szCs w:val="20"/>
          <w:color w:val="auto"/>
        </w:rPr>
      </w:pPr>
      <w:r>
        <w:rPr>
          <w:rFonts w:ascii="Times New Roman" w:cs="Times New Roman" w:eastAsia="Times New Roman" w:hAnsi="Times New Roman"/>
          <w:sz w:val="22"/>
          <w:szCs w:val="22"/>
          <w:color w:val="auto"/>
        </w:rPr>
        <w:t xml:space="preserve">Any approval given under this paragraph will be provided by email and will remain in effect for 72 hours. </w:t>
      </w:r>
      <w:r>
        <w:rPr>
          <w:rFonts w:ascii="Times New Roman" w:cs="Times New Roman" w:eastAsia="Times New Roman" w:hAnsi="Times New Roman"/>
          <w:sz w:val="22"/>
          <w:szCs w:val="22"/>
          <w:u w:val="single" w:color="auto"/>
          <w:color w:val="auto"/>
        </w:rPr>
        <w:t>Exceptions to the Pre-Clearance Requirement Policy,</w:t>
      </w:r>
    </w:p>
    <w:p>
      <w:pPr>
        <w:spacing w:after="0" w:line="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(i) 30 calendar days after the release of results (29 calendar days in all) or (ii) in the case of either Corporation’s and the Adviser’s decision to buy or sell the applicable Corporation’s equity securities, the end of the quarterly period during which such financial results of such Corporation have been publicly released.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about the Corporation, including any decision by the Corporation to buy or sell its own shares. Further, the window period may not open in a particular quarter, and it may be closed, as the case may be, prior to the expiration of 30 days or the applicable quarter end, in each case as events require.</w:t>
      </w:r>
    </w:p>
    <w:p>
      <w:pPr>
        <w:spacing w:after="0" w:line="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Additionally, Independent Directors are not required to seek preapproval for any transactions other than those which would trigger reporting requirements as set forth in Section VI (C) of this Code.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VProhibited Transactions</w:t>
      </w:r>
    </w:p>
    <w:p>
      <w:pPr>
        <w:spacing w:after="0" w:line="102" w:lineRule="exact"/>
        <w:rPr>
          <w:sz w:val="20"/>
          <w:szCs w:val="20"/>
          <w:color w:val="auto"/>
        </w:rPr>
      </w:pPr>
    </w:p>
    <w:p>
      <w:pPr>
        <w:jc w:val="both"/>
        <w:ind w:left="860" w:hanging="478"/>
        <w:spacing w:after="0" w:line="248" w:lineRule="auto"/>
        <w:tabs>
          <w:tab w:leader="none" w:pos="8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both"/>
        <w:ind w:left="860"/>
        <w:spacing w:after="0" w:line="244" w:lineRule="auto"/>
        <w:rPr>
          <w:sz w:val="20"/>
          <w:szCs w:val="20"/>
          <w:color w:val="auto"/>
        </w:rPr>
      </w:pPr>
      <w:r>
        <w:rPr>
          <w:rFonts w:ascii="Times New Roman" w:cs="Times New Roman" w:eastAsia="Times New Roman" w:hAnsi="Times New Roman"/>
          <w:sz w:val="22"/>
          <w:szCs w:val="22"/>
          <w:color w:val="auto"/>
        </w:rPr>
        <w:t>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79" w:lineRule="exact"/>
        <w:rPr>
          <w:sz w:val="20"/>
          <w:szCs w:val="20"/>
          <w:color w:val="auto"/>
        </w:rPr>
      </w:pPr>
    </w:p>
    <w:p>
      <w:pPr>
        <w:jc w:val="both"/>
        <w:ind w:left="860" w:hanging="478"/>
        <w:spacing w:after="0" w:line="244" w:lineRule="auto"/>
        <w:tabs>
          <w:tab w:leader="none" w:pos="8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64" w:lineRule="exact"/>
        <w:rPr>
          <w:rFonts w:ascii="Times New Roman" w:cs="Times New Roman" w:eastAsia="Times New Roman" w:hAnsi="Times New Roman"/>
          <w:sz w:val="22"/>
          <w:szCs w:val="22"/>
          <w:color w:val="auto"/>
        </w:rPr>
      </w:pPr>
    </w:p>
    <w:p>
      <w:pPr>
        <w:jc w:val="both"/>
        <w:ind w:left="860" w:hanging="478"/>
        <w:spacing w:after="0" w:line="241" w:lineRule="auto"/>
        <w:tabs>
          <w:tab w:leader="none" w:pos="8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VIReports by Access Persons</w:t>
      </w:r>
    </w:p>
    <w:p>
      <w:pPr>
        <w:spacing w:after="0" w:line="102"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Personal Securities Holdings Reports.</w:t>
      </w:r>
    </w:p>
    <w:p>
      <w:pPr>
        <w:spacing w:after="0" w:line="1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hereto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86"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Quarterly Transaction Reports.</w:t>
      </w:r>
    </w:p>
    <w:p>
      <w:pPr>
        <w:spacing w:after="0" w:line="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hereto as Schedule B.</w:t>
      </w:r>
    </w:p>
    <w:p>
      <w:pPr>
        <w:spacing w:after="0" w:line="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ind w:left="1140" w:hanging="383"/>
        <w:spacing w:after="0"/>
        <w:tabs>
          <w:tab w:leader="none" w:pos="114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and nature of the transaction (purchase, sale or any other type of acquisition or disposition);</w:t>
      </w:r>
    </w:p>
    <w:p>
      <w:pPr>
        <w:spacing w:after="0" w:line="98" w:lineRule="exact"/>
        <w:rPr>
          <w:rFonts w:ascii="Times New Roman" w:cs="Times New Roman" w:eastAsia="Times New Roman" w:hAnsi="Times New Roman"/>
          <w:sz w:val="22"/>
          <w:szCs w:val="22"/>
          <w:color w:val="auto"/>
        </w:rPr>
      </w:pPr>
    </w:p>
    <w:p>
      <w:pPr>
        <w:ind w:left="1140" w:hanging="383"/>
        <w:spacing w:after="0" w:line="271" w:lineRule="auto"/>
        <w:tabs>
          <w:tab w:leader="none" w:pos="114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interest rate and maturity date (if applicable), number of shares and principal amount of each Covered Security involved and the price of the Covered Security at which the transaction was effected;</w:t>
      </w:r>
    </w:p>
    <w:p>
      <w:pPr>
        <w:spacing w:after="0" w:line="3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the broker, dealer or bank with or through whom the transaction was effected; and</w:t>
      </w:r>
    </w:p>
    <w:p>
      <w:pPr>
        <w:spacing w:after="0" w:line="111"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report is submitted by the Access Person.</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Directors.</w:t>
      </w:r>
    </w:p>
    <w:p>
      <w:pPr>
        <w:spacing w:after="0" w:line="11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61"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Access Persons of the Adviser.</w:t>
      </w:r>
    </w:p>
    <w:p>
      <w:pPr>
        <w:spacing w:after="0" w:line="11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An Access Person of the Adviser need not make a Quarterly Transaction Report if all of the information in the report would duplicate information required to be recorded pursuant to Rules 204-2(a)(12) or (13) under the Advisers Act.</w:t>
      </w:r>
    </w:p>
    <w:p>
      <w:pPr>
        <w:spacing w:after="0" w:line="64"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Brokerage Accounts and Statements.</w:t>
      </w:r>
    </w:p>
    <w:p>
      <w:pPr>
        <w:spacing w:after="0" w:line="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Access Persons, except Independent Directors, shall:</w:t>
      </w:r>
    </w:p>
    <w:p>
      <w:pPr>
        <w:spacing w:after="0" w:line="98" w:lineRule="exact"/>
        <w:rPr>
          <w:sz w:val="20"/>
          <w:szCs w:val="20"/>
          <w:color w:val="auto"/>
        </w:rPr>
      </w:pPr>
    </w:p>
    <w:p>
      <w:pPr>
        <w:jc w:val="both"/>
        <w:ind w:left="1140" w:hanging="383"/>
        <w:spacing w:after="0" w:line="248" w:lineRule="auto"/>
        <w:tabs>
          <w:tab w:leader="none" w:pos="11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61"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instruct the brokers, dealers or banks with whom they maintain such an account to provide duplicate account statements to the Chief Compliance Officer.</w:t>
      </w:r>
    </w:p>
    <w:p>
      <w:pPr>
        <w:spacing w:after="0" w:line="6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 annual basis, certify that they have complied with the requirements of (1) and (2) above.</w:t>
      </w:r>
    </w:p>
    <w:p>
      <w:pPr>
        <w:spacing w:after="0" w:line="98"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Reports.</w:t>
      </w:r>
    </w:p>
    <w:p>
      <w:pPr>
        <w:spacing w:after="0" w:line="11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A Quarterly Securities Transaction Report may consist of broker statements or other statements that provide a list of all personal Covered Securities holdings and transactions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time period covered by the report and contain the information required in a Quarterly Securities Transaction Report.</w:t>
      </w:r>
    </w:p>
    <w:p>
      <w:pPr>
        <w:spacing w:after="0" w:line="99"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1"/>
          <w:szCs w:val="21"/>
          <w:color w:val="auto"/>
        </w:rPr>
        <w:t>Responsibility to Report.</w:t>
      </w:r>
    </w:p>
    <w:p>
      <w:pPr>
        <w:spacing w:after="0" w:line="1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It is the responsibility of each Access Person to take the initiative to comply with the requirements of this Section VI.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65"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1"/>
          <w:szCs w:val="21"/>
          <w:color w:val="auto"/>
        </w:rPr>
        <w:t>Where to File Reports.</w:t>
      </w:r>
    </w:p>
    <w:p>
      <w:pPr>
        <w:spacing w:after="0" w:line="11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All Quarterly Securities Transaction Reports and Personal Securities Holdings Reports must be filed with the Chief Compliance Officer.</w:t>
      </w:r>
    </w:p>
    <w:p>
      <w:pPr>
        <w:spacing w:after="0" w:line="64" w:lineRule="exact"/>
        <w:rPr>
          <w:sz w:val="20"/>
          <w:szCs w:val="20"/>
          <w:color w:val="auto"/>
        </w:rPr>
      </w:pPr>
    </w:p>
    <w:p>
      <w:pPr>
        <w:ind w:left="860" w:hanging="478"/>
        <w:spacing w:after="0"/>
        <w:tabs>
          <w:tab w:leader="none" w:pos="8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Disclaimers.</w:t>
      </w:r>
    </w:p>
    <w:p>
      <w:pPr>
        <w:spacing w:after="0" w:line="9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Any report required by this Section VI may contain a statement that the report will not be construed as an admission that the person making the report has any direct or indirect Beneficial Ownership in the Covered, Security to which the report relates.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VIIAdditional Prohibitions</w:t>
      </w:r>
    </w:p>
    <w:p>
      <w:pPr>
        <w:spacing w:after="0" w:line="102"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Confidentiality of the Corporation’s Transactions.</w:t>
      </w:r>
    </w:p>
    <w:p>
      <w:pPr>
        <w:spacing w:after="0" w:line="1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Until disclosed in a public report to shareholders or to the Securities and Exchange Commission (the “SEC”)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65"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Outside Business Activities and Directorships.</w:t>
      </w:r>
    </w:p>
    <w:p>
      <w:pPr>
        <w:spacing w:after="0" w:line="1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65"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Gratuities.</w:t>
      </w:r>
    </w:p>
    <w:p>
      <w:pPr>
        <w:spacing w:after="0" w:line="11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VIIIProhibition Against Insider Trading</w:t>
      </w:r>
    </w:p>
    <w:p>
      <w:pPr>
        <w:spacing w:after="0" w:line="11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This Section is intended to satisfy the requirements of Section 204A of the Advisers Act, which is applicable to the Adviser and requires that the Adviser establish and enforce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jc w:val="both"/>
        <w:spacing w:after="0" w:line="241" w:lineRule="auto"/>
        <w:rPr>
          <w:sz w:val="20"/>
          <w:szCs w:val="20"/>
          <w:color w:val="auto"/>
        </w:rPr>
      </w:pPr>
      <w:r>
        <w:rPr>
          <w:rFonts w:ascii="Times New Roman" w:cs="Times New Roman" w:eastAsia="Times New Roman" w:hAnsi="Times New Roman"/>
          <w:sz w:val="22"/>
          <w:szCs w:val="22"/>
          <w:color w:val="auto"/>
        </w:rPr>
        <w:t>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69" w:lineRule="exact"/>
        <w:rPr>
          <w:sz w:val="20"/>
          <w:szCs w:val="20"/>
          <w:color w:val="auto"/>
        </w:rPr>
      </w:pPr>
    </w:p>
    <w:p>
      <w:pPr>
        <w:jc w:val="both"/>
        <w:ind w:left="860" w:hanging="478"/>
        <w:spacing w:after="0" w:line="250" w:lineRule="auto"/>
        <w:tabs>
          <w:tab w:leader="none" w:pos="8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73" w:lineRule="exact"/>
        <w:rPr>
          <w:rFonts w:ascii="Times New Roman" w:cs="Times New Roman" w:eastAsia="Times New Roman" w:hAnsi="Times New Roman"/>
          <w:sz w:val="22"/>
          <w:szCs w:val="22"/>
          <w:color w:val="auto"/>
        </w:rPr>
      </w:pPr>
    </w:p>
    <w:p>
      <w:pPr>
        <w:jc w:val="both"/>
        <w:ind w:left="860" w:hanging="478"/>
        <w:spacing w:after="0" w:line="238" w:lineRule="auto"/>
        <w:tabs>
          <w:tab w:leader="none" w:pos="8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69" w:lineRule="exact"/>
        <w:rPr>
          <w:rFonts w:ascii="Times New Roman" w:cs="Times New Roman" w:eastAsia="Times New Roman" w:hAnsi="Times New Roman"/>
          <w:sz w:val="22"/>
          <w:szCs w:val="22"/>
          <w:color w:val="auto"/>
        </w:rPr>
      </w:pPr>
    </w:p>
    <w:p>
      <w:pPr>
        <w:jc w:val="both"/>
        <w:ind w:left="860" w:hanging="478"/>
        <w:spacing w:after="0" w:line="248" w:lineRule="auto"/>
        <w:tabs>
          <w:tab w:leader="none" w:pos="8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is “public” when it has been disseminated broadly to investors in the marketplace. For example, information is public after it has become available to the general public through a public filing with the SEC or some other government agency, the Dow Jones “tape” or The Wall Street Journal or some other publication of general circulation, and after sufficient time has passed so that the information has been disseminated widely.</w:t>
      </w:r>
    </w:p>
    <w:p>
      <w:pPr>
        <w:spacing w:after="0" w:line="61" w:lineRule="exact"/>
        <w:rPr>
          <w:rFonts w:ascii="Times New Roman" w:cs="Times New Roman" w:eastAsia="Times New Roman" w:hAnsi="Times New Roman"/>
          <w:sz w:val="22"/>
          <w:szCs w:val="22"/>
          <w:color w:val="auto"/>
        </w:rPr>
      </w:pPr>
    </w:p>
    <w:p>
      <w:pPr>
        <w:jc w:val="both"/>
        <w:ind w:left="860" w:hanging="478"/>
        <w:spacing w:after="0" w:line="244" w:lineRule="auto"/>
        <w:tabs>
          <w:tab w:leader="none" w:pos="8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Advisory Person, before executing any trade for himself or herself, or others, including the Corporation or other accounts managed by the Adviser or by a stockholder of the Adviser, or any affiliate of the stockholder (collectively, “Client Accounts”), must determine whether he or she has material, non-public information. Any Advisory Person who believes he or she is in possession of material, non-public information must take the following steps:</w:t>
      </w:r>
    </w:p>
    <w:p>
      <w:pPr>
        <w:spacing w:after="0" w:line="7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 the information and proposed trade immediately to the Chief Compliance Officer.</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purchase or sell the securities on behalf of anyone, including Client Accounts.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communicate the information to any person, other than to the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both"/>
        <w:spacing w:after="0" w:line="244" w:lineRule="auto"/>
        <w:rPr>
          <w:sz w:val="20"/>
          <w:szCs w:val="20"/>
          <w:color w:val="auto"/>
        </w:rPr>
      </w:pPr>
      <w:r>
        <w:rPr>
          <w:rFonts w:ascii="Times New Roman" w:cs="Times New Roman" w:eastAsia="Times New Roman" w:hAnsi="Times New Roman"/>
          <w:sz w:val="22"/>
          <w:szCs w:val="22"/>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79" w:lineRule="exact"/>
        <w:rPr>
          <w:sz w:val="20"/>
          <w:szCs w:val="20"/>
          <w:color w:val="auto"/>
        </w:rPr>
      </w:pPr>
    </w:p>
    <w:p>
      <w:pPr>
        <w:jc w:val="both"/>
        <w:ind w:left="860" w:hanging="478"/>
        <w:spacing w:after="0" w:line="238" w:lineRule="auto"/>
        <w:tabs>
          <w:tab w:leader="none" w:pos="8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69" w:lineRule="exact"/>
        <w:rPr>
          <w:rFonts w:ascii="Times New Roman" w:cs="Times New Roman" w:eastAsia="Times New Roman" w:hAnsi="Times New Roman"/>
          <w:sz w:val="22"/>
          <w:szCs w:val="22"/>
          <w:color w:val="auto"/>
        </w:rPr>
      </w:pPr>
    </w:p>
    <w:p>
      <w:pPr>
        <w:jc w:val="both"/>
        <w:ind w:left="860" w:hanging="478"/>
        <w:spacing w:after="0" w:line="253" w:lineRule="auto"/>
        <w:tabs>
          <w:tab w:leader="none" w:pos="86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IXAnnual Certification</w:t>
      </w:r>
    </w:p>
    <w:p>
      <w:pPr>
        <w:spacing w:after="0" w:line="102"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Access Persons.</w:t>
      </w:r>
    </w:p>
    <w:p>
      <w:pPr>
        <w:spacing w:after="0" w:line="11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60"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Board Review.</w:t>
      </w:r>
    </w:p>
    <w:p>
      <w:pPr>
        <w:spacing w:after="0" w:line="9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No less frequently than annually, the Corporation and the Adviser must furnish to the Corporation’s board of directors, and the board must consider, a written report that: (1) describes any issues arising under this Code or procedures since the last report to the board, including, but not limited to, information about material violations of this Code or procedures and sanctions imposed in response to material violations; and (2) certifies that the Corporation or the Adviser, as applicable, has adopted procedures reasonably necessary to prevent Access Persons from violating this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Section XSanctions</w:t>
      </w:r>
    </w:p>
    <w:p>
      <w:pPr>
        <w:spacing w:after="0" w:line="11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XIAdministration and Construction</w:t>
      </w:r>
    </w:p>
    <w:p>
      <w:pPr>
        <w:spacing w:after="0" w:line="116" w:lineRule="exact"/>
        <w:rPr>
          <w:sz w:val="20"/>
          <w:szCs w:val="20"/>
          <w:color w:val="auto"/>
        </w:rPr>
      </w:pPr>
    </w:p>
    <w:p>
      <w:pPr>
        <w:ind w:left="860" w:hanging="478"/>
        <w:spacing w:after="0"/>
        <w:tabs>
          <w:tab w:leader="none" w:pos="8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administration of this Code shall be the responsibility of the Chief Compliance Officer.</w:t>
      </w:r>
    </w:p>
    <w:p>
      <w:pPr>
        <w:spacing w:after="0" w:line="98"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of the Chief Compliance Officer are as follows:</w:t>
      </w:r>
    </w:p>
    <w:p>
      <w:pPr>
        <w:spacing w:after="0" w:line="98" w:lineRule="exact"/>
        <w:rPr>
          <w:rFonts w:ascii="Times New Roman" w:cs="Times New Roman" w:eastAsia="Times New Roman" w:hAnsi="Times New Roman"/>
          <w:sz w:val="22"/>
          <w:szCs w:val="22"/>
          <w:color w:val="auto"/>
        </w:rPr>
      </w:pPr>
    </w:p>
    <w:p>
      <w:pPr>
        <w:jc w:val="both"/>
        <w:ind w:left="1140" w:hanging="383"/>
        <w:spacing w:after="0" w:line="248" w:lineRule="auto"/>
        <w:tabs>
          <w:tab w:leader="none" w:pos="11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61"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 annual basis, providing all Covered Personnel a copy of this Code and informing such persons of their duties and obligations hereunder including any supplemental training that may be required from time to time;</w:t>
      </w:r>
    </w:p>
    <w:p>
      <w:pPr>
        <w:spacing w:after="0" w:line="6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or supervising the maintenance of all records and reports required by this Code;</w:t>
      </w:r>
    </w:p>
    <w:p>
      <w:pPr>
        <w:spacing w:after="0" w:line="98" w:lineRule="exact"/>
        <w:rPr>
          <w:rFonts w:ascii="Times New Roman" w:cs="Times New Roman" w:eastAsia="Times New Roman" w:hAnsi="Times New Roman"/>
          <w:sz w:val="22"/>
          <w:szCs w:val="22"/>
          <w:color w:val="auto"/>
        </w:rPr>
      </w:pPr>
    </w:p>
    <w:p>
      <w:pPr>
        <w:jc w:val="both"/>
        <w:ind w:left="1140" w:hanging="383"/>
        <w:spacing w:after="0" w:line="250" w:lineRule="auto"/>
        <w:tabs>
          <w:tab w:leader="none" w:pos="11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59" w:lineRule="exact"/>
        <w:rPr>
          <w:rFonts w:ascii="Times New Roman" w:cs="Times New Roman" w:eastAsia="Times New Roman" w:hAnsi="Times New Roman"/>
          <w:sz w:val="22"/>
          <w:szCs w:val="22"/>
          <w:color w:val="auto"/>
        </w:rPr>
      </w:pPr>
    </w:p>
    <w:p>
      <w:pPr>
        <w:ind w:left="1140" w:hanging="383"/>
        <w:spacing w:after="0" w:line="271" w:lineRule="auto"/>
        <w:tabs>
          <w:tab w:leader="none" w:pos="11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 either personally or with the assistance of counsel as may be appropriate, of any interpretation of this Code that may appear consistent with the objectives of Rule 17j-1 and this Code;</w:t>
      </w:r>
    </w:p>
    <w:p>
      <w:pPr>
        <w:spacing w:after="0" w:line="36" w:lineRule="exact"/>
        <w:rPr>
          <w:rFonts w:ascii="Times New Roman" w:cs="Times New Roman" w:eastAsia="Times New Roman" w:hAnsi="Times New Roman"/>
          <w:sz w:val="22"/>
          <w:szCs w:val="22"/>
          <w:color w:val="auto"/>
        </w:rPr>
      </w:pPr>
    </w:p>
    <w:p>
      <w:pPr>
        <w:ind w:left="1140" w:hanging="383"/>
        <w:spacing w:after="0" w:line="271" w:lineRule="auto"/>
        <w:tabs>
          <w:tab w:leader="none" w:pos="11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such inspections or investigations as shall reasonably be required to detect and report, with recommendations, any apparent violations of this Code to the board of directors of the Corporation;</w:t>
      </w:r>
    </w:p>
    <w:p>
      <w:pPr>
        <w:spacing w:after="0" w:line="36" w:lineRule="exact"/>
        <w:rPr>
          <w:rFonts w:ascii="Times New Roman" w:cs="Times New Roman" w:eastAsia="Times New Roman" w:hAnsi="Times New Roman"/>
          <w:sz w:val="22"/>
          <w:szCs w:val="22"/>
          <w:color w:val="auto"/>
        </w:rPr>
      </w:pPr>
    </w:p>
    <w:p>
      <w:pPr>
        <w:jc w:val="both"/>
        <w:ind w:left="1140" w:hanging="383"/>
        <w:spacing w:after="0" w:line="250" w:lineRule="auto"/>
        <w:tabs>
          <w:tab w:leader="none" w:pos="11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 (B);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3" w:name="page14"/>
    <w:bookmarkEnd w:id="13"/>
    <w:p>
      <w:pPr>
        <w:ind w:left="860" w:right="20" w:hanging="478"/>
        <w:spacing w:after="0" w:line="259" w:lineRule="auto"/>
        <w:tabs>
          <w:tab w:leader="none" w:pos="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Financial Officer shall maintain and cause to be maintained in an easily accessible place at the principal place of business of the 17j-1 Organization, the following records:</w:t>
      </w:r>
    </w:p>
    <w:p>
      <w:pPr>
        <w:spacing w:after="0" w:line="62"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all codes of ethics adopted by the Corporation or the Adviser and its affiliates, as the case may be, pursuant to Rule 17j-1 that have been in effect at any time during the past five (5) years;</w:t>
      </w:r>
    </w:p>
    <w:p>
      <w:pPr>
        <w:spacing w:after="0" w:line="63"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record of each violation of such codes of ethics and of any action taken as a result of such violation for at least five (5) years after the end of the fiscal year in which the violation occurs;</w:t>
      </w:r>
    </w:p>
    <w:p>
      <w:pPr>
        <w:spacing w:after="0" w:line="50" w:lineRule="exact"/>
        <w:rPr>
          <w:rFonts w:ascii="Times New Roman" w:cs="Times New Roman" w:eastAsia="Times New Roman" w:hAnsi="Times New Roman"/>
          <w:sz w:val="22"/>
          <w:szCs w:val="22"/>
          <w:color w:val="auto"/>
        </w:rPr>
      </w:pPr>
    </w:p>
    <w:p>
      <w:pPr>
        <w:ind w:left="1140" w:hanging="383"/>
        <w:spacing w:after="0" w:line="271" w:lineRule="auto"/>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report made by an Access Person for at least two (2) years after the end of the fiscal year in which the report is made, and for an additional three (3) years in a place that need not be easily accessible;</w:t>
      </w:r>
    </w:p>
    <w:p>
      <w:pPr>
        <w:spacing w:after="0" w:line="36" w:lineRule="exact"/>
        <w:rPr>
          <w:rFonts w:ascii="Times New Roman" w:cs="Times New Roman" w:eastAsia="Times New Roman" w:hAnsi="Times New Roman"/>
          <w:sz w:val="22"/>
          <w:szCs w:val="22"/>
          <w:color w:val="auto"/>
        </w:rPr>
      </w:pPr>
    </w:p>
    <w:p>
      <w:pPr>
        <w:jc w:val="both"/>
        <w:ind w:left="1140" w:hanging="383"/>
        <w:spacing w:after="0" w:line="250" w:lineRule="auto"/>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59" w:lineRule="exact"/>
        <w:rPr>
          <w:rFonts w:ascii="Times New Roman" w:cs="Times New Roman" w:eastAsia="Times New Roman" w:hAnsi="Times New Roman"/>
          <w:sz w:val="22"/>
          <w:szCs w:val="22"/>
          <w:color w:val="auto"/>
        </w:rPr>
      </w:pPr>
    </w:p>
    <w:p>
      <w:pPr>
        <w:ind w:left="1140" w:hanging="383"/>
        <w:spacing w:after="0" w:line="271" w:lineRule="auto"/>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list of all persons who are, or within the past five (5) years have been, required to make reports pursuant to Rule 17j-1 and this Code, or who are or were responsible for reviewing such reports;</w:t>
      </w:r>
    </w:p>
    <w:p>
      <w:pPr>
        <w:spacing w:after="0" w:line="36"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report required by Section VII (B) of this Code for at least two (2) years after the end of the fiscal year in which it is made, and for an additional three (3) years in a place that need not be easily accessible; and</w:t>
      </w:r>
    </w:p>
    <w:p>
      <w:pPr>
        <w:spacing w:after="0" w:line="63" w:lineRule="exact"/>
        <w:rPr>
          <w:rFonts w:ascii="Times New Roman" w:cs="Times New Roman" w:eastAsia="Times New Roman" w:hAnsi="Times New Roman"/>
          <w:sz w:val="22"/>
          <w:szCs w:val="22"/>
          <w:color w:val="auto"/>
        </w:rPr>
      </w:pPr>
    </w:p>
    <w:p>
      <w:pPr>
        <w:jc w:val="both"/>
        <w:ind w:left="1140" w:hanging="383"/>
        <w:spacing w:after="0" w:line="250" w:lineRule="auto"/>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59" w:lineRule="exact"/>
        <w:rPr>
          <w:rFonts w:ascii="Times New Roman" w:cs="Times New Roman" w:eastAsia="Times New Roman" w:hAnsi="Times New Roman"/>
          <w:sz w:val="22"/>
          <w:szCs w:val="22"/>
          <w:color w:val="auto"/>
        </w:rPr>
      </w:pPr>
    </w:p>
    <w:p>
      <w:pPr>
        <w:ind w:left="860" w:hanging="478"/>
        <w:spacing w:after="0" w:line="258" w:lineRule="auto"/>
        <w:tabs>
          <w:tab w:leader="none" w:pos="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Code may not be amended or modified except in a written form that is specifically approved by majority vote of the Independent Directors.</w:t>
      </w:r>
    </w:p>
    <w:p>
      <w:pPr>
        <w:spacing w:after="0" w:line="6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Joint Code of Ethics, originally adopted December 12, 2007 and amended as of May 3, 2022, is annually reviewed and approved by the Board of Directors of the Corporation, including a majority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99870" cy="351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987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 Appoints Senior Partner of PennantPark to Its Board of Directors</w:t>
      </w:r>
    </w:p>
    <w:p>
      <w:pPr>
        <w:spacing w:after="0" w:line="2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MIAMI, May 6, 2022 </w:t>
      </w:r>
      <w:r>
        <w:rPr>
          <w:rFonts w:ascii="Times New Roman" w:cs="Times New Roman" w:eastAsia="Times New Roman" w:hAnsi="Times New Roman"/>
          <w:sz w:val="18"/>
          <w:szCs w:val="18"/>
          <w:color w:val="auto"/>
        </w:rPr>
        <w:t>— PennantPark Floating Rate Capital Ltd. (the “Company”) (NYSE: PFLT) (TASE: PFLT) announced today the appointment of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José A. Briones, Jr. to the Company’s Board of Directors, effective May 3, 2022. Mr. Briones is a Senior Partner at PennantPark Investment Advisers, LLC (“PennantPark”). His appointment brings the Company’s Board of Directors to six members.</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the Company’s Board of Directors and PennantPark, I am delighted to welcome José to the Company’s Board of Directors. José has been instrumental to our success, and we look forward to his contributions for many years ahead,” said Art Penn, Chairman and CEO. “Our firm continues to provide investors attractive risk/return across the middle market credit landscape, driven by our relationship-focused origination profile in the core middle market, where we are an important strategic capital provider to growing companies.”</w:t>
      </w:r>
    </w:p>
    <w:p>
      <w:pPr>
        <w:spacing w:after="0" w:line="189"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Mr. Briones joined PennantPark in December 2009, and oversees originating, underwriting, executing and monitoring investments for the company. He is also responsible for various strategic initiatives.</w:t>
      </w:r>
    </w:p>
    <w:p>
      <w:pPr>
        <w:spacing w:after="0" w:line="1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joining PennantPark, he was a Partner at Apollo Investment Management, L.P. and a member of its investment committee from 2006 until he joined PennantPark. Mr. Briones also spent time with UBS Securities, JP Morgan, and BT Securities and BT Alex Brown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FLOATING RATE CAPITAL LTD.</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INVESTMENT ADVISERS, LLC</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PennantPark Investment Advisers, LLC is a leading middle market credit platform, managing $6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CONTACT:</w:t>
            </w:r>
          </w:p>
        </w:tc>
        <w:tc>
          <w:tcPr>
            <w:tcW w:w="10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Richard Cheung</w:t>
            </w:r>
          </w:p>
        </w:tc>
      </w:tr>
      <w:tr>
        <w:trPr>
          <w:trHeight w:val="189"/>
        </w:trPr>
        <w:tc>
          <w:tcPr>
            <w:tcW w:w="1140" w:type="dxa"/>
            <w:vAlign w:val="bottom"/>
          </w:tcPr>
          <w:p>
            <w:pPr>
              <w:spacing w:after="0"/>
              <w:rPr>
                <w:sz w:val="16"/>
                <w:szCs w:val="16"/>
                <w:color w:val="auto"/>
              </w:rPr>
            </w:pPr>
          </w:p>
        </w:tc>
        <w:tc>
          <w:tcPr>
            <w:tcW w:w="1010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PennantPark Floating Rate Capital Ltd.</w:t>
            </w:r>
          </w:p>
        </w:tc>
      </w:tr>
      <w:tr>
        <w:trPr>
          <w:trHeight w:val="189"/>
        </w:trPr>
        <w:tc>
          <w:tcPr>
            <w:tcW w:w="1140" w:type="dxa"/>
            <w:vAlign w:val="bottom"/>
          </w:tcPr>
          <w:p>
            <w:pPr>
              <w:spacing w:after="0"/>
              <w:rPr>
                <w:sz w:val="16"/>
                <w:szCs w:val="16"/>
                <w:color w:val="auto"/>
              </w:rPr>
            </w:pPr>
          </w:p>
        </w:tc>
        <w:tc>
          <w:tcPr>
            <w:tcW w:w="1010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(212) 905-1000</w:t>
            </w:r>
          </w:p>
        </w:tc>
      </w:tr>
      <w:tr>
        <w:trPr>
          <w:trHeight w:val="234"/>
        </w:trPr>
        <w:tc>
          <w:tcPr>
            <w:tcW w:w="1140" w:type="dxa"/>
            <w:vAlign w:val="bottom"/>
          </w:tcPr>
          <w:p>
            <w:pPr>
              <w:spacing w:after="0"/>
              <w:rPr>
                <w:sz w:val="20"/>
                <w:szCs w:val="20"/>
                <w:color w:val="auto"/>
              </w:rPr>
            </w:pPr>
          </w:p>
        </w:tc>
        <w:tc>
          <w:tcPr>
            <w:tcW w:w="10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www.pennantpark.com</w:t>
            </w:r>
          </w:p>
        </w:tc>
      </w:tr>
      <w:tr>
        <w:trPr>
          <w:trHeight w:val="533"/>
        </w:trPr>
        <w:tc>
          <w:tcPr>
            <w:tcW w:w="1140" w:type="dxa"/>
            <w:vAlign w:val="bottom"/>
            <w:tcBorders>
              <w:bottom w:val="single" w:sz="8" w:color="9A9A9A"/>
            </w:tcBorders>
          </w:tcPr>
          <w:p>
            <w:pPr>
              <w:spacing w:after="0"/>
              <w:rPr>
                <w:sz w:val="24"/>
                <w:szCs w:val="24"/>
                <w:color w:val="auto"/>
              </w:rPr>
            </w:pPr>
          </w:p>
        </w:tc>
        <w:tc>
          <w:tcPr>
            <w:tcW w:w="10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Letter"/>
      <w:start w:val="1"/>
    </w:lvl>
    <w:lvl w:ilvl="1">
      <w:lvlJc w:val="left"/>
      <w:lvlText w:val="(%2)"/>
      <w:numFmt w:val="lowerLetter"/>
      <w:start w:val="2"/>
    </w:lvl>
  </w:abstractNum>
  <w:abstractNum w:abstractNumId="1">
    <w:nsid w:val="12200854"/>
    <w:multiLevelType w:val="hybridMultilevel"/>
    <w:lvl w:ilvl="0">
      <w:lvlJc w:val="left"/>
      <w:lvlText w:val="(%1)"/>
      <w:numFmt w:val="upperLetter"/>
      <w:start w:val="1"/>
    </w:lvl>
  </w:abstractNum>
  <w:abstractNum w:abstractNumId="2">
    <w:nsid w:val="4DB127F8"/>
    <w:multiLevelType w:val="hybridMultilevel"/>
    <w:lvl w:ilvl="0">
      <w:lvlJc w:val="left"/>
      <w:lvlText w:val="(%1)"/>
      <w:numFmt w:val="upperLetter"/>
      <w:start w:val="7"/>
    </w:lvl>
  </w:abstractNum>
  <w:abstractNum w:abstractNumId="3">
    <w:nsid w:val="216231B"/>
    <w:multiLevelType w:val="hybridMultilevel"/>
    <w:lvl w:ilvl="0">
      <w:lvlJc w:val="left"/>
      <w:lvlText w:val="(%1)"/>
      <w:numFmt w:val="lowerRoman"/>
      <w:start w:val="1"/>
    </w:lvl>
  </w:abstractNum>
  <w:abstractNum w:abstractNumId="4">
    <w:nsid w:val="1F16E9E8"/>
    <w:multiLevelType w:val="hybridMultilevel"/>
    <w:lvl w:ilvl="0">
      <w:lvlJc w:val="left"/>
      <w:lvlText w:val="(%1)"/>
      <w:numFmt w:val="lowerRoman"/>
      <w:start w:val="4"/>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upperLetter"/>
      <w:start w:val="1"/>
    </w:lvl>
  </w:abstractNum>
  <w:abstractNum w:abstractNumId="7">
    <w:nsid w:val="140E0F76"/>
    <w:multiLevelType w:val="hybridMultilevel"/>
    <w:lvl w:ilvl="0">
      <w:lvlJc w:val="left"/>
      <w:lvlText w:val="(%1)"/>
      <w:numFmt w:val="upperLetter"/>
      <w:start w:val="2"/>
    </w:lvl>
  </w:abstractNum>
  <w:abstractNum w:abstractNumId="8">
    <w:nsid w:val="3352255A"/>
    <w:multiLevelType w:val="hybridMultilevel"/>
    <w:lvl w:ilvl="0">
      <w:lvlJc w:val="left"/>
      <w:lvlText w:val="%1"/>
      <w:numFmt w:val="upperLetter"/>
      <w:start w:val="1"/>
    </w:lvl>
    <w:lvl w:ilvl="1">
      <w:lvlJc w:val="left"/>
      <w:lvlText w:val="(%2)"/>
      <w:numFmt w:val="decimal"/>
      <w:start w:val="1"/>
    </w:lvl>
  </w:abstractNum>
  <w:abstractNum w:abstractNumId="9">
    <w:nsid w:val="109CF92E"/>
    <w:multiLevelType w:val="hybridMultilevel"/>
    <w:lvl w:ilvl="0">
      <w:lvlJc w:val="left"/>
      <w:lvlText w:val="(%1)"/>
      <w:numFmt w:val="upperLetter"/>
      <w:start w:val="3"/>
    </w:lvl>
    <w:lvl w:ilvl="1">
      <w:lvlJc w:val="left"/>
      <w:lvlText w:val="%2"/>
      <w:numFmt w:val="decimal"/>
      <w:start w:val="1"/>
    </w:lvl>
  </w:abstractNum>
  <w:abstractNum w:abstractNumId="10">
    <w:nsid w:val="DED7263"/>
    <w:multiLevelType w:val="hybridMultilevel"/>
    <w:lvl w:ilvl="0">
      <w:lvlJc w:val="left"/>
      <w:lvlText w:val="%1"/>
      <w:numFmt w:val="upperLetter"/>
      <w:start w:val="1"/>
    </w:lvl>
    <w:lvl w:ilvl="1">
      <w:lvlJc w:val="left"/>
      <w:lvlText w:val="(%2)"/>
      <w:numFmt w:val="decimal"/>
      <w:start w:val="1"/>
    </w:lvl>
  </w:abstractNum>
  <w:abstractNum w:abstractNumId="11">
    <w:nsid w:val="7FDCC233"/>
    <w:multiLevelType w:val="hybridMultilevel"/>
    <w:lvl w:ilvl="0">
      <w:lvlJc w:val="left"/>
      <w:lvlText w:val="(%1)"/>
      <w:numFmt w:val="upperLetter"/>
      <w:start w:val="6"/>
    </w:lvl>
    <w:lvl w:ilvl="1">
      <w:lvlJc w:val="left"/>
      <w:lvlText w:val="%2"/>
      <w:numFmt w:val="decimal"/>
      <w:start w:val="1"/>
    </w:lvl>
  </w:abstractNum>
  <w:abstractNum w:abstractNumId="12">
    <w:nsid w:val="1BEFD79F"/>
    <w:multiLevelType w:val="hybridMultilevel"/>
    <w:lvl w:ilvl="0">
      <w:lvlJc w:val="left"/>
      <w:lvlText w:val="(%1)"/>
      <w:numFmt w:val="upperLetter"/>
      <w:start w:val="9"/>
    </w:lvl>
  </w:abstractNum>
  <w:abstractNum w:abstractNumId="13">
    <w:nsid w:val="41A7C4C9"/>
    <w:multiLevelType w:val="hybridMultilevel"/>
    <w:lvl w:ilvl="0">
      <w:lvlJc w:val="left"/>
      <w:lvlText w:val="(%1)"/>
      <w:numFmt w:val="upperLetter"/>
      <w:start w:val="1"/>
    </w:lvl>
    <w:lvl w:ilvl="1">
      <w:lvlJc w:val="left"/>
      <w:lvlText w:val="(%2)"/>
      <w:numFmt w:val="decimal"/>
      <w:start w:val="1"/>
    </w:lvl>
  </w:abstractNum>
  <w:abstractNum w:abstractNumId="14">
    <w:nsid w:val="6B68079A"/>
    <w:multiLevelType w:val="hybridMultilevel"/>
    <w:lvl w:ilvl="0">
      <w:lvlJc w:val="left"/>
      <w:lvlText w:val="(%1)"/>
      <w:numFmt w:val="upperLetter"/>
      <w:start w:val="5"/>
    </w:lvl>
  </w:abstractNum>
  <w:abstractNum w:abstractNumId="15">
    <w:nsid w:val="4E6AFB66"/>
    <w:multiLevelType w:val="hybridMultilevel"/>
    <w:lvl w:ilvl="0">
      <w:lvlJc w:val="left"/>
      <w:lvlText w:val="(%1)"/>
      <w:numFmt w:val="upperLetter"/>
      <w:start w:val="1"/>
    </w:lvl>
    <w:lvl w:ilvl="1">
      <w:lvlJc w:val="left"/>
      <w:lvlText w:val="(%2)"/>
      <w:numFmt w:val="decimal"/>
      <w:start w:val="1"/>
    </w:lvl>
  </w:abstractNum>
  <w:abstractNum w:abstractNumId="16">
    <w:nsid w:val="25E45D32"/>
    <w:multiLevelType w:val="hybridMultilevel"/>
    <w:lvl w:ilvl="0">
      <w:lvlJc w:val="left"/>
      <w:lvlText w:val="(%1)"/>
      <w:numFmt w:val="upperLetter"/>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2022-05-06T08:04:55Z</dcterms:created>
  <dcterms:modified xsi:type="dcterms:W3CDTF">2022-05-06T08:04:55Z</dcterms:modified>
</cp:coreProperties>
</file>